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7C86">
      <w:pPr>
        <w:widowControl w:val="0"/>
        <w:jc w:val="distribute"/>
        <w:outlineLvl w:val="9"/>
        <w:rPr>
          <w:rFonts w:hint="eastAsia" w:ascii="仿宋" w:hAnsi="仿宋" w:eastAsia="仿宋" w:cs="仿宋"/>
          <w:b/>
          <w:bCs/>
          <w:sz w:val="36"/>
          <w:szCs w:val="36"/>
        </w:rPr>
      </w:pPr>
      <w:bookmarkStart w:id="0" w:name="_Toc30513"/>
      <w:bookmarkStart w:id="1" w:name="_Toc18112"/>
      <w:bookmarkStart w:id="2" w:name="_Toc10716"/>
      <w:bookmarkStart w:id="3" w:name="_Toc19727"/>
      <w:bookmarkStart w:id="4" w:name="_Toc26297"/>
      <w:r>
        <w:rPr>
          <w:rFonts w:hint="eastAsia" w:ascii="仿宋" w:hAnsi="仿宋" w:eastAsia="仿宋" w:cs="仿宋"/>
          <w:b/>
          <w:bCs/>
          <w:sz w:val="36"/>
          <w:szCs w:val="36"/>
        </w:rPr>
        <w:t>湖南浩元会计师事务所（普通合伙）</w:t>
      </w:r>
      <w:bookmarkEnd w:id="0"/>
      <w:bookmarkEnd w:id="1"/>
      <w:bookmarkEnd w:id="2"/>
      <w:bookmarkEnd w:id="3"/>
      <w:bookmarkEnd w:id="4"/>
    </w:p>
    <w:p w14:paraId="6128D20E">
      <w:pPr>
        <w:widowControl w:val="0"/>
        <w:jc w:val="center"/>
        <w:rPr>
          <w:rFonts w:hint="eastAsia" w:ascii="仿宋" w:hAnsi="仿宋" w:eastAsia="仿宋" w:cs="仿宋"/>
          <w:b/>
          <w:bCs/>
          <w:sz w:val="36"/>
          <w:szCs w:val="36"/>
        </w:rPr>
      </w:pPr>
      <w:r>
        <w:rPr>
          <w:rFonts w:hint="eastAsia" w:ascii="仿宋" w:hAnsi="仿宋" w:eastAsia="仿宋" w:cs="仿宋"/>
          <w:b/>
          <w:bCs/>
          <w:sz w:val="36"/>
          <w:szCs w:val="36"/>
        </w:rPr>
        <w:t>Hunan Haoyuan Certified Public Accountants GP</w:t>
      </w:r>
    </w:p>
    <w:p w14:paraId="760F57D2">
      <w:pPr>
        <w:widowControl w:val="0"/>
        <w:jc w:val="center"/>
        <w:rPr>
          <w:rFonts w:hint="eastAsia" w:ascii="仿宋" w:hAnsi="仿宋" w:eastAsia="仿宋" w:cs="仿宋"/>
          <w:sz w:val="32"/>
          <w:szCs w:val="32"/>
        </w:rPr>
      </w:pPr>
    </w:p>
    <w:p w14:paraId="45A91357">
      <w:pPr>
        <w:widowControl w:val="0"/>
        <w:jc w:val="both"/>
        <w:rPr>
          <w:rFonts w:hint="eastAsia" w:ascii="仿宋" w:hAnsi="仿宋" w:eastAsia="仿宋" w:cs="仿宋"/>
          <w:sz w:val="32"/>
          <w:szCs w:val="32"/>
        </w:rPr>
      </w:pPr>
    </w:p>
    <w:p w14:paraId="0257DAC8">
      <w:pPr>
        <w:widowControl w:val="0"/>
        <w:jc w:val="both"/>
        <w:rPr>
          <w:rFonts w:hint="eastAsia" w:ascii="仿宋" w:hAnsi="仿宋" w:eastAsia="仿宋" w:cs="仿宋"/>
          <w:sz w:val="32"/>
          <w:szCs w:val="32"/>
        </w:rPr>
      </w:pPr>
    </w:p>
    <w:p w14:paraId="7F70ECE4">
      <w:pPr>
        <w:widowControl w:val="0"/>
        <w:jc w:val="center"/>
        <w:rPr>
          <w:rFonts w:hint="eastAsia" w:ascii="方正隶二简体" w:hAnsi="方正隶二简体" w:eastAsia="方正隶二简体" w:cs="方正隶二简体"/>
          <w:sz w:val="72"/>
          <w:szCs w:val="72"/>
        </w:rPr>
      </w:pPr>
      <w:r>
        <w:rPr>
          <w:rFonts w:hint="eastAsia" w:ascii="方正隶二简体" w:hAnsi="方正隶二简体" w:eastAsia="方正隶二简体" w:cs="方正隶二简体"/>
          <w:sz w:val="72"/>
          <w:szCs w:val="72"/>
        </w:rPr>
        <w:t>绩效评价报告</w:t>
      </w:r>
    </w:p>
    <w:p w14:paraId="2A3CD68D">
      <w:pPr>
        <w:widowControl w:val="0"/>
        <w:jc w:val="center"/>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rPr>
        <w:t>字[2025]第号</w:t>
      </w:r>
    </w:p>
    <w:p w14:paraId="7AFFA308">
      <w:pPr>
        <w:widowControl w:val="0"/>
        <w:jc w:val="center"/>
        <w:rPr>
          <w:rFonts w:hint="eastAsia" w:ascii="仿宋" w:hAnsi="仿宋" w:eastAsia="仿宋" w:cs="仿宋"/>
          <w:sz w:val="32"/>
          <w:szCs w:val="32"/>
        </w:rPr>
      </w:pPr>
    </w:p>
    <w:p w14:paraId="3C1E5282">
      <w:pPr>
        <w:widowControl w:val="0"/>
        <w:jc w:val="both"/>
        <w:rPr>
          <w:rFonts w:hint="eastAsia" w:ascii="仿宋" w:hAnsi="仿宋" w:eastAsia="仿宋" w:cs="仿宋"/>
          <w:sz w:val="32"/>
          <w:szCs w:val="32"/>
        </w:rPr>
      </w:pPr>
    </w:p>
    <w:p w14:paraId="14821711">
      <w:pPr>
        <w:widowControl w:val="0"/>
        <w:jc w:val="center"/>
        <w:rPr>
          <w:rFonts w:hint="eastAsia" w:ascii="黑体" w:hAnsi="黑体" w:eastAsia="黑体" w:cs="黑体"/>
          <w:sz w:val="36"/>
          <w:szCs w:val="36"/>
        </w:rPr>
      </w:pPr>
      <w:r>
        <w:rPr>
          <w:rFonts w:hint="eastAsia" w:ascii="黑体" w:hAnsi="黑体" w:eastAsia="黑体" w:cs="黑体"/>
          <w:sz w:val="36"/>
          <w:szCs w:val="36"/>
        </w:rPr>
        <w:t>2024年中共雁峰区委巡察工作领导小组办公室</w:t>
      </w:r>
    </w:p>
    <w:p w14:paraId="044C3D4E">
      <w:pPr>
        <w:widowControl w:val="0"/>
        <w:jc w:val="center"/>
        <w:rPr>
          <w:rFonts w:hint="eastAsia" w:ascii="黑体" w:hAnsi="黑体" w:eastAsia="黑体" w:cs="黑体"/>
          <w:sz w:val="36"/>
          <w:szCs w:val="36"/>
        </w:rPr>
      </w:pPr>
      <w:r>
        <w:rPr>
          <w:rFonts w:hint="eastAsia" w:ascii="黑体" w:hAnsi="黑体" w:eastAsia="黑体" w:cs="黑体"/>
          <w:sz w:val="36"/>
          <w:szCs w:val="36"/>
        </w:rPr>
        <w:t>部门整体支出绩效评价报告</w:t>
      </w:r>
    </w:p>
    <w:p w14:paraId="7BD87E6C">
      <w:pPr>
        <w:spacing w:before="567" w:line="360" w:lineRule="auto"/>
        <w:jc w:val="both"/>
        <w:rPr>
          <w:rFonts w:hint="eastAsia" w:ascii="黑体" w:hAnsi="黑体" w:eastAsia="黑体" w:cs="黑体"/>
          <w:sz w:val="52"/>
          <w:szCs w:val="52"/>
        </w:rPr>
      </w:pPr>
    </w:p>
    <w:p w14:paraId="3B76F211">
      <w:pPr>
        <w:spacing w:line="360" w:lineRule="auto"/>
      </w:pPr>
    </w:p>
    <w:p w14:paraId="5D314154">
      <w:pPr>
        <w:spacing w:line="360" w:lineRule="auto"/>
        <w:rPr>
          <w:rFonts w:hint="eastAsia" w:ascii="宋体" w:hAnsi="宋体" w:eastAsia="宋体" w:cs="宋体"/>
          <w:b/>
          <w:bCs/>
          <w:sz w:val="32"/>
          <w:szCs w:val="32"/>
        </w:rPr>
      </w:pPr>
    </w:p>
    <w:p w14:paraId="45A41479">
      <w:pPr>
        <w:spacing w:line="360" w:lineRule="auto"/>
        <w:rPr>
          <w:rFonts w:hint="eastAsia" w:ascii="宋体" w:hAnsi="宋体" w:eastAsia="宋体" w:cs="宋体"/>
          <w:b/>
          <w:bCs/>
          <w:sz w:val="32"/>
          <w:szCs w:val="32"/>
        </w:rPr>
      </w:pPr>
    </w:p>
    <w:p w14:paraId="42B24172">
      <w:pPr>
        <w:spacing w:line="360" w:lineRule="auto"/>
        <w:outlineLvl w:val="9"/>
        <w:rPr>
          <w:rFonts w:hint="eastAsia" w:ascii="宋体" w:hAnsi="宋体" w:eastAsia="宋体" w:cs="宋体"/>
          <w:b/>
          <w:bCs/>
          <w:sz w:val="32"/>
          <w:szCs w:val="32"/>
        </w:rPr>
      </w:pPr>
      <w:bookmarkStart w:id="5" w:name="_Toc11024"/>
      <w:bookmarkStart w:id="6" w:name="_Toc21829"/>
      <w:bookmarkStart w:id="7" w:name="_Toc5564"/>
      <w:bookmarkStart w:id="8" w:name="_Toc9517"/>
      <w:bookmarkStart w:id="9" w:name="_Toc17667"/>
      <w:r>
        <w:rPr>
          <w:rFonts w:hint="eastAsia" w:ascii="宋体" w:hAnsi="宋体" w:eastAsia="宋体" w:cs="宋体"/>
          <w:b/>
          <w:bCs/>
          <w:sz w:val="32"/>
          <w:szCs w:val="32"/>
        </w:rPr>
        <w:t>项目单位：</w:t>
      </w:r>
      <w:bookmarkEnd w:id="5"/>
      <w:bookmarkEnd w:id="6"/>
      <w:bookmarkEnd w:id="7"/>
      <w:bookmarkEnd w:id="8"/>
      <w:bookmarkEnd w:id="9"/>
      <w:r>
        <w:rPr>
          <w:rFonts w:hint="eastAsia" w:ascii="宋体" w:hAnsi="宋体" w:eastAsia="宋体" w:cs="宋体"/>
          <w:b/>
          <w:bCs/>
          <w:sz w:val="32"/>
          <w:szCs w:val="32"/>
        </w:rPr>
        <w:t>中共雁峰区委巡察工作领导小组办公室</w:t>
      </w:r>
    </w:p>
    <w:p w14:paraId="4B8583F0">
      <w:pPr>
        <w:spacing w:line="360" w:lineRule="auto"/>
        <w:outlineLvl w:val="9"/>
        <w:rPr>
          <w:rFonts w:hint="eastAsia" w:ascii="宋体" w:hAnsi="宋体" w:eastAsia="宋体" w:cs="宋体"/>
          <w:b/>
          <w:bCs/>
          <w:sz w:val="32"/>
          <w:szCs w:val="32"/>
        </w:rPr>
      </w:pPr>
      <w:r>
        <w:rPr>
          <w:rFonts w:hint="eastAsia" w:ascii="宋体" w:hAnsi="宋体" w:eastAsia="宋体" w:cs="宋体"/>
          <w:b/>
          <w:bCs/>
          <w:sz w:val="32"/>
          <w:szCs w:val="32"/>
        </w:rPr>
        <w:t>主管单位：雁峰区人民政府</w:t>
      </w:r>
    </w:p>
    <w:p w14:paraId="5C2359A4">
      <w:pPr>
        <w:spacing w:line="360" w:lineRule="auto"/>
        <w:outlineLvl w:val="9"/>
        <w:rPr>
          <w:rFonts w:hint="eastAsia" w:ascii="宋体" w:hAnsi="宋体" w:eastAsia="宋体" w:cs="宋体"/>
          <w:b/>
          <w:bCs/>
          <w:sz w:val="32"/>
          <w:szCs w:val="32"/>
        </w:rPr>
      </w:pPr>
      <w:bookmarkStart w:id="10" w:name="_Toc19386"/>
      <w:bookmarkStart w:id="11" w:name="_Toc18773"/>
      <w:bookmarkStart w:id="12" w:name="_Toc32054"/>
      <w:bookmarkStart w:id="13" w:name="_Toc10517"/>
      <w:bookmarkStart w:id="14" w:name="_Toc1533"/>
      <w:r>
        <w:rPr>
          <w:rFonts w:hint="eastAsia" w:ascii="宋体" w:hAnsi="宋体" w:eastAsia="宋体" w:cs="宋体"/>
          <w:b/>
          <w:bCs/>
          <w:sz w:val="32"/>
          <w:szCs w:val="32"/>
        </w:rPr>
        <w:t>委托单位：雁峰区财政局</w:t>
      </w:r>
      <w:bookmarkEnd w:id="10"/>
      <w:bookmarkEnd w:id="11"/>
      <w:bookmarkEnd w:id="12"/>
      <w:bookmarkEnd w:id="13"/>
      <w:bookmarkEnd w:id="14"/>
    </w:p>
    <w:p w14:paraId="5332BF0B">
      <w:pPr>
        <w:spacing w:line="360" w:lineRule="auto"/>
        <w:outlineLvl w:val="9"/>
        <w:rPr>
          <w:b/>
          <w:bCs/>
          <w:sz w:val="32"/>
          <w:szCs w:val="36"/>
        </w:rPr>
        <w:sectPr>
          <w:headerReference r:id="rId3" w:type="default"/>
          <w:footerReference r:id="rId4" w:type="default"/>
          <w:pgSz w:w="11906" w:h="16838"/>
          <w:pgMar w:top="1440" w:right="1803" w:bottom="1440" w:left="1803" w:header="851" w:footer="992" w:gutter="0"/>
          <w:cols w:space="0" w:num="1"/>
          <w:docGrid w:type="lines" w:linePitch="332" w:charSpace="0"/>
        </w:sectPr>
      </w:pPr>
      <w:r>
        <w:rPr>
          <w:rFonts w:hint="eastAsia" w:ascii="宋体" w:hAnsi="宋体" w:eastAsia="宋体" w:cs="宋体"/>
          <w:b/>
          <w:bCs/>
          <w:spacing w:val="320"/>
          <w:kern w:val="0"/>
          <w:sz w:val="32"/>
          <w:szCs w:val="32"/>
          <w:fitText w:val="1280" w:id="2085554003"/>
        </w:rPr>
        <w:t>日</w:t>
      </w:r>
      <w:r>
        <w:rPr>
          <w:rFonts w:hint="eastAsia" w:ascii="宋体" w:hAnsi="宋体" w:eastAsia="宋体" w:cs="宋体"/>
          <w:b/>
          <w:bCs/>
          <w:spacing w:val="0"/>
          <w:kern w:val="0"/>
          <w:sz w:val="32"/>
          <w:szCs w:val="32"/>
          <w:fitText w:val="1280" w:id="2085554003"/>
        </w:rPr>
        <w:t>期</w:t>
      </w:r>
      <w:r>
        <w:rPr>
          <w:rFonts w:hint="eastAsia" w:ascii="宋体" w:hAnsi="宋体" w:eastAsia="宋体" w:cs="宋体"/>
          <w:b/>
          <w:bCs/>
          <w:sz w:val="32"/>
          <w:szCs w:val="32"/>
        </w:rPr>
        <w:t>：2025年</w:t>
      </w:r>
      <w:r>
        <w:rPr>
          <w:rFonts w:hint="eastAsia" w:ascii="宋体" w:hAnsi="宋体" w:eastAsia="宋体" w:cs="宋体"/>
          <w:b/>
          <w:bCs/>
          <w:sz w:val="32"/>
          <w:szCs w:val="32"/>
          <w:lang w:val="en-US" w:eastAsia="zh-CN"/>
        </w:rPr>
        <w:t xml:space="preserve"> 9 </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23 </w:t>
      </w:r>
      <w:r>
        <w:rPr>
          <w:rFonts w:hint="eastAsia" w:ascii="宋体" w:hAnsi="宋体" w:eastAsia="宋体" w:cs="宋体"/>
          <w:b/>
          <w:bCs/>
          <w:sz w:val="32"/>
          <w:szCs w:val="32"/>
        </w:rPr>
        <w:t>日</w:t>
      </w:r>
    </w:p>
    <w:p w14:paraId="4977FA7D"/>
    <w:p w14:paraId="0AEC3833">
      <w:pPr>
        <w:pStyle w:val="7"/>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textAlignment w:val="auto"/>
        <w:rPr>
          <w:sz w:val="32"/>
          <w:szCs w:val="32"/>
        </w:rPr>
      </w:pPr>
      <w:r>
        <w:rPr>
          <w:rFonts w:hint="eastAsia"/>
          <w:sz w:val="36"/>
          <w:szCs w:val="36"/>
        </w:rPr>
        <w:tab/>
      </w:r>
      <w:r>
        <w:rPr>
          <w:rFonts w:hint="eastAsia" w:ascii="方正小标宋简体" w:hAnsi="方正小标宋简体" w:eastAsia="方正小标宋简体" w:cs="方正小标宋简体"/>
          <w:b/>
          <w:bCs/>
          <w:spacing w:val="320"/>
          <w:kern w:val="0"/>
          <w:sz w:val="44"/>
          <w:szCs w:val="44"/>
          <w:fitText w:val="1080" w:id="1955599196"/>
        </w:rPr>
        <w:t>目</w:t>
      </w:r>
      <w:r>
        <w:rPr>
          <w:rFonts w:hint="eastAsia" w:ascii="方正小标宋简体" w:hAnsi="方正小标宋简体" w:eastAsia="方正小标宋简体" w:cs="方正小标宋简体"/>
          <w:b/>
          <w:bCs/>
          <w:kern w:val="0"/>
          <w:sz w:val="44"/>
          <w:szCs w:val="44"/>
          <w:lang w:eastAsia="zh-CN"/>
        </w:rPr>
        <w:t>录</w:t>
      </w:r>
    </w:p>
    <w:sdt>
      <w:sdtPr>
        <w:rPr>
          <w:rFonts w:ascii="宋体" w:hAnsi="宋体" w:eastAsia="宋体" w:cs="Times New Roman"/>
          <w:sz w:val="32"/>
          <w:szCs w:val="32"/>
          <w:lang w:val="en-US" w:eastAsia="zh-CN" w:bidi="ar-SA"/>
        </w:rPr>
        <w:id w:val="147455549"/>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14:paraId="15170CBC">
          <w:pPr>
            <w:pStyle w:val="7"/>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textAlignment w:val="auto"/>
            <w:rPr>
              <w:sz w:val="32"/>
              <w:szCs w:val="32"/>
            </w:rPr>
          </w:pPr>
        </w:p>
        <w:p w14:paraId="3A6C2F27">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TOC \o "1-3" \h \u </w:instrText>
          </w:r>
          <w:r>
            <w:rPr>
              <w:sz w:val="32"/>
              <w:szCs w:val="32"/>
            </w:rPr>
            <w:fldChar w:fldCharType="separate"/>
          </w:r>
          <w:r>
            <w:rPr>
              <w:sz w:val="32"/>
              <w:szCs w:val="32"/>
            </w:rPr>
            <w:fldChar w:fldCharType="begin"/>
          </w:r>
          <w:r>
            <w:rPr>
              <w:sz w:val="32"/>
              <w:szCs w:val="32"/>
            </w:rPr>
            <w:instrText xml:space="preserve"> HYPERLINK \l _Toc19082 </w:instrText>
          </w:r>
          <w:r>
            <w:rPr>
              <w:sz w:val="32"/>
              <w:szCs w:val="32"/>
            </w:rPr>
            <w:fldChar w:fldCharType="separate"/>
          </w:r>
          <w:r>
            <w:rPr>
              <w:rFonts w:hint="eastAsia" w:ascii="黑体" w:hAnsi="黑体" w:eastAsia="黑体" w:cs="黑体"/>
              <w:sz w:val="32"/>
              <w:szCs w:val="32"/>
            </w:rPr>
            <w:t>一、绩效评价基本情况</w:t>
          </w:r>
          <w:r>
            <w:rPr>
              <w:sz w:val="32"/>
              <w:szCs w:val="32"/>
            </w:rPr>
            <w:tab/>
          </w:r>
          <w:r>
            <w:rPr>
              <w:sz w:val="32"/>
              <w:szCs w:val="32"/>
            </w:rPr>
            <w:fldChar w:fldCharType="begin"/>
          </w:r>
          <w:r>
            <w:rPr>
              <w:sz w:val="32"/>
              <w:szCs w:val="32"/>
            </w:rPr>
            <w:instrText xml:space="preserve"> PAGEREF _Toc19082 \h </w:instrText>
          </w:r>
          <w:r>
            <w:rPr>
              <w:sz w:val="32"/>
              <w:szCs w:val="32"/>
            </w:rPr>
            <w:fldChar w:fldCharType="separate"/>
          </w:r>
          <w:r>
            <w:rPr>
              <w:sz w:val="32"/>
              <w:szCs w:val="32"/>
            </w:rPr>
            <w:t>1</w:t>
          </w:r>
          <w:r>
            <w:rPr>
              <w:sz w:val="32"/>
              <w:szCs w:val="32"/>
            </w:rPr>
            <w:fldChar w:fldCharType="end"/>
          </w:r>
          <w:r>
            <w:rPr>
              <w:sz w:val="32"/>
              <w:szCs w:val="32"/>
            </w:rPr>
            <w:fldChar w:fldCharType="end"/>
          </w:r>
        </w:p>
        <w:p w14:paraId="02EDA43D">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_Toc25289 </w:instrText>
          </w:r>
          <w:r>
            <w:rPr>
              <w:sz w:val="32"/>
              <w:szCs w:val="32"/>
            </w:rPr>
            <w:fldChar w:fldCharType="separate"/>
          </w:r>
          <w:r>
            <w:rPr>
              <w:rFonts w:hint="eastAsia" w:ascii="楷体" w:hAnsi="楷体" w:eastAsia="楷体" w:cs="楷体"/>
              <w:bCs/>
              <w:sz w:val="32"/>
              <w:szCs w:val="32"/>
            </w:rPr>
            <w:t>（一）评价对象和范围</w:t>
          </w:r>
          <w:r>
            <w:rPr>
              <w:sz w:val="32"/>
              <w:szCs w:val="32"/>
            </w:rPr>
            <w:tab/>
          </w:r>
          <w:r>
            <w:rPr>
              <w:sz w:val="32"/>
              <w:szCs w:val="32"/>
            </w:rPr>
            <w:fldChar w:fldCharType="begin"/>
          </w:r>
          <w:r>
            <w:rPr>
              <w:sz w:val="32"/>
              <w:szCs w:val="32"/>
            </w:rPr>
            <w:instrText xml:space="preserve"> PAGEREF _Toc25289 \h </w:instrText>
          </w:r>
          <w:r>
            <w:rPr>
              <w:sz w:val="32"/>
              <w:szCs w:val="32"/>
            </w:rPr>
            <w:fldChar w:fldCharType="separate"/>
          </w:r>
          <w:r>
            <w:rPr>
              <w:sz w:val="32"/>
              <w:szCs w:val="32"/>
            </w:rPr>
            <w:t>1</w:t>
          </w:r>
          <w:r>
            <w:rPr>
              <w:sz w:val="32"/>
              <w:szCs w:val="32"/>
            </w:rPr>
            <w:fldChar w:fldCharType="end"/>
          </w:r>
          <w:r>
            <w:rPr>
              <w:sz w:val="32"/>
              <w:szCs w:val="32"/>
            </w:rPr>
            <w:fldChar w:fldCharType="end"/>
          </w:r>
        </w:p>
        <w:p w14:paraId="38B57748">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_Toc21533 </w:instrText>
          </w:r>
          <w:r>
            <w:rPr>
              <w:sz w:val="32"/>
              <w:szCs w:val="32"/>
            </w:rPr>
            <w:fldChar w:fldCharType="separate"/>
          </w:r>
          <w:r>
            <w:rPr>
              <w:rFonts w:hint="eastAsia" w:ascii="楷体" w:hAnsi="楷体" w:eastAsia="楷体" w:cs="楷体"/>
              <w:bCs/>
              <w:sz w:val="32"/>
              <w:szCs w:val="32"/>
            </w:rPr>
            <w:t>（二）评价依据</w:t>
          </w:r>
          <w:r>
            <w:rPr>
              <w:sz w:val="32"/>
              <w:szCs w:val="32"/>
            </w:rPr>
            <w:tab/>
          </w:r>
          <w:r>
            <w:rPr>
              <w:sz w:val="32"/>
              <w:szCs w:val="32"/>
            </w:rPr>
            <w:fldChar w:fldCharType="begin"/>
          </w:r>
          <w:r>
            <w:rPr>
              <w:sz w:val="32"/>
              <w:szCs w:val="32"/>
            </w:rPr>
            <w:instrText xml:space="preserve"> PAGEREF _Toc21533 \h </w:instrText>
          </w:r>
          <w:r>
            <w:rPr>
              <w:sz w:val="32"/>
              <w:szCs w:val="32"/>
            </w:rPr>
            <w:fldChar w:fldCharType="separate"/>
          </w:r>
          <w:r>
            <w:rPr>
              <w:sz w:val="32"/>
              <w:szCs w:val="32"/>
            </w:rPr>
            <w:t>2</w:t>
          </w:r>
          <w:r>
            <w:rPr>
              <w:sz w:val="32"/>
              <w:szCs w:val="32"/>
            </w:rPr>
            <w:fldChar w:fldCharType="end"/>
          </w:r>
          <w:r>
            <w:rPr>
              <w:sz w:val="32"/>
              <w:szCs w:val="32"/>
            </w:rPr>
            <w:fldChar w:fldCharType="end"/>
          </w:r>
        </w:p>
        <w:p w14:paraId="34C95567">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_Toc10649 </w:instrText>
          </w:r>
          <w:r>
            <w:rPr>
              <w:sz w:val="32"/>
              <w:szCs w:val="32"/>
            </w:rPr>
            <w:fldChar w:fldCharType="separate"/>
          </w:r>
          <w:r>
            <w:rPr>
              <w:rFonts w:hint="eastAsia" w:ascii="楷体" w:hAnsi="楷体" w:eastAsia="楷体" w:cs="楷体"/>
              <w:bCs/>
              <w:sz w:val="32"/>
              <w:szCs w:val="32"/>
            </w:rPr>
            <w:t>（三）评价方法和目的</w:t>
          </w:r>
          <w:r>
            <w:rPr>
              <w:sz w:val="32"/>
              <w:szCs w:val="32"/>
            </w:rPr>
            <w:tab/>
          </w:r>
          <w:r>
            <w:rPr>
              <w:sz w:val="32"/>
              <w:szCs w:val="32"/>
            </w:rPr>
            <w:fldChar w:fldCharType="begin"/>
          </w:r>
          <w:r>
            <w:rPr>
              <w:sz w:val="32"/>
              <w:szCs w:val="32"/>
            </w:rPr>
            <w:instrText xml:space="preserve"> PAGEREF _Toc10649 \h </w:instrText>
          </w:r>
          <w:r>
            <w:rPr>
              <w:sz w:val="32"/>
              <w:szCs w:val="32"/>
            </w:rPr>
            <w:fldChar w:fldCharType="separate"/>
          </w:r>
          <w:r>
            <w:rPr>
              <w:sz w:val="32"/>
              <w:szCs w:val="32"/>
            </w:rPr>
            <w:t>3</w:t>
          </w:r>
          <w:r>
            <w:rPr>
              <w:sz w:val="32"/>
              <w:szCs w:val="32"/>
            </w:rPr>
            <w:fldChar w:fldCharType="end"/>
          </w:r>
          <w:r>
            <w:rPr>
              <w:sz w:val="32"/>
              <w:szCs w:val="32"/>
            </w:rPr>
            <w:fldChar w:fldCharType="end"/>
          </w:r>
        </w:p>
        <w:p w14:paraId="3444EE4B">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_Toc26026 </w:instrText>
          </w:r>
          <w:r>
            <w:rPr>
              <w:sz w:val="32"/>
              <w:szCs w:val="32"/>
            </w:rPr>
            <w:fldChar w:fldCharType="separate"/>
          </w:r>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r>
            <w:rPr>
              <w:sz w:val="32"/>
              <w:szCs w:val="32"/>
            </w:rPr>
            <w:tab/>
          </w:r>
          <w:r>
            <w:rPr>
              <w:sz w:val="32"/>
              <w:szCs w:val="32"/>
            </w:rPr>
            <w:fldChar w:fldCharType="begin"/>
          </w:r>
          <w:r>
            <w:rPr>
              <w:sz w:val="32"/>
              <w:szCs w:val="32"/>
            </w:rPr>
            <w:instrText xml:space="preserve"> PAGEREF _Toc26026 \h </w:instrText>
          </w:r>
          <w:r>
            <w:rPr>
              <w:sz w:val="32"/>
              <w:szCs w:val="32"/>
            </w:rPr>
            <w:fldChar w:fldCharType="separate"/>
          </w:r>
          <w:r>
            <w:rPr>
              <w:sz w:val="32"/>
              <w:szCs w:val="32"/>
            </w:rPr>
            <w:t>4</w:t>
          </w:r>
          <w:r>
            <w:rPr>
              <w:sz w:val="32"/>
              <w:szCs w:val="32"/>
            </w:rPr>
            <w:fldChar w:fldCharType="end"/>
          </w:r>
          <w:r>
            <w:rPr>
              <w:sz w:val="32"/>
              <w:szCs w:val="32"/>
            </w:rPr>
            <w:fldChar w:fldCharType="end"/>
          </w:r>
        </w:p>
        <w:p w14:paraId="556ABED7">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_Toc4379 </w:instrText>
          </w:r>
          <w:r>
            <w:rPr>
              <w:sz w:val="32"/>
              <w:szCs w:val="32"/>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部门基本信息</w:t>
          </w:r>
          <w:r>
            <w:rPr>
              <w:sz w:val="32"/>
              <w:szCs w:val="32"/>
            </w:rPr>
            <w:tab/>
          </w:r>
          <w:r>
            <w:rPr>
              <w:sz w:val="32"/>
              <w:szCs w:val="32"/>
            </w:rPr>
            <w:fldChar w:fldCharType="begin"/>
          </w:r>
          <w:r>
            <w:rPr>
              <w:sz w:val="32"/>
              <w:szCs w:val="32"/>
            </w:rPr>
            <w:instrText xml:space="preserve"> PAGEREF _Toc4379 \h </w:instrText>
          </w:r>
          <w:r>
            <w:rPr>
              <w:sz w:val="32"/>
              <w:szCs w:val="32"/>
            </w:rPr>
            <w:fldChar w:fldCharType="separate"/>
          </w:r>
          <w:r>
            <w:rPr>
              <w:sz w:val="32"/>
              <w:szCs w:val="32"/>
            </w:rPr>
            <w:t>4</w:t>
          </w:r>
          <w:r>
            <w:rPr>
              <w:sz w:val="32"/>
              <w:szCs w:val="32"/>
            </w:rPr>
            <w:fldChar w:fldCharType="end"/>
          </w:r>
          <w:r>
            <w:rPr>
              <w:sz w:val="32"/>
              <w:szCs w:val="32"/>
            </w:rPr>
            <w:fldChar w:fldCharType="end"/>
          </w:r>
        </w:p>
        <w:p w14:paraId="6E860578">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_Toc28745 </w:instrText>
          </w:r>
          <w:r>
            <w:rPr>
              <w:sz w:val="32"/>
              <w:szCs w:val="32"/>
            </w:rPr>
            <w:fldChar w:fldCharType="separate"/>
          </w:r>
          <w:r>
            <w:rPr>
              <w:rFonts w:hint="eastAsia" w:ascii="楷体" w:hAnsi="楷体" w:eastAsia="楷体" w:cs="楷体"/>
              <w:bCs/>
              <w:sz w:val="32"/>
              <w:szCs w:val="32"/>
              <w:lang w:val="en-US" w:eastAsia="zh-CN" w:bidi="ar-SA"/>
            </w:rPr>
            <w:t>（二）</w:t>
          </w:r>
          <w:r>
            <w:rPr>
              <w:rFonts w:hint="eastAsia" w:ascii="楷体" w:hAnsi="楷体" w:eastAsia="楷体" w:cs="楷体"/>
              <w:bCs/>
              <w:sz w:val="32"/>
              <w:szCs w:val="32"/>
            </w:rPr>
            <w:t>部门主要职责</w:t>
          </w:r>
          <w:r>
            <w:rPr>
              <w:sz w:val="32"/>
              <w:szCs w:val="32"/>
            </w:rPr>
            <w:tab/>
          </w:r>
          <w:r>
            <w:rPr>
              <w:sz w:val="32"/>
              <w:szCs w:val="32"/>
            </w:rPr>
            <w:fldChar w:fldCharType="begin"/>
          </w:r>
          <w:r>
            <w:rPr>
              <w:sz w:val="32"/>
              <w:szCs w:val="32"/>
            </w:rPr>
            <w:instrText xml:space="preserve"> PAGEREF _Toc28745 \h </w:instrText>
          </w:r>
          <w:r>
            <w:rPr>
              <w:sz w:val="32"/>
              <w:szCs w:val="32"/>
            </w:rPr>
            <w:fldChar w:fldCharType="separate"/>
          </w:r>
          <w:r>
            <w:rPr>
              <w:sz w:val="32"/>
              <w:szCs w:val="32"/>
            </w:rPr>
            <w:t>4</w:t>
          </w:r>
          <w:r>
            <w:rPr>
              <w:sz w:val="32"/>
              <w:szCs w:val="32"/>
            </w:rPr>
            <w:fldChar w:fldCharType="end"/>
          </w:r>
          <w:r>
            <w:rPr>
              <w:sz w:val="32"/>
              <w:szCs w:val="32"/>
            </w:rPr>
            <w:fldChar w:fldCharType="end"/>
          </w:r>
        </w:p>
        <w:p w14:paraId="41012625">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_Toc27887 </w:instrText>
          </w:r>
          <w:r>
            <w:rPr>
              <w:sz w:val="32"/>
              <w:szCs w:val="32"/>
            </w:rPr>
            <w:fldChar w:fldCharType="separate"/>
          </w:r>
          <w:r>
            <w:rPr>
              <w:rFonts w:hint="eastAsia" w:ascii="楷体" w:hAnsi="楷体" w:eastAsia="楷体" w:cs="楷体"/>
              <w:bCs/>
              <w:sz w:val="32"/>
              <w:szCs w:val="32"/>
            </w:rPr>
            <w:t>（三）部门组织架构与人员</w:t>
          </w:r>
          <w:r>
            <w:rPr>
              <w:sz w:val="32"/>
              <w:szCs w:val="32"/>
            </w:rPr>
            <w:tab/>
          </w:r>
          <w:r>
            <w:rPr>
              <w:sz w:val="32"/>
              <w:szCs w:val="32"/>
            </w:rPr>
            <w:fldChar w:fldCharType="begin"/>
          </w:r>
          <w:r>
            <w:rPr>
              <w:sz w:val="32"/>
              <w:szCs w:val="32"/>
            </w:rPr>
            <w:instrText xml:space="preserve"> PAGEREF _Toc27887 \h </w:instrText>
          </w:r>
          <w:r>
            <w:rPr>
              <w:sz w:val="32"/>
              <w:szCs w:val="32"/>
            </w:rPr>
            <w:fldChar w:fldCharType="separate"/>
          </w:r>
          <w:r>
            <w:rPr>
              <w:sz w:val="32"/>
              <w:szCs w:val="32"/>
            </w:rPr>
            <w:t>5</w:t>
          </w:r>
          <w:r>
            <w:rPr>
              <w:sz w:val="32"/>
              <w:szCs w:val="32"/>
            </w:rPr>
            <w:fldChar w:fldCharType="end"/>
          </w:r>
          <w:r>
            <w:rPr>
              <w:sz w:val="32"/>
              <w:szCs w:val="32"/>
            </w:rPr>
            <w:fldChar w:fldCharType="end"/>
          </w:r>
        </w:p>
        <w:p w14:paraId="68064A7A">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_Toc11356 </w:instrText>
          </w:r>
          <w:r>
            <w:rPr>
              <w:sz w:val="32"/>
              <w:szCs w:val="32"/>
            </w:rPr>
            <w:fldChar w:fldCharType="separate"/>
          </w:r>
          <w:r>
            <w:rPr>
              <w:rFonts w:hint="eastAsia" w:ascii="楷体" w:hAnsi="楷体" w:eastAsia="楷体" w:cs="楷体"/>
              <w:bCs/>
              <w:sz w:val="32"/>
              <w:szCs w:val="32"/>
            </w:rPr>
            <w:t>（四）部门2024年度职责履行及履职效益</w:t>
          </w:r>
          <w:r>
            <w:rPr>
              <w:sz w:val="32"/>
              <w:szCs w:val="32"/>
            </w:rPr>
            <w:tab/>
          </w:r>
          <w:r>
            <w:rPr>
              <w:sz w:val="32"/>
              <w:szCs w:val="32"/>
            </w:rPr>
            <w:fldChar w:fldCharType="begin"/>
          </w:r>
          <w:r>
            <w:rPr>
              <w:sz w:val="32"/>
              <w:szCs w:val="32"/>
            </w:rPr>
            <w:instrText xml:space="preserve"> PAGEREF _Toc11356 \h </w:instrText>
          </w:r>
          <w:r>
            <w:rPr>
              <w:sz w:val="32"/>
              <w:szCs w:val="32"/>
            </w:rPr>
            <w:fldChar w:fldCharType="separate"/>
          </w:r>
          <w:r>
            <w:rPr>
              <w:sz w:val="32"/>
              <w:szCs w:val="32"/>
            </w:rPr>
            <w:t>5</w:t>
          </w:r>
          <w:r>
            <w:rPr>
              <w:sz w:val="32"/>
              <w:szCs w:val="32"/>
            </w:rPr>
            <w:fldChar w:fldCharType="end"/>
          </w:r>
          <w:r>
            <w:rPr>
              <w:sz w:val="32"/>
              <w:szCs w:val="32"/>
            </w:rPr>
            <w:fldChar w:fldCharType="end"/>
          </w:r>
        </w:p>
        <w:p w14:paraId="6E0C4892">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_Toc553 </w:instrText>
          </w:r>
          <w:r>
            <w:rPr>
              <w:sz w:val="32"/>
              <w:szCs w:val="32"/>
            </w:rPr>
            <w:fldChar w:fldCharType="separate"/>
          </w:r>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r>
            <w:rPr>
              <w:sz w:val="32"/>
              <w:szCs w:val="32"/>
            </w:rPr>
            <w:tab/>
          </w:r>
          <w:r>
            <w:rPr>
              <w:sz w:val="32"/>
              <w:szCs w:val="32"/>
            </w:rPr>
            <w:fldChar w:fldCharType="begin"/>
          </w:r>
          <w:r>
            <w:rPr>
              <w:sz w:val="32"/>
              <w:szCs w:val="32"/>
            </w:rPr>
            <w:instrText xml:space="preserve"> PAGEREF _Toc553 \h </w:instrText>
          </w:r>
          <w:r>
            <w:rPr>
              <w:sz w:val="32"/>
              <w:szCs w:val="32"/>
            </w:rPr>
            <w:fldChar w:fldCharType="separate"/>
          </w:r>
          <w:r>
            <w:rPr>
              <w:sz w:val="32"/>
              <w:szCs w:val="32"/>
            </w:rPr>
            <w:t>8</w:t>
          </w:r>
          <w:r>
            <w:rPr>
              <w:sz w:val="32"/>
              <w:szCs w:val="32"/>
            </w:rPr>
            <w:fldChar w:fldCharType="end"/>
          </w:r>
          <w:r>
            <w:rPr>
              <w:sz w:val="32"/>
              <w:szCs w:val="32"/>
            </w:rPr>
            <w:fldChar w:fldCharType="end"/>
          </w:r>
        </w:p>
        <w:p w14:paraId="1C5011DE">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_Toc26619 </w:instrText>
          </w:r>
          <w:r>
            <w:rPr>
              <w:sz w:val="32"/>
              <w:szCs w:val="32"/>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预算配置情况及分析</w:t>
          </w:r>
          <w:r>
            <w:rPr>
              <w:sz w:val="32"/>
              <w:szCs w:val="32"/>
            </w:rPr>
            <w:tab/>
          </w:r>
          <w:r>
            <w:rPr>
              <w:sz w:val="32"/>
              <w:szCs w:val="32"/>
            </w:rPr>
            <w:fldChar w:fldCharType="begin"/>
          </w:r>
          <w:r>
            <w:rPr>
              <w:sz w:val="32"/>
              <w:szCs w:val="32"/>
            </w:rPr>
            <w:instrText xml:space="preserve"> PAGEREF _Toc26619 \h </w:instrText>
          </w:r>
          <w:r>
            <w:rPr>
              <w:sz w:val="32"/>
              <w:szCs w:val="32"/>
            </w:rPr>
            <w:fldChar w:fldCharType="separate"/>
          </w:r>
          <w:r>
            <w:rPr>
              <w:sz w:val="32"/>
              <w:szCs w:val="32"/>
            </w:rPr>
            <w:t>8</w:t>
          </w:r>
          <w:r>
            <w:rPr>
              <w:sz w:val="32"/>
              <w:szCs w:val="32"/>
            </w:rPr>
            <w:fldChar w:fldCharType="end"/>
          </w:r>
          <w:r>
            <w:rPr>
              <w:sz w:val="32"/>
              <w:szCs w:val="32"/>
            </w:rPr>
            <w:fldChar w:fldCharType="end"/>
          </w:r>
        </w:p>
        <w:p w14:paraId="5E443250">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_Toc22152 </w:instrText>
          </w:r>
          <w:r>
            <w:rPr>
              <w:sz w:val="32"/>
              <w:szCs w:val="32"/>
            </w:rPr>
            <w:fldChar w:fldCharType="separate"/>
          </w:r>
          <w:r>
            <w:rPr>
              <w:rFonts w:hint="eastAsia" w:ascii="楷体" w:hAnsi="楷体" w:eastAsia="楷体" w:cs="楷体"/>
              <w:bCs/>
              <w:sz w:val="32"/>
              <w:szCs w:val="32"/>
            </w:rPr>
            <w:t>（二）预算执行情况及分析</w:t>
          </w:r>
          <w:r>
            <w:rPr>
              <w:sz w:val="32"/>
              <w:szCs w:val="32"/>
            </w:rPr>
            <w:tab/>
          </w:r>
          <w:r>
            <w:rPr>
              <w:sz w:val="32"/>
              <w:szCs w:val="32"/>
            </w:rPr>
            <w:fldChar w:fldCharType="begin"/>
          </w:r>
          <w:r>
            <w:rPr>
              <w:sz w:val="32"/>
              <w:szCs w:val="32"/>
            </w:rPr>
            <w:instrText xml:space="preserve"> PAGEREF _Toc22152 \h </w:instrText>
          </w:r>
          <w:r>
            <w:rPr>
              <w:sz w:val="32"/>
              <w:szCs w:val="32"/>
            </w:rPr>
            <w:fldChar w:fldCharType="separate"/>
          </w:r>
          <w:r>
            <w:rPr>
              <w:sz w:val="32"/>
              <w:szCs w:val="32"/>
            </w:rPr>
            <w:t>9</w:t>
          </w:r>
          <w:r>
            <w:rPr>
              <w:sz w:val="32"/>
              <w:szCs w:val="32"/>
            </w:rPr>
            <w:fldChar w:fldCharType="end"/>
          </w:r>
          <w:r>
            <w:rPr>
              <w:sz w:val="32"/>
              <w:szCs w:val="32"/>
            </w:rPr>
            <w:fldChar w:fldCharType="end"/>
          </w:r>
        </w:p>
        <w:p w14:paraId="7AED7345">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_Toc27078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三</w:t>
          </w:r>
          <w:r>
            <w:rPr>
              <w:rFonts w:hint="eastAsia" w:ascii="楷体" w:hAnsi="楷体" w:eastAsia="楷体" w:cs="楷体"/>
              <w:bCs/>
              <w:sz w:val="32"/>
              <w:szCs w:val="32"/>
            </w:rPr>
            <w:t>）整体支出汇总及分析</w:t>
          </w:r>
          <w:r>
            <w:rPr>
              <w:sz w:val="32"/>
              <w:szCs w:val="32"/>
            </w:rPr>
            <w:tab/>
          </w:r>
          <w:r>
            <w:rPr>
              <w:sz w:val="32"/>
              <w:szCs w:val="32"/>
            </w:rPr>
            <w:fldChar w:fldCharType="begin"/>
          </w:r>
          <w:r>
            <w:rPr>
              <w:sz w:val="32"/>
              <w:szCs w:val="32"/>
            </w:rPr>
            <w:instrText xml:space="preserve"> PAGEREF _Toc27078 \h </w:instrText>
          </w:r>
          <w:r>
            <w:rPr>
              <w:sz w:val="32"/>
              <w:szCs w:val="32"/>
            </w:rPr>
            <w:fldChar w:fldCharType="separate"/>
          </w:r>
          <w:r>
            <w:rPr>
              <w:sz w:val="32"/>
              <w:szCs w:val="32"/>
            </w:rPr>
            <w:t>12</w:t>
          </w:r>
          <w:r>
            <w:rPr>
              <w:sz w:val="32"/>
              <w:szCs w:val="32"/>
            </w:rPr>
            <w:fldChar w:fldCharType="end"/>
          </w:r>
          <w:r>
            <w:rPr>
              <w:sz w:val="32"/>
              <w:szCs w:val="32"/>
            </w:rPr>
            <w:fldChar w:fldCharType="end"/>
          </w:r>
        </w:p>
        <w:p w14:paraId="5B6F8CA0">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_Toc5766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四</w:t>
          </w:r>
          <w:r>
            <w:rPr>
              <w:rFonts w:hint="eastAsia" w:ascii="楷体" w:hAnsi="楷体" w:eastAsia="楷体" w:cs="楷体"/>
              <w:bCs/>
              <w:sz w:val="32"/>
              <w:szCs w:val="32"/>
            </w:rPr>
            <w:t>）预算管理情况及分析</w:t>
          </w:r>
          <w:r>
            <w:rPr>
              <w:sz w:val="32"/>
              <w:szCs w:val="32"/>
            </w:rPr>
            <w:tab/>
          </w:r>
          <w:r>
            <w:rPr>
              <w:sz w:val="32"/>
              <w:szCs w:val="32"/>
            </w:rPr>
            <w:fldChar w:fldCharType="begin"/>
          </w:r>
          <w:r>
            <w:rPr>
              <w:sz w:val="32"/>
              <w:szCs w:val="32"/>
            </w:rPr>
            <w:instrText xml:space="preserve"> PAGEREF _Toc5766 \h </w:instrText>
          </w:r>
          <w:r>
            <w:rPr>
              <w:sz w:val="32"/>
              <w:szCs w:val="32"/>
            </w:rPr>
            <w:fldChar w:fldCharType="separate"/>
          </w:r>
          <w:r>
            <w:rPr>
              <w:sz w:val="32"/>
              <w:szCs w:val="32"/>
            </w:rPr>
            <w:t>16</w:t>
          </w:r>
          <w:r>
            <w:rPr>
              <w:sz w:val="32"/>
              <w:szCs w:val="32"/>
            </w:rPr>
            <w:fldChar w:fldCharType="end"/>
          </w:r>
          <w:r>
            <w:rPr>
              <w:sz w:val="32"/>
              <w:szCs w:val="32"/>
            </w:rPr>
            <w:fldChar w:fldCharType="end"/>
          </w:r>
        </w:p>
        <w:p w14:paraId="0DAE55AD">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_Toc4934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五</w:t>
          </w:r>
          <w:r>
            <w:rPr>
              <w:rFonts w:hint="eastAsia" w:ascii="楷体" w:hAnsi="楷体" w:eastAsia="楷体" w:cs="楷体"/>
              <w:bCs/>
              <w:sz w:val="32"/>
              <w:szCs w:val="32"/>
            </w:rPr>
            <w:t>）</w:t>
          </w:r>
          <w:r>
            <w:rPr>
              <w:rFonts w:hint="eastAsia" w:ascii="楷体" w:hAnsi="楷体" w:eastAsia="楷体" w:cs="楷体"/>
              <w:bCs/>
              <w:sz w:val="32"/>
              <w:szCs w:val="32"/>
              <w:lang w:eastAsia="zh-CN"/>
            </w:rPr>
            <w:t>工资经费</w:t>
          </w:r>
          <w:r>
            <w:rPr>
              <w:rFonts w:hint="eastAsia" w:ascii="楷体" w:hAnsi="楷体" w:eastAsia="楷体" w:cs="楷体"/>
              <w:bCs/>
              <w:sz w:val="32"/>
              <w:szCs w:val="32"/>
            </w:rPr>
            <w:t>管理情况及分析</w:t>
          </w:r>
          <w:r>
            <w:rPr>
              <w:sz w:val="32"/>
              <w:szCs w:val="32"/>
            </w:rPr>
            <w:tab/>
          </w:r>
          <w:r>
            <w:rPr>
              <w:sz w:val="32"/>
              <w:szCs w:val="32"/>
            </w:rPr>
            <w:fldChar w:fldCharType="begin"/>
          </w:r>
          <w:r>
            <w:rPr>
              <w:sz w:val="32"/>
              <w:szCs w:val="32"/>
            </w:rPr>
            <w:instrText xml:space="preserve"> PAGEREF _Toc4934 \h </w:instrText>
          </w:r>
          <w:r>
            <w:rPr>
              <w:sz w:val="32"/>
              <w:szCs w:val="32"/>
            </w:rPr>
            <w:fldChar w:fldCharType="separate"/>
          </w:r>
          <w:r>
            <w:rPr>
              <w:sz w:val="32"/>
              <w:szCs w:val="32"/>
            </w:rPr>
            <w:t>18</w:t>
          </w:r>
          <w:r>
            <w:rPr>
              <w:sz w:val="32"/>
              <w:szCs w:val="32"/>
            </w:rPr>
            <w:fldChar w:fldCharType="end"/>
          </w:r>
          <w:r>
            <w:rPr>
              <w:sz w:val="32"/>
              <w:szCs w:val="32"/>
            </w:rPr>
            <w:fldChar w:fldCharType="end"/>
          </w:r>
        </w:p>
        <w:p w14:paraId="2E06E5BE">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_Toc12473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六</w:t>
          </w:r>
          <w:r>
            <w:rPr>
              <w:rFonts w:hint="eastAsia" w:ascii="楷体" w:hAnsi="楷体" w:eastAsia="楷体" w:cs="楷体"/>
              <w:bCs/>
              <w:sz w:val="32"/>
              <w:szCs w:val="32"/>
            </w:rPr>
            <w:t>）项目支出管理情况及分析</w:t>
          </w:r>
          <w:r>
            <w:rPr>
              <w:sz w:val="32"/>
              <w:szCs w:val="32"/>
            </w:rPr>
            <w:tab/>
          </w:r>
          <w:r>
            <w:rPr>
              <w:sz w:val="32"/>
              <w:szCs w:val="32"/>
            </w:rPr>
            <w:fldChar w:fldCharType="begin"/>
          </w:r>
          <w:r>
            <w:rPr>
              <w:sz w:val="32"/>
              <w:szCs w:val="32"/>
            </w:rPr>
            <w:instrText xml:space="preserve"> PAGEREF _Toc12473 \h </w:instrText>
          </w:r>
          <w:r>
            <w:rPr>
              <w:sz w:val="32"/>
              <w:szCs w:val="32"/>
            </w:rPr>
            <w:fldChar w:fldCharType="separate"/>
          </w:r>
          <w:r>
            <w:rPr>
              <w:sz w:val="32"/>
              <w:szCs w:val="32"/>
            </w:rPr>
            <w:t>19</w:t>
          </w:r>
          <w:r>
            <w:rPr>
              <w:sz w:val="32"/>
              <w:szCs w:val="32"/>
            </w:rPr>
            <w:fldChar w:fldCharType="end"/>
          </w:r>
          <w:r>
            <w:rPr>
              <w:sz w:val="32"/>
              <w:szCs w:val="32"/>
            </w:rPr>
            <w:fldChar w:fldCharType="end"/>
          </w:r>
        </w:p>
        <w:p w14:paraId="583761C1">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_Toc1850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七</w:t>
          </w:r>
          <w:r>
            <w:rPr>
              <w:rFonts w:hint="eastAsia" w:ascii="楷体" w:hAnsi="楷体" w:eastAsia="楷体" w:cs="楷体"/>
              <w:bCs/>
              <w:sz w:val="32"/>
              <w:szCs w:val="32"/>
            </w:rPr>
            <w:t>）固定资产管理情况及分析</w:t>
          </w:r>
          <w:r>
            <w:rPr>
              <w:sz w:val="32"/>
              <w:szCs w:val="32"/>
            </w:rPr>
            <w:tab/>
          </w:r>
          <w:r>
            <w:rPr>
              <w:sz w:val="32"/>
              <w:szCs w:val="32"/>
            </w:rPr>
            <w:fldChar w:fldCharType="begin"/>
          </w:r>
          <w:r>
            <w:rPr>
              <w:sz w:val="32"/>
              <w:szCs w:val="32"/>
            </w:rPr>
            <w:instrText xml:space="preserve"> PAGEREF _Toc1850 \h </w:instrText>
          </w:r>
          <w:r>
            <w:rPr>
              <w:sz w:val="32"/>
              <w:szCs w:val="32"/>
            </w:rPr>
            <w:fldChar w:fldCharType="separate"/>
          </w:r>
          <w:r>
            <w:rPr>
              <w:sz w:val="32"/>
              <w:szCs w:val="32"/>
            </w:rPr>
            <w:t>19</w:t>
          </w:r>
          <w:r>
            <w:rPr>
              <w:sz w:val="32"/>
              <w:szCs w:val="32"/>
            </w:rPr>
            <w:fldChar w:fldCharType="end"/>
          </w:r>
          <w:r>
            <w:rPr>
              <w:sz w:val="32"/>
              <w:szCs w:val="32"/>
            </w:rPr>
            <w:fldChar w:fldCharType="end"/>
          </w:r>
        </w:p>
        <w:p w14:paraId="40ABB18D">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_Toc31064 </w:instrText>
          </w:r>
          <w:r>
            <w:rPr>
              <w:sz w:val="32"/>
              <w:szCs w:val="32"/>
            </w:rPr>
            <w:fldChar w:fldCharType="separate"/>
          </w:r>
          <w:r>
            <w:rPr>
              <w:rFonts w:hint="eastAsia" w:ascii="楷体" w:hAnsi="楷体" w:eastAsia="楷体" w:cs="楷体"/>
              <w:bCs/>
              <w:sz w:val="32"/>
              <w:szCs w:val="32"/>
              <w:lang w:val="en-US" w:eastAsia="zh-CN" w:bidi="ar-SA"/>
            </w:rPr>
            <w:t>（八）</w:t>
          </w:r>
          <w:r>
            <w:rPr>
              <w:rFonts w:hint="eastAsia" w:ascii="楷体" w:hAnsi="楷体" w:eastAsia="楷体" w:cs="楷体"/>
              <w:bCs/>
              <w:sz w:val="32"/>
              <w:szCs w:val="32"/>
            </w:rPr>
            <w:t>厉行节约保障措施的执行情况及其政策效果</w:t>
          </w:r>
          <w:r>
            <w:rPr>
              <w:sz w:val="32"/>
              <w:szCs w:val="32"/>
            </w:rPr>
            <w:tab/>
          </w:r>
          <w:r>
            <w:rPr>
              <w:sz w:val="32"/>
              <w:szCs w:val="32"/>
            </w:rPr>
            <w:fldChar w:fldCharType="begin"/>
          </w:r>
          <w:r>
            <w:rPr>
              <w:sz w:val="32"/>
              <w:szCs w:val="32"/>
            </w:rPr>
            <w:instrText xml:space="preserve"> PAGEREF _Toc31064 \h </w:instrText>
          </w:r>
          <w:r>
            <w:rPr>
              <w:sz w:val="32"/>
              <w:szCs w:val="32"/>
            </w:rPr>
            <w:fldChar w:fldCharType="separate"/>
          </w:r>
          <w:r>
            <w:rPr>
              <w:sz w:val="32"/>
              <w:szCs w:val="32"/>
            </w:rPr>
            <w:t>20</w:t>
          </w:r>
          <w:r>
            <w:rPr>
              <w:sz w:val="32"/>
              <w:szCs w:val="32"/>
            </w:rPr>
            <w:fldChar w:fldCharType="end"/>
          </w:r>
          <w:r>
            <w:rPr>
              <w:sz w:val="32"/>
              <w:szCs w:val="32"/>
            </w:rPr>
            <w:fldChar w:fldCharType="end"/>
          </w:r>
        </w:p>
        <w:p w14:paraId="7B05BFDC">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_Toc31629 </w:instrText>
          </w:r>
          <w:r>
            <w:rPr>
              <w:sz w:val="32"/>
              <w:szCs w:val="32"/>
            </w:rPr>
            <w:fldChar w:fldCharType="separate"/>
          </w:r>
          <w:r>
            <w:rPr>
              <w:rFonts w:hint="eastAsia" w:ascii="黑体" w:hAnsi="黑体" w:eastAsia="黑体" w:cs="黑体"/>
              <w:bCs/>
              <w:sz w:val="32"/>
              <w:szCs w:val="32"/>
              <w:lang w:eastAsia="zh-CN"/>
            </w:rPr>
            <w:t>四</w:t>
          </w:r>
          <w:r>
            <w:rPr>
              <w:rFonts w:hint="eastAsia" w:ascii="黑体" w:hAnsi="黑体" w:eastAsia="黑体" w:cs="黑体"/>
              <w:bCs/>
              <w:sz w:val="32"/>
              <w:szCs w:val="32"/>
            </w:rPr>
            <w:t>、部门绩效目标</w:t>
          </w:r>
          <w:r>
            <w:rPr>
              <w:sz w:val="32"/>
              <w:szCs w:val="32"/>
            </w:rPr>
            <w:tab/>
          </w:r>
          <w:r>
            <w:rPr>
              <w:sz w:val="32"/>
              <w:szCs w:val="32"/>
            </w:rPr>
            <w:fldChar w:fldCharType="begin"/>
          </w:r>
          <w:r>
            <w:rPr>
              <w:sz w:val="32"/>
              <w:szCs w:val="32"/>
            </w:rPr>
            <w:instrText xml:space="preserve"> PAGEREF _Toc31629 \h </w:instrText>
          </w:r>
          <w:r>
            <w:rPr>
              <w:sz w:val="32"/>
              <w:szCs w:val="32"/>
            </w:rPr>
            <w:fldChar w:fldCharType="separate"/>
          </w:r>
          <w:r>
            <w:rPr>
              <w:sz w:val="32"/>
              <w:szCs w:val="32"/>
            </w:rPr>
            <w:t>20</w:t>
          </w:r>
          <w:r>
            <w:rPr>
              <w:sz w:val="32"/>
              <w:szCs w:val="32"/>
            </w:rPr>
            <w:fldChar w:fldCharType="end"/>
          </w:r>
          <w:r>
            <w:rPr>
              <w:sz w:val="32"/>
              <w:szCs w:val="32"/>
            </w:rPr>
            <w:fldChar w:fldCharType="end"/>
          </w:r>
        </w:p>
        <w:p w14:paraId="4C83F5E2">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_Toc32491 </w:instrText>
          </w:r>
          <w:r>
            <w:rPr>
              <w:sz w:val="32"/>
              <w:szCs w:val="32"/>
            </w:rPr>
            <w:fldChar w:fldCharType="separate"/>
          </w:r>
          <w:r>
            <w:rPr>
              <w:rFonts w:hint="eastAsia" w:ascii="楷体" w:hAnsi="楷体" w:eastAsia="楷体" w:cs="楷体"/>
              <w:bCs/>
              <w:sz w:val="32"/>
              <w:szCs w:val="32"/>
            </w:rPr>
            <w:t>（一）总体目标</w:t>
          </w:r>
          <w:r>
            <w:rPr>
              <w:sz w:val="32"/>
              <w:szCs w:val="32"/>
            </w:rPr>
            <w:tab/>
          </w:r>
          <w:r>
            <w:rPr>
              <w:sz w:val="32"/>
              <w:szCs w:val="32"/>
            </w:rPr>
            <w:fldChar w:fldCharType="begin"/>
          </w:r>
          <w:r>
            <w:rPr>
              <w:sz w:val="32"/>
              <w:szCs w:val="32"/>
            </w:rPr>
            <w:instrText xml:space="preserve"> PAGEREF _Toc32491 \h </w:instrText>
          </w:r>
          <w:r>
            <w:rPr>
              <w:sz w:val="32"/>
              <w:szCs w:val="32"/>
            </w:rPr>
            <w:fldChar w:fldCharType="separate"/>
          </w:r>
          <w:r>
            <w:rPr>
              <w:sz w:val="32"/>
              <w:szCs w:val="32"/>
            </w:rPr>
            <w:t>20</w:t>
          </w:r>
          <w:r>
            <w:rPr>
              <w:sz w:val="32"/>
              <w:szCs w:val="32"/>
            </w:rPr>
            <w:fldChar w:fldCharType="end"/>
          </w:r>
          <w:r>
            <w:rPr>
              <w:sz w:val="32"/>
              <w:szCs w:val="32"/>
            </w:rPr>
            <w:fldChar w:fldCharType="end"/>
          </w:r>
        </w:p>
        <w:p w14:paraId="33B4B476">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_Toc23501 </w:instrText>
          </w:r>
          <w:r>
            <w:rPr>
              <w:sz w:val="32"/>
              <w:szCs w:val="32"/>
            </w:rPr>
            <w:fldChar w:fldCharType="separate"/>
          </w:r>
          <w:r>
            <w:rPr>
              <w:rFonts w:hint="eastAsia" w:ascii="楷体" w:hAnsi="楷体" w:eastAsia="楷体" w:cs="楷体"/>
              <w:bCs/>
              <w:sz w:val="32"/>
              <w:szCs w:val="32"/>
            </w:rPr>
            <w:t>（二）细化绩效指标</w:t>
          </w:r>
          <w:r>
            <w:rPr>
              <w:sz w:val="32"/>
              <w:szCs w:val="32"/>
            </w:rPr>
            <w:tab/>
          </w:r>
          <w:r>
            <w:rPr>
              <w:sz w:val="32"/>
              <w:szCs w:val="32"/>
            </w:rPr>
            <w:fldChar w:fldCharType="begin"/>
          </w:r>
          <w:r>
            <w:rPr>
              <w:sz w:val="32"/>
              <w:szCs w:val="32"/>
            </w:rPr>
            <w:instrText xml:space="preserve"> PAGEREF _Toc23501 \h </w:instrText>
          </w:r>
          <w:r>
            <w:rPr>
              <w:sz w:val="32"/>
              <w:szCs w:val="32"/>
            </w:rPr>
            <w:fldChar w:fldCharType="separate"/>
          </w:r>
          <w:r>
            <w:rPr>
              <w:sz w:val="32"/>
              <w:szCs w:val="32"/>
            </w:rPr>
            <w:t>21</w:t>
          </w:r>
          <w:r>
            <w:rPr>
              <w:sz w:val="32"/>
              <w:szCs w:val="32"/>
            </w:rPr>
            <w:fldChar w:fldCharType="end"/>
          </w:r>
          <w:r>
            <w:rPr>
              <w:sz w:val="32"/>
              <w:szCs w:val="32"/>
            </w:rPr>
            <w:fldChar w:fldCharType="end"/>
          </w:r>
        </w:p>
        <w:p w14:paraId="33218F93">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_Toc16743 </w:instrText>
          </w:r>
          <w:r>
            <w:rPr>
              <w:sz w:val="32"/>
              <w:szCs w:val="32"/>
            </w:rPr>
            <w:fldChar w:fldCharType="separate"/>
          </w:r>
          <w:r>
            <w:rPr>
              <w:rFonts w:hint="eastAsia" w:ascii="黑体" w:hAnsi="黑体" w:eastAsia="黑体" w:cs="黑体"/>
              <w:sz w:val="32"/>
              <w:szCs w:val="32"/>
              <w:lang w:eastAsia="zh-CN"/>
            </w:rPr>
            <w:t>五</w:t>
          </w:r>
          <w:r>
            <w:rPr>
              <w:rFonts w:hint="eastAsia" w:ascii="黑体" w:hAnsi="黑体" w:eastAsia="黑体" w:cs="黑体"/>
              <w:sz w:val="32"/>
              <w:szCs w:val="32"/>
            </w:rPr>
            <w:t>、部门绩效考评情况</w:t>
          </w:r>
          <w:r>
            <w:rPr>
              <w:sz w:val="32"/>
              <w:szCs w:val="32"/>
            </w:rPr>
            <w:tab/>
          </w:r>
          <w:r>
            <w:rPr>
              <w:sz w:val="32"/>
              <w:szCs w:val="32"/>
            </w:rPr>
            <w:fldChar w:fldCharType="begin"/>
          </w:r>
          <w:r>
            <w:rPr>
              <w:sz w:val="32"/>
              <w:szCs w:val="32"/>
            </w:rPr>
            <w:instrText xml:space="preserve"> PAGEREF _Toc16743 \h </w:instrText>
          </w:r>
          <w:r>
            <w:rPr>
              <w:sz w:val="32"/>
              <w:szCs w:val="32"/>
            </w:rPr>
            <w:fldChar w:fldCharType="separate"/>
          </w:r>
          <w:r>
            <w:rPr>
              <w:sz w:val="32"/>
              <w:szCs w:val="32"/>
            </w:rPr>
            <w:t>21</w:t>
          </w:r>
          <w:r>
            <w:rPr>
              <w:sz w:val="32"/>
              <w:szCs w:val="32"/>
            </w:rPr>
            <w:fldChar w:fldCharType="end"/>
          </w:r>
          <w:r>
            <w:rPr>
              <w:sz w:val="32"/>
              <w:szCs w:val="32"/>
            </w:rPr>
            <w:fldChar w:fldCharType="end"/>
          </w:r>
        </w:p>
        <w:p w14:paraId="0D8ABE5B">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_Toc18503 </w:instrText>
          </w:r>
          <w:r>
            <w:rPr>
              <w:sz w:val="32"/>
              <w:szCs w:val="32"/>
            </w:rPr>
            <w:fldChar w:fldCharType="separate"/>
          </w:r>
          <w:r>
            <w:rPr>
              <w:rFonts w:hint="eastAsia" w:ascii="楷体" w:hAnsi="楷体" w:eastAsia="楷体" w:cs="楷体"/>
              <w:bCs/>
              <w:sz w:val="32"/>
              <w:szCs w:val="32"/>
            </w:rPr>
            <w:t>（一）评价框架</w:t>
          </w:r>
          <w:r>
            <w:rPr>
              <w:sz w:val="32"/>
              <w:szCs w:val="32"/>
            </w:rPr>
            <w:tab/>
          </w:r>
          <w:r>
            <w:rPr>
              <w:sz w:val="32"/>
              <w:szCs w:val="32"/>
            </w:rPr>
            <w:fldChar w:fldCharType="begin"/>
          </w:r>
          <w:r>
            <w:rPr>
              <w:sz w:val="32"/>
              <w:szCs w:val="32"/>
            </w:rPr>
            <w:instrText xml:space="preserve"> PAGEREF _Toc18503 \h </w:instrText>
          </w:r>
          <w:r>
            <w:rPr>
              <w:sz w:val="32"/>
              <w:szCs w:val="32"/>
            </w:rPr>
            <w:fldChar w:fldCharType="separate"/>
          </w:r>
          <w:r>
            <w:rPr>
              <w:sz w:val="32"/>
              <w:szCs w:val="32"/>
            </w:rPr>
            <w:t>22</w:t>
          </w:r>
          <w:r>
            <w:rPr>
              <w:sz w:val="32"/>
              <w:szCs w:val="32"/>
            </w:rPr>
            <w:fldChar w:fldCharType="end"/>
          </w:r>
          <w:r>
            <w:rPr>
              <w:sz w:val="32"/>
              <w:szCs w:val="32"/>
            </w:rPr>
            <w:fldChar w:fldCharType="end"/>
          </w:r>
        </w:p>
        <w:p w14:paraId="39A20A34">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_Toc18251 </w:instrText>
          </w:r>
          <w:r>
            <w:rPr>
              <w:sz w:val="32"/>
              <w:szCs w:val="32"/>
            </w:rPr>
            <w:fldChar w:fldCharType="separate"/>
          </w:r>
          <w:r>
            <w:rPr>
              <w:rFonts w:hint="eastAsia" w:ascii="楷体" w:hAnsi="楷体" w:eastAsia="楷体" w:cs="楷体"/>
              <w:bCs/>
              <w:sz w:val="32"/>
              <w:szCs w:val="32"/>
            </w:rPr>
            <w:t>（二）评价分析</w:t>
          </w:r>
          <w:r>
            <w:rPr>
              <w:sz w:val="32"/>
              <w:szCs w:val="32"/>
            </w:rPr>
            <w:tab/>
          </w:r>
          <w:r>
            <w:rPr>
              <w:sz w:val="32"/>
              <w:szCs w:val="32"/>
            </w:rPr>
            <w:fldChar w:fldCharType="begin"/>
          </w:r>
          <w:r>
            <w:rPr>
              <w:sz w:val="32"/>
              <w:szCs w:val="32"/>
            </w:rPr>
            <w:instrText xml:space="preserve"> PAGEREF _Toc18251 \h </w:instrText>
          </w:r>
          <w:r>
            <w:rPr>
              <w:sz w:val="32"/>
              <w:szCs w:val="32"/>
            </w:rPr>
            <w:fldChar w:fldCharType="separate"/>
          </w:r>
          <w:r>
            <w:rPr>
              <w:sz w:val="32"/>
              <w:szCs w:val="32"/>
            </w:rPr>
            <w:t>23</w:t>
          </w:r>
          <w:r>
            <w:rPr>
              <w:sz w:val="32"/>
              <w:szCs w:val="32"/>
            </w:rPr>
            <w:fldChar w:fldCharType="end"/>
          </w:r>
          <w:r>
            <w:rPr>
              <w:sz w:val="32"/>
              <w:szCs w:val="32"/>
            </w:rPr>
            <w:fldChar w:fldCharType="end"/>
          </w:r>
        </w:p>
        <w:p w14:paraId="13CE584E">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_Toc8005 </w:instrText>
          </w:r>
          <w:r>
            <w:rPr>
              <w:sz w:val="32"/>
              <w:szCs w:val="32"/>
            </w:rPr>
            <w:fldChar w:fldCharType="separate"/>
          </w:r>
          <w:r>
            <w:rPr>
              <w:rFonts w:hint="eastAsia" w:ascii="楷体" w:hAnsi="楷体" w:eastAsia="楷体" w:cs="楷体"/>
              <w:bCs/>
              <w:sz w:val="32"/>
              <w:szCs w:val="32"/>
            </w:rPr>
            <w:t>（三）评价结果</w:t>
          </w:r>
          <w:r>
            <w:rPr>
              <w:sz w:val="32"/>
              <w:szCs w:val="32"/>
            </w:rPr>
            <w:tab/>
          </w:r>
          <w:r>
            <w:rPr>
              <w:sz w:val="32"/>
              <w:szCs w:val="32"/>
            </w:rPr>
            <w:fldChar w:fldCharType="begin"/>
          </w:r>
          <w:r>
            <w:rPr>
              <w:sz w:val="32"/>
              <w:szCs w:val="32"/>
            </w:rPr>
            <w:instrText xml:space="preserve"> PAGEREF _Toc8005 \h </w:instrText>
          </w:r>
          <w:r>
            <w:rPr>
              <w:sz w:val="32"/>
              <w:szCs w:val="32"/>
            </w:rPr>
            <w:fldChar w:fldCharType="separate"/>
          </w:r>
          <w:r>
            <w:rPr>
              <w:sz w:val="32"/>
              <w:szCs w:val="32"/>
            </w:rPr>
            <w:t>28</w:t>
          </w:r>
          <w:r>
            <w:rPr>
              <w:sz w:val="32"/>
              <w:szCs w:val="32"/>
            </w:rPr>
            <w:fldChar w:fldCharType="end"/>
          </w:r>
          <w:r>
            <w:rPr>
              <w:sz w:val="32"/>
              <w:szCs w:val="32"/>
            </w:rPr>
            <w:fldChar w:fldCharType="end"/>
          </w:r>
        </w:p>
        <w:p w14:paraId="53D543CE">
          <w:pPr>
            <w:pStyle w:val="7"/>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_Toc10356 </w:instrText>
          </w:r>
          <w:r>
            <w:rPr>
              <w:sz w:val="32"/>
              <w:szCs w:val="32"/>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r>
            <w:rPr>
              <w:sz w:val="32"/>
              <w:szCs w:val="32"/>
            </w:rPr>
            <w:tab/>
          </w:r>
          <w:r>
            <w:rPr>
              <w:sz w:val="32"/>
              <w:szCs w:val="32"/>
            </w:rPr>
            <w:fldChar w:fldCharType="begin"/>
          </w:r>
          <w:r>
            <w:rPr>
              <w:sz w:val="32"/>
              <w:szCs w:val="32"/>
            </w:rPr>
            <w:instrText xml:space="preserve"> PAGEREF _Toc10356 \h </w:instrText>
          </w:r>
          <w:r>
            <w:rPr>
              <w:sz w:val="32"/>
              <w:szCs w:val="32"/>
            </w:rPr>
            <w:fldChar w:fldCharType="separate"/>
          </w:r>
          <w:r>
            <w:rPr>
              <w:sz w:val="32"/>
              <w:szCs w:val="32"/>
            </w:rPr>
            <w:t>28</w:t>
          </w:r>
          <w:r>
            <w:rPr>
              <w:sz w:val="32"/>
              <w:szCs w:val="32"/>
            </w:rPr>
            <w:fldChar w:fldCharType="end"/>
          </w:r>
          <w:r>
            <w:rPr>
              <w:sz w:val="32"/>
              <w:szCs w:val="32"/>
            </w:rPr>
            <w:fldChar w:fldCharType="end"/>
          </w:r>
        </w:p>
        <w:p w14:paraId="59D89706">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_Toc26880 </w:instrText>
          </w:r>
          <w:r>
            <w:rPr>
              <w:sz w:val="32"/>
              <w:szCs w:val="32"/>
            </w:rPr>
            <w:fldChar w:fldCharType="separate"/>
          </w:r>
          <w:r>
            <w:rPr>
              <w:rFonts w:hint="eastAsia" w:ascii="楷体" w:hAnsi="楷体" w:eastAsia="楷体" w:cs="楷体"/>
              <w:bCs/>
              <w:sz w:val="32"/>
              <w:szCs w:val="32"/>
            </w:rPr>
            <w:t>（一）预算配置与执行方面存在的问题及建议</w:t>
          </w:r>
          <w:r>
            <w:rPr>
              <w:sz w:val="32"/>
              <w:szCs w:val="32"/>
            </w:rPr>
            <w:tab/>
          </w:r>
          <w:r>
            <w:rPr>
              <w:sz w:val="32"/>
              <w:szCs w:val="32"/>
            </w:rPr>
            <w:fldChar w:fldCharType="begin"/>
          </w:r>
          <w:r>
            <w:rPr>
              <w:sz w:val="32"/>
              <w:szCs w:val="32"/>
            </w:rPr>
            <w:instrText xml:space="preserve"> PAGEREF _Toc26880 \h </w:instrText>
          </w:r>
          <w:r>
            <w:rPr>
              <w:sz w:val="32"/>
              <w:szCs w:val="32"/>
            </w:rPr>
            <w:fldChar w:fldCharType="separate"/>
          </w:r>
          <w:r>
            <w:rPr>
              <w:sz w:val="32"/>
              <w:szCs w:val="32"/>
            </w:rPr>
            <w:t>28</w:t>
          </w:r>
          <w:r>
            <w:rPr>
              <w:sz w:val="32"/>
              <w:szCs w:val="32"/>
            </w:rPr>
            <w:fldChar w:fldCharType="end"/>
          </w:r>
          <w:r>
            <w:rPr>
              <w:sz w:val="32"/>
              <w:szCs w:val="32"/>
            </w:rPr>
            <w:fldChar w:fldCharType="end"/>
          </w:r>
        </w:p>
        <w:p w14:paraId="7A968D88">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_Toc9411 </w:instrText>
          </w:r>
          <w:r>
            <w:rPr>
              <w:sz w:val="32"/>
              <w:szCs w:val="32"/>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_Toc9411 \h </w:instrText>
          </w:r>
          <w:r>
            <w:rPr>
              <w:sz w:val="32"/>
              <w:szCs w:val="32"/>
            </w:rPr>
            <w:fldChar w:fldCharType="separate"/>
          </w:r>
          <w:r>
            <w:rPr>
              <w:sz w:val="32"/>
              <w:szCs w:val="32"/>
            </w:rPr>
            <w:t>32</w:t>
          </w:r>
          <w:r>
            <w:rPr>
              <w:sz w:val="32"/>
              <w:szCs w:val="32"/>
            </w:rPr>
            <w:fldChar w:fldCharType="end"/>
          </w:r>
          <w:r>
            <w:rPr>
              <w:sz w:val="32"/>
              <w:szCs w:val="32"/>
            </w:rPr>
            <w:fldChar w:fldCharType="end"/>
          </w:r>
        </w:p>
        <w:p w14:paraId="73880465">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_Toc1081 </w:instrText>
          </w:r>
          <w:r>
            <w:rPr>
              <w:sz w:val="32"/>
              <w:szCs w:val="32"/>
            </w:rPr>
            <w:fldChar w:fldCharType="separate"/>
          </w:r>
          <w:r>
            <w:rPr>
              <w:rFonts w:hint="eastAsia" w:ascii="楷体" w:hAnsi="楷体" w:eastAsia="楷体" w:cs="楷体"/>
              <w:bCs/>
              <w:sz w:val="32"/>
              <w:szCs w:val="32"/>
              <w:lang w:val="en-US" w:eastAsia="zh-CN"/>
            </w:rPr>
            <w:t>（三）工资管理方面存在的问题及建议</w:t>
          </w:r>
          <w:r>
            <w:rPr>
              <w:sz w:val="32"/>
              <w:szCs w:val="32"/>
            </w:rPr>
            <w:tab/>
          </w:r>
          <w:r>
            <w:rPr>
              <w:sz w:val="32"/>
              <w:szCs w:val="32"/>
            </w:rPr>
            <w:fldChar w:fldCharType="begin"/>
          </w:r>
          <w:r>
            <w:rPr>
              <w:sz w:val="32"/>
              <w:szCs w:val="32"/>
            </w:rPr>
            <w:instrText xml:space="preserve"> PAGEREF _Toc1081 \h </w:instrText>
          </w:r>
          <w:r>
            <w:rPr>
              <w:sz w:val="32"/>
              <w:szCs w:val="32"/>
            </w:rPr>
            <w:fldChar w:fldCharType="separate"/>
          </w:r>
          <w:r>
            <w:rPr>
              <w:sz w:val="32"/>
              <w:szCs w:val="32"/>
            </w:rPr>
            <w:t>36</w:t>
          </w:r>
          <w:r>
            <w:rPr>
              <w:sz w:val="32"/>
              <w:szCs w:val="32"/>
            </w:rPr>
            <w:fldChar w:fldCharType="end"/>
          </w:r>
          <w:r>
            <w:rPr>
              <w:sz w:val="32"/>
              <w:szCs w:val="32"/>
            </w:rPr>
            <w:fldChar w:fldCharType="end"/>
          </w:r>
        </w:p>
        <w:p w14:paraId="4F1DF40C">
          <w:pPr>
            <w:pStyle w:val="8"/>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_Toc19660 </w:instrText>
          </w:r>
          <w:r>
            <w:rPr>
              <w:sz w:val="32"/>
              <w:szCs w:val="32"/>
            </w:rPr>
            <w:fldChar w:fldCharType="separate"/>
          </w:r>
          <w:r>
            <w:rPr>
              <w:rFonts w:hint="eastAsia" w:ascii="楷体" w:hAnsi="楷体" w:eastAsia="楷体" w:cs="楷体"/>
              <w:bCs/>
              <w:sz w:val="32"/>
              <w:szCs w:val="32"/>
              <w:lang w:val="en-US" w:eastAsia="zh-CN" w:bidi="ar-SA"/>
            </w:rPr>
            <w:t>（四）职能</w:t>
          </w:r>
          <w:r>
            <w:rPr>
              <w:rFonts w:hint="eastAsia" w:ascii="楷体" w:hAnsi="楷体" w:eastAsia="楷体" w:cs="楷体"/>
              <w:bCs/>
              <w:sz w:val="32"/>
              <w:szCs w:val="32"/>
              <w:lang w:eastAsia="zh-CN"/>
            </w:rPr>
            <w:t>管理方面存在的问题及建议</w:t>
          </w:r>
          <w:r>
            <w:rPr>
              <w:sz w:val="32"/>
              <w:szCs w:val="32"/>
            </w:rPr>
            <w:tab/>
          </w:r>
          <w:r>
            <w:rPr>
              <w:sz w:val="32"/>
              <w:szCs w:val="32"/>
            </w:rPr>
            <w:fldChar w:fldCharType="begin"/>
          </w:r>
          <w:r>
            <w:rPr>
              <w:sz w:val="32"/>
              <w:szCs w:val="32"/>
            </w:rPr>
            <w:instrText xml:space="preserve"> PAGEREF _Toc19660 \h </w:instrText>
          </w:r>
          <w:r>
            <w:rPr>
              <w:sz w:val="32"/>
              <w:szCs w:val="32"/>
            </w:rPr>
            <w:fldChar w:fldCharType="separate"/>
          </w:r>
          <w:r>
            <w:rPr>
              <w:sz w:val="32"/>
              <w:szCs w:val="32"/>
            </w:rPr>
            <w:t>39</w:t>
          </w:r>
          <w:r>
            <w:rPr>
              <w:sz w:val="32"/>
              <w:szCs w:val="32"/>
            </w:rPr>
            <w:fldChar w:fldCharType="end"/>
          </w:r>
          <w:r>
            <w:rPr>
              <w:sz w:val="32"/>
              <w:szCs w:val="32"/>
            </w:rPr>
            <w:fldChar w:fldCharType="end"/>
          </w:r>
        </w:p>
        <w:p w14:paraId="4F0A2951">
          <w:pPr>
            <w:keepNext w:val="0"/>
            <w:keepLines w:val="0"/>
            <w:pageBreakBefore w:val="0"/>
            <w:widowControl/>
            <w:kinsoku/>
            <w:wordWrap/>
            <w:overflowPunct/>
            <w:topLinePunct w:val="0"/>
            <w:autoSpaceDE/>
            <w:autoSpaceDN/>
            <w:bidi w:val="0"/>
            <w:adjustRightInd/>
            <w:snapToGrid/>
            <w:spacing w:line="560" w:lineRule="exact"/>
            <w:ind w:left="0" w:leftChars="0"/>
            <w:textAlignment w:val="auto"/>
          </w:pPr>
          <w:r>
            <w:rPr>
              <w:sz w:val="32"/>
              <w:szCs w:val="32"/>
            </w:rPr>
            <w:fldChar w:fldCharType="end"/>
          </w:r>
        </w:p>
      </w:sdtContent>
    </w:sdt>
    <w:p w14:paraId="5CD7FA5C">
      <w:pPr>
        <w:pStyle w:val="7"/>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ind w:left="0" w:leftChars="0"/>
        <w:textAlignment w:val="auto"/>
        <w:rPr>
          <w:sz w:val="36"/>
          <w:szCs w:val="36"/>
        </w:rPr>
      </w:pPr>
      <w:r>
        <w:rPr>
          <w:rFonts w:hint="eastAsia"/>
          <w:sz w:val="36"/>
          <w:szCs w:val="36"/>
        </w:rPr>
        <w:tab/>
      </w:r>
    </w:p>
    <w:p w14:paraId="3021CB07">
      <w:pPr>
        <w:tabs>
          <w:tab w:val="left" w:pos="475"/>
        </w:tabs>
        <w:rPr>
          <w:sz w:val="28"/>
          <w:szCs w:val="28"/>
        </w:rPr>
      </w:pPr>
      <w:r>
        <w:rPr>
          <w:rFonts w:hint="eastAsia"/>
          <w:sz w:val="28"/>
          <w:szCs w:val="28"/>
        </w:rPr>
        <w:tab/>
      </w:r>
    </w:p>
    <w:p w14:paraId="1B768757">
      <w:pPr>
        <w:pStyle w:val="8"/>
        <w:tabs>
          <w:tab w:val="left" w:pos="2694"/>
        </w:tabs>
        <w:ind w:left="480"/>
        <w:rPr>
          <w:rFonts w:cstheme="minorBidi"/>
          <w:sz w:val="28"/>
          <w:szCs w:val="28"/>
          <w:lang w:bidi="ar"/>
        </w:rPr>
      </w:pPr>
      <w:r>
        <w:rPr>
          <w:rFonts w:hint="eastAsia" w:cstheme="minorBidi"/>
          <w:sz w:val="28"/>
          <w:szCs w:val="28"/>
          <w:lang w:bidi="ar"/>
        </w:rPr>
        <w:tab/>
      </w:r>
    </w:p>
    <w:p w14:paraId="2D32C622"/>
    <w:p w14:paraId="0FE7E2AB">
      <w:pPr>
        <w:tabs>
          <w:tab w:val="left" w:pos="7025"/>
        </w:tabs>
        <w:sectPr>
          <w:pgSz w:w="11906" w:h="16838"/>
          <w:pgMar w:top="1440" w:right="1803" w:bottom="1440" w:left="1803" w:header="851" w:footer="992" w:gutter="0"/>
          <w:cols w:space="0" w:num="1"/>
          <w:docGrid w:type="lines" w:linePitch="332" w:charSpace="0"/>
        </w:sectPr>
      </w:pPr>
      <w:r>
        <w:rPr>
          <w:rFonts w:hint="eastAsia"/>
        </w:rPr>
        <w:tab/>
      </w:r>
    </w:p>
    <w:p w14:paraId="474D889D">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15" w:name="_Toc21390"/>
      <w:bookmarkStart w:id="16" w:name="_Toc22458"/>
      <w:bookmarkStart w:id="17" w:name="_Toc23237"/>
      <w:bookmarkStart w:id="18" w:name="_Toc8346"/>
      <w:bookmarkStart w:id="19" w:name="_Toc23883"/>
      <w:r>
        <w:rPr>
          <w:rFonts w:hint="eastAsia" w:ascii="方正小标宋简体" w:hAnsi="方正小标宋简体" w:eastAsia="方正小标宋简体" w:cs="方正小标宋简体"/>
          <w:sz w:val="44"/>
          <w:szCs w:val="44"/>
        </w:rPr>
        <w:t>2024</w:t>
      </w:r>
      <w:r>
        <w:rPr>
          <w:rFonts w:hint="eastAsia" w:ascii="方正小标宋简体" w:hAnsi="方正小标宋简体" w:eastAsia="方正小标宋简体" w:cs="方正小标宋简体"/>
          <w:sz w:val="44"/>
          <w:szCs w:val="44"/>
          <w:lang w:eastAsia="zh-CN"/>
        </w:rPr>
        <w:t>年</w:t>
      </w:r>
      <w:bookmarkEnd w:id="15"/>
      <w:bookmarkEnd w:id="16"/>
      <w:bookmarkEnd w:id="17"/>
      <w:bookmarkEnd w:id="18"/>
      <w:bookmarkEnd w:id="19"/>
      <w:bookmarkStart w:id="20" w:name="_Toc18945"/>
      <w:bookmarkStart w:id="21" w:name="_Toc29743"/>
      <w:r>
        <w:rPr>
          <w:rFonts w:hint="eastAsia" w:ascii="方正小标宋简体" w:hAnsi="方正小标宋简体" w:eastAsia="方正小标宋简体" w:cs="方正小标宋简体"/>
          <w:sz w:val="44"/>
          <w:szCs w:val="44"/>
        </w:rPr>
        <w:t>中共雁峰区委巡察工作领导</w:t>
      </w:r>
    </w:p>
    <w:p w14:paraId="1915952E">
      <w:pPr>
        <w:widowControl w:val="0"/>
        <w:spacing w:line="7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小组办公室部门整体支出</w:t>
      </w:r>
    </w:p>
    <w:p w14:paraId="4E143B3F">
      <w:pPr>
        <w:widowControl w:val="0"/>
        <w:spacing w:line="7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绩效评价报告</w:t>
      </w:r>
      <w:bookmarkEnd w:id="20"/>
      <w:bookmarkEnd w:id="21"/>
    </w:p>
    <w:p w14:paraId="7931D0F3">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22" w:name="_Toc6103"/>
      <w:bookmarkStart w:id="23" w:name="_Toc3572"/>
      <w:bookmarkStart w:id="24" w:name="_Toc3324"/>
      <w:bookmarkStart w:id="25" w:name="_Toc6824"/>
      <w:bookmarkStart w:id="26" w:name="_Toc15061"/>
      <w:r>
        <w:rPr>
          <w:rFonts w:hint="eastAsia" w:ascii="方正小标宋简体" w:hAnsi="方正小标宋简体" w:eastAsia="方正小标宋简体" w:cs="方正小标宋简体"/>
          <w:sz w:val="44"/>
          <w:szCs w:val="44"/>
        </w:rPr>
        <w:t>（征求意见稿）</w:t>
      </w:r>
      <w:bookmarkEnd w:id="22"/>
      <w:bookmarkEnd w:id="23"/>
      <w:bookmarkEnd w:id="24"/>
      <w:bookmarkEnd w:id="25"/>
      <w:bookmarkEnd w:id="26"/>
    </w:p>
    <w:p w14:paraId="7107EC04">
      <w:pPr>
        <w:widowControl w:val="0"/>
        <w:spacing w:line="540" w:lineRule="exact"/>
        <w:jc w:val="right"/>
        <w:outlineLvl w:val="9"/>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rPr>
        <w:t>字[2025]第   号</w:t>
      </w:r>
    </w:p>
    <w:p w14:paraId="57F64B1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雁峰区财政局：</w:t>
      </w:r>
    </w:p>
    <w:p w14:paraId="1EAB92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我们接受委托，对2024</w:t>
      </w:r>
      <w:r>
        <w:rPr>
          <w:rFonts w:hint="eastAsia" w:ascii="仿宋" w:hAnsi="仿宋" w:eastAsia="仿宋" w:cs="仿宋"/>
          <w:sz w:val="32"/>
          <w:szCs w:val="32"/>
          <w:lang w:eastAsia="zh-CN"/>
        </w:rPr>
        <w:t>年</w:t>
      </w:r>
      <w:r>
        <w:rPr>
          <w:rFonts w:hint="eastAsia" w:ascii="仿宋" w:hAnsi="仿宋" w:eastAsia="仿宋" w:cs="仿宋"/>
          <w:sz w:val="32"/>
          <w:szCs w:val="32"/>
        </w:rPr>
        <w:t>中共雁峰区委巡察工作领导小组办公室（以下简称“区委巡察办”）部门整体支出进行了绩效评价。建立健全内部控制制度，保护资金与资产的安全和完整，保证会计资料和其他绩效评价的相关资料的真实性、合法性和完整性，是区委巡察办的责任。我们的责任是在区委巡察办提供资料基础上，对2024年的部门整体支出绩效进行评价。</w:t>
      </w:r>
    </w:p>
    <w:p w14:paraId="1A9F31C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pPr>
      <w:r>
        <w:rPr>
          <w:rFonts w:hint="eastAsia" w:ascii="仿宋" w:hAnsi="仿宋" w:eastAsia="仿宋" w:cs="仿宋"/>
          <w:sz w:val="32"/>
          <w:szCs w:val="32"/>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w:t>
      </w:r>
      <w:r>
        <w:rPr>
          <w:rFonts w:hint="eastAsia" w:ascii="仿宋" w:hAnsi="仿宋" w:eastAsia="仿宋" w:cs="仿宋"/>
          <w:sz w:val="32"/>
          <w:szCs w:val="32"/>
          <w:lang w:val="en-US" w:eastAsia="zh-CN"/>
        </w:rPr>
        <w:t>评价</w:t>
      </w:r>
      <w:r>
        <w:rPr>
          <w:rFonts w:hint="eastAsia" w:ascii="仿宋" w:hAnsi="仿宋" w:eastAsia="仿宋" w:cs="仿宋"/>
          <w:sz w:val="32"/>
          <w:szCs w:val="32"/>
        </w:rPr>
        <w:t>程序。绩效评价工作已完成，现报告如下</w:t>
      </w:r>
      <w:bookmarkStart w:id="27" w:name="_Toc11075"/>
      <w:r>
        <w:rPr>
          <w:rFonts w:hint="eastAsia" w:ascii="仿宋" w:hAnsi="仿宋" w:eastAsia="仿宋" w:cs="仿宋"/>
          <w:sz w:val="32"/>
          <w:szCs w:val="32"/>
        </w:rPr>
        <w:t>：</w:t>
      </w:r>
      <w:bookmarkStart w:id="28" w:name="_Toc20127"/>
      <w:bookmarkStart w:id="29" w:name="_Toc963"/>
      <w:bookmarkStart w:id="30" w:name="_Toc9891"/>
      <w:bookmarkStart w:id="31" w:name="_Toc14965"/>
      <w:bookmarkStart w:id="32" w:name="_Toc18591"/>
      <w:bookmarkStart w:id="33" w:name="_Toc21986"/>
    </w:p>
    <w:p w14:paraId="406F767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仿宋" w:hAnsi="仿宋" w:eastAsia="仿宋" w:cs="仿宋"/>
          <w:sz w:val="32"/>
          <w:szCs w:val="32"/>
        </w:rPr>
      </w:pPr>
      <w:bookmarkStart w:id="34" w:name="_Toc19082"/>
      <w:r>
        <w:rPr>
          <w:rFonts w:hint="eastAsia" w:ascii="黑体" w:hAnsi="黑体" w:eastAsia="黑体" w:cs="黑体"/>
          <w:sz w:val="32"/>
          <w:szCs w:val="32"/>
        </w:rPr>
        <w:t>一、绩效评价基本情况</w:t>
      </w:r>
      <w:bookmarkEnd w:id="28"/>
      <w:bookmarkEnd w:id="29"/>
      <w:bookmarkEnd w:id="30"/>
      <w:bookmarkEnd w:id="31"/>
      <w:bookmarkEnd w:id="32"/>
      <w:bookmarkEnd w:id="33"/>
      <w:bookmarkEnd w:id="34"/>
    </w:p>
    <w:p w14:paraId="0F2095B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35" w:name="_Toc25289"/>
      <w:bookmarkStart w:id="36" w:name="_Toc30831"/>
      <w:bookmarkStart w:id="37" w:name="_Toc2812"/>
      <w:bookmarkStart w:id="38" w:name="_Toc3257"/>
      <w:bookmarkStart w:id="39" w:name="_Toc26464"/>
      <w:bookmarkStart w:id="40" w:name="_Toc29341"/>
      <w:bookmarkStart w:id="41" w:name="_Toc23408"/>
      <w:bookmarkStart w:id="42" w:name="_Toc13350"/>
      <w:r>
        <w:rPr>
          <w:rFonts w:hint="eastAsia" w:ascii="楷体" w:hAnsi="楷体" w:eastAsia="楷体" w:cs="楷体"/>
          <w:b/>
          <w:bCs/>
          <w:sz w:val="32"/>
          <w:szCs w:val="32"/>
        </w:rPr>
        <w:t>（一）评价对象和范围</w:t>
      </w:r>
      <w:bookmarkEnd w:id="35"/>
      <w:bookmarkEnd w:id="36"/>
      <w:bookmarkEnd w:id="37"/>
      <w:bookmarkEnd w:id="38"/>
      <w:bookmarkEnd w:id="39"/>
      <w:bookmarkEnd w:id="40"/>
      <w:bookmarkEnd w:id="41"/>
      <w:bookmarkEnd w:id="42"/>
    </w:p>
    <w:p w14:paraId="62992B6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bookmarkStart w:id="43" w:name="_Toc29635"/>
      <w:bookmarkStart w:id="44" w:name="_Toc8069"/>
      <w:bookmarkStart w:id="45" w:name="_Toc7691"/>
      <w:r>
        <w:rPr>
          <w:rFonts w:hint="eastAsia" w:ascii="仿宋" w:hAnsi="仿宋" w:eastAsia="仿宋" w:cs="仿宋"/>
          <w:sz w:val="32"/>
          <w:szCs w:val="32"/>
        </w:rPr>
        <w:t>评价对象为2024</w:t>
      </w:r>
      <w:r>
        <w:rPr>
          <w:rFonts w:hint="eastAsia" w:ascii="仿宋" w:hAnsi="仿宋" w:eastAsia="仿宋" w:cs="仿宋"/>
          <w:sz w:val="32"/>
          <w:szCs w:val="32"/>
          <w:lang w:eastAsia="zh-CN"/>
        </w:rPr>
        <w:t>年</w:t>
      </w:r>
      <w:r>
        <w:rPr>
          <w:rFonts w:hint="eastAsia" w:ascii="仿宋" w:hAnsi="仿宋" w:eastAsia="仿宋" w:cs="仿宋"/>
          <w:sz w:val="32"/>
          <w:szCs w:val="32"/>
        </w:rPr>
        <w:t>中共雁峰区委巡察工作领导小组办公室部门整体支出绩效。评价范围包</w:t>
      </w:r>
      <w:r>
        <w:rPr>
          <w:rFonts w:hint="eastAsia" w:ascii="仿宋" w:hAnsi="仿宋" w:eastAsia="仿宋" w:cs="仿宋"/>
          <w:sz w:val="32"/>
          <w:szCs w:val="32"/>
          <w:lang w:eastAsia="zh-CN"/>
        </w:rPr>
        <w:t>括但</w:t>
      </w:r>
      <w:r>
        <w:rPr>
          <w:rFonts w:hint="eastAsia" w:ascii="仿宋" w:hAnsi="仿宋" w:eastAsia="仿宋" w:cs="仿宋"/>
          <w:sz w:val="32"/>
          <w:szCs w:val="32"/>
        </w:rPr>
        <w:t>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43"/>
    <w:bookmarkEnd w:id="44"/>
    <w:bookmarkEnd w:id="45"/>
    <w:p w14:paraId="2924144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46" w:name="_Toc1228"/>
      <w:bookmarkStart w:id="47" w:name="_Toc4364"/>
      <w:bookmarkStart w:id="48" w:name="_Toc12157"/>
      <w:bookmarkStart w:id="49" w:name="_Toc21533"/>
      <w:bookmarkStart w:id="50" w:name="_Toc25193"/>
      <w:bookmarkStart w:id="51" w:name="_Toc24072"/>
      <w:bookmarkStart w:id="52" w:name="_Toc7231"/>
      <w:bookmarkStart w:id="53" w:name="_Toc4694"/>
      <w:bookmarkStart w:id="54" w:name="_Toc25241"/>
      <w:bookmarkStart w:id="55" w:name="_Hlk172128948"/>
      <w:r>
        <w:rPr>
          <w:rFonts w:hint="eastAsia" w:ascii="楷体" w:hAnsi="楷体" w:eastAsia="楷体" w:cs="楷体"/>
          <w:b/>
          <w:bCs/>
          <w:sz w:val="32"/>
          <w:szCs w:val="32"/>
        </w:rPr>
        <w:t>（二）评价依据</w:t>
      </w:r>
      <w:bookmarkEnd w:id="46"/>
      <w:bookmarkEnd w:id="47"/>
      <w:bookmarkEnd w:id="48"/>
      <w:bookmarkEnd w:id="49"/>
      <w:bookmarkEnd w:id="50"/>
    </w:p>
    <w:p w14:paraId="682A77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1、《中共中央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国务院关于全面实施预算绩效管理的意见》（中发〔2018〕34号）</w:t>
      </w:r>
    </w:p>
    <w:p w14:paraId="4043D4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2、《中共湖南省委办公厅 湖南省人民政府办公厅关于全面实施预算绩效管理的实施意见》（湘办发〔2019〕10号）</w:t>
      </w:r>
    </w:p>
    <w:p w14:paraId="054BC0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3、《财政部关于印发〈项目支出绩效评价管理办法〉的通知》（财预〔2020〕10号）</w:t>
      </w:r>
    </w:p>
    <w:p w14:paraId="462EFC0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4、财政部关于印发《地方政府债券发行管理办法》财库〔2020〕43号</w:t>
      </w:r>
    </w:p>
    <w:p w14:paraId="1387E77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5、《中华人民共和国预算法》</w:t>
      </w:r>
    </w:p>
    <w:p w14:paraId="5FC8C12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6、《财政专项资金管理办法》</w:t>
      </w:r>
    </w:p>
    <w:p w14:paraId="33A638E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7、关于印发《衡阳市市直机关会议费管理办法》的通知衡财行〔2018〕463号</w:t>
      </w:r>
    </w:p>
    <w:p w14:paraId="0AE2B47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8、关于印发《行政事业单位内部控制规范（试行）》的通知财会〔2012〕21号</w:t>
      </w:r>
    </w:p>
    <w:p w14:paraId="36310C7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9、事业单位国有资产管理暂行办法（2019修订）</w:t>
      </w:r>
    </w:p>
    <w:p w14:paraId="12B750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10、关于印发《湖南省省直党政机关和参公事业单位国有资产管理办法》的通知湘政办发〔2021〕59号</w:t>
      </w:r>
    </w:p>
    <w:p w14:paraId="1D9805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11、关于印发《衡阳市市直行政事业单位国有资产配置管理办法》的通知衡财资〔2021〕482号</w:t>
      </w:r>
    </w:p>
    <w:p w14:paraId="6C0D94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12、关于印发《湖南省省级行政事业单位通用办公设备和办公家具配置限额标准》的通知湘政资〔2020〕15号</w:t>
      </w:r>
    </w:p>
    <w:p w14:paraId="5FFD6A1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13、关于修改《事业单位国有资产管理暂行办法》的决定财政部令第100号</w:t>
      </w:r>
    </w:p>
    <w:p w14:paraId="17DAC9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14、关于印发《衡阳市市直机关差旅费管理办法》的通知衡财行〔2019〕248号</w:t>
      </w:r>
    </w:p>
    <w:p w14:paraId="3F7A67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15、违反中央八项规定精神问题月报数据填报说明</w:t>
      </w:r>
    </w:p>
    <w:p w14:paraId="55DC902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16、党政机关厉行节约反对浪费条例2013</w:t>
      </w:r>
    </w:p>
    <w:p w14:paraId="099451C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17、中央八项规定中对于国家公职人员涉及财务的80项禁止行为</w:t>
      </w:r>
    </w:p>
    <w:p w14:paraId="1A1174E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18、关于《明确市直党政机关公务活动用餐有关事项》的通知衡财行〔2018〕467号</w:t>
      </w:r>
    </w:p>
    <w:p w14:paraId="2ABE1A8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19、衡阳市市直机关培训费管理办法衡财行</w:t>
      </w:r>
      <w:r>
        <w:rPr>
          <w:rFonts w:hint="eastAsia" w:ascii="仿宋" w:hAnsi="仿宋" w:eastAsia="仿宋" w:cs="仿宋"/>
          <w:sz w:val="32"/>
          <w:szCs w:val="32"/>
          <w:lang w:eastAsia="zh-CN"/>
        </w:rPr>
        <w:t>〔2017〕409号</w:t>
      </w:r>
    </w:p>
    <w:p w14:paraId="5A0BB2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w:t>
      </w:r>
      <w:r>
        <w:rPr>
          <w:rFonts w:hint="eastAsia" w:ascii="仿宋" w:hAnsi="仿宋" w:eastAsia="仿宋" w:cs="仿宋"/>
          <w:sz w:val="32"/>
          <w:szCs w:val="32"/>
        </w:rPr>
        <w:t>中共衡阳市委办公室 衡阳市人民政府办公室文件衡办发</w:t>
      </w:r>
      <w:r>
        <w:rPr>
          <w:rFonts w:hint="eastAsia" w:ascii="仿宋" w:hAnsi="仿宋" w:eastAsia="仿宋" w:cs="仿宋"/>
          <w:sz w:val="32"/>
          <w:szCs w:val="32"/>
          <w:lang w:eastAsia="zh-CN"/>
        </w:rPr>
        <w:t>〔2025〕6号</w:t>
      </w:r>
      <w:r>
        <w:rPr>
          <w:rFonts w:hint="eastAsia" w:ascii="仿宋" w:hAnsi="仿宋" w:eastAsia="仿宋" w:cs="仿宋"/>
          <w:sz w:val="32"/>
          <w:szCs w:val="32"/>
        </w:rPr>
        <w:t>《衡阳市委党政机关国内公务接待管理办法》的通知</w:t>
      </w:r>
    </w:p>
    <w:p w14:paraId="0DC18C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21、预算批复时确定的绩效目标及指标，预算部门年度预算执行情况，年度决算报告等相关材料</w:t>
      </w:r>
    </w:p>
    <w:p w14:paraId="5543689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22、其他与本次绩效评价有关的政策文件</w:t>
      </w:r>
    </w:p>
    <w:p w14:paraId="16114E9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56" w:name="_Toc7378"/>
      <w:bookmarkStart w:id="57" w:name="_Toc19262"/>
      <w:bookmarkStart w:id="58" w:name="_Toc17019"/>
      <w:bookmarkStart w:id="59" w:name="_Toc10649"/>
      <w:r>
        <w:rPr>
          <w:rFonts w:hint="eastAsia" w:ascii="楷体" w:hAnsi="楷体" w:eastAsia="楷体" w:cs="楷体"/>
          <w:b/>
          <w:bCs/>
          <w:sz w:val="32"/>
          <w:szCs w:val="32"/>
        </w:rPr>
        <w:t>（三）</w:t>
      </w:r>
      <w:bookmarkEnd w:id="51"/>
      <w:bookmarkEnd w:id="52"/>
      <w:r>
        <w:rPr>
          <w:rFonts w:hint="eastAsia" w:ascii="楷体" w:hAnsi="楷体" w:eastAsia="楷体" w:cs="楷体"/>
          <w:b/>
          <w:bCs/>
          <w:sz w:val="32"/>
          <w:szCs w:val="32"/>
        </w:rPr>
        <w:t>评价方法和目的</w:t>
      </w:r>
      <w:bookmarkEnd w:id="53"/>
      <w:bookmarkEnd w:id="54"/>
      <w:bookmarkEnd w:id="56"/>
      <w:bookmarkEnd w:id="57"/>
      <w:bookmarkEnd w:id="58"/>
      <w:bookmarkEnd w:id="59"/>
    </w:p>
    <w:p w14:paraId="30FFC9F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我们通过听取情况介绍、进行实地核查、发放调查问卷、对照复核及分析等方式，对</w:t>
      </w:r>
      <w:r>
        <w:rPr>
          <w:rFonts w:hint="eastAsia" w:ascii="仿宋" w:hAnsi="仿宋" w:eastAsia="仿宋" w:cs="仿宋"/>
          <w:sz w:val="32"/>
          <w:szCs w:val="32"/>
          <w:lang w:eastAsia="zh-CN"/>
        </w:rPr>
        <w:t>区委巡察办</w:t>
      </w:r>
      <w:r>
        <w:rPr>
          <w:rFonts w:hint="eastAsia" w:ascii="仿宋" w:hAnsi="仿宋" w:eastAsia="仿宋" w:cs="仿宋"/>
          <w:sz w:val="32"/>
          <w:szCs w:val="32"/>
        </w:rPr>
        <w:t>提供的相关资料，进行核对与审查，分析与评价内部管理及控制情况，贯彻落实厉行节约、严控“三公”经费、降低一般运行经费、加强项目支出管理、核实资金结余情况，强化政府责任与透明度，全面衡量公共资金使用的经济性、效率性、效益性和可持续性，系统性地检视资金使用全流程，确保公共资源发挥最大价值，同时为政策调整和预算优化提供依据。</w:t>
      </w:r>
    </w:p>
    <w:bookmarkEnd w:id="27"/>
    <w:bookmarkEnd w:id="55"/>
    <w:p w14:paraId="5FF513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60" w:name="_Toc11523"/>
      <w:bookmarkStart w:id="61" w:name="_Toc2434"/>
      <w:bookmarkStart w:id="62" w:name="_Toc26026"/>
      <w:bookmarkStart w:id="63" w:name="_Toc21063"/>
      <w:bookmarkStart w:id="64" w:name="_Toc24278"/>
      <w:bookmarkStart w:id="65" w:name="_Toc32697"/>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bookmarkEnd w:id="60"/>
      <w:bookmarkEnd w:id="61"/>
      <w:bookmarkEnd w:id="62"/>
      <w:bookmarkEnd w:id="63"/>
      <w:bookmarkEnd w:id="64"/>
      <w:bookmarkEnd w:id="65"/>
    </w:p>
    <w:p w14:paraId="58039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6" w:name="_Toc4379"/>
      <w:bookmarkStart w:id="67" w:name="_Toc1234"/>
      <w:bookmarkStart w:id="68" w:name="_Toc16413"/>
      <w:bookmarkStart w:id="69" w:name="_Toc16770"/>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部门基本信息</w:t>
      </w:r>
      <w:bookmarkEnd w:id="66"/>
      <w:bookmarkEnd w:id="67"/>
      <w:bookmarkEnd w:id="68"/>
      <w:bookmarkEnd w:id="69"/>
    </w:p>
    <w:p w14:paraId="40C26C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 w:hAnsi="楷体" w:eastAsia="仿宋" w:cs="楷体"/>
          <w:b/>
          <w:bCs/>
          <w:sz w:val="32"/>
          <w:szCs w:val="32"/>
          <w:lang w:eastAsia="zh-CN"/>
        </w:rPr>
      </w:pPr>
      <w:r>
        <w:rPr>
          <w:rFonts w:ascii="仿宋" w:hAnsi="仿宋" w:eastAsia="仿宋" w:cs="仿宋"/>
          <w:sz w:val="32"/>
          <w:szCs w:val="32"/>
        </w:rPr>
        <w:t>统一社会信用代码：</w:t>
      </w:r>
      <w:r>
        <w:rPr>
          <w:rFonts w:hint="eastAsia" w:ascii="仿宋" w:hAnsi="仿宋" w:eastAsia="仿宋" w:cs="仿宋"/>
          <w:sz w:val="32"/>
          <w:szCs w:val="32"/>
          <w:lang w:val="en-US" w:eastAsia="zh-CN"/>
        </w:rPr>
        <w:t>11430403MB1198952Y。</w:t>
      </w:r>
      <w:r>
        <w:rPr>
          <w:rFonts w:ascii="仿宋" w:hAnsi="仿宋" w:eastAsia="仿宋" w:cs="仿宋"/>
          <w:sz w:val="32"/>
          <w:szCs w:val="32"/>
        </w:rPr>
        <w:t>预算级次：县区级</w:t>
      </w:r>
      <w:r>
        <w:rPr>
          <w:rFonts w:hint="eastAsia" w:ascii="仿宋" w:hAnsi="仿宋" w:eastAsia="仿宋" w:cs="仿宋"/>
          <w:sz w:val="32"/>
          <w:szCs w:val="32"/>
          <w:lang w:eastAsia="zh-CN"/>
        </w:rPr>
        <w:t>。</w:t>
      </w:r>
      <w:r>
        <w:rPr>
          <w:rFonts w:ascii="仿宋" w:hAnsi="仿宋" w:eastAsia="仿宋" w:cs="仿宋"/>
          <w:sz w:val="32"/>
          <w:szCs w:val="32"/>
        </w:rPr>
        <w:t>单位预算级次：一级预算单位</w:t>
      </w:r>
      <w:r>
        <w:rPr>
          <w:rFonts w:hint="eastAsia" w:ascii="仿宋" w:hAnsi="仿宋" w:eastAsia="仿宋" w:cs="仿宋"/>
          <w:sz w:val="32"/>
          <w:szCs w:val="32"/>
          <w:lang w:eastAsia="zh-CN"/>
        </w:rPr>
        <w:t>。</w:t>
      </w:r>
      <w:r>
        <w:rPr>
          <w:rFonts w:ascii="仿宋" w:hAnsi="仿宋" w:eastAsia="仿宋" w:cs="仿宋"/>
          <w:sz w:val="32"/>
          <w:szCs w:val="32"/>
        </w:rPr>
        <w:t>单位经费保障方式：</w:t>
      </w:r>
      <w:r>
        <w:rPr>
          <w:rFonts w:hint="eastAsia" w:ascii="仿宋" w:hAnsi="仿宋" w:eastAsia="仿宋" w:cs="仿宋"/>
          <w:sz w:val="32"/>
          <w:szCs w:val="32"/>
        </w:rPr>
        <w:t>财政拨款（全额）</w:t>
      </w:r>
      <w:r>
        <w:rPr>
          <w:rFonts w:hint="eastAsia" w:ascii="仿宋" w:hAnsi="仿宋" w:eastAsia="仿宋" w:cs="仿宋"/>
          <w:sz w:val="32"/>
          <w:szCs w:val="32"/>
          <w:lang w:eastAsia="zh-CN"/>
        </w:rPr>
        <w:t>。</w:t>
      </w:r>
    </w:p>
    <w:p w14:paraId="7DB9F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0" w:name="_Toc21816"/>
      <w:bookmarkStart w:id="71" w:name="_Toc29960"/>
      <w:bookmarkStart w:id="72" w:name="_Toc28745"/>
      <w:bookmarkStart w:id="73" w:name="_Toc29039"/>
      <w:r>
        <w:rPr>
          <w:rFonts w:hint="eastAsia" w:ascii="楷体" w:hAnsi="楷体" w:eastAsia="楷体" w:cs="楷体"/>
          <w:b/>
          <w:bCs/>
          <w:sz w:val="32"/>
          <w:szCs w:val="32"/>
          <w:lang w:val="en-US" w:eastAsia="zh-CN" w:bidi="ar-SA"/>
        </w:rPr>
        <w:t>（二）</w:t>
      </w:r>
      <w:r>
        <w:rPr>
          <w:rFonts w:hint="eastAsia" w:ascii="楷体" w:hAnsi="楷体" w:eastAsia="楷体" w:cs="楷体"/>
          <w:b/>
          <w:bCs/>
          <w:sz w:val="32"/>
          <w:szCs w:val="32"/>
        </w:rPr>
        <w:t>部门主要职责</w:t>
      </w:r>
      <w:bookmarkEnd w:id="70"/>
      <w:bookmarkEnd w:id="71"/>
      <w:bookmarkEnd w:id="72"/>
      <w:bookmarkEnd w:id="73"/>
      <w:bookmarkStart w:id="74" w:name="_Toc26598"/>
    </w:p>
    <w:p w14:paraId="0104AA1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向市委巡察办和区委巡察工作领导小组报告工作情况，传达贯彻市委巡察工作领导小组、区委和区委巡察工作领导小组的决策和部署</w:t>
      </w:r>
      <w:r>
        <w:rPr>
          <w:rFonts w:hint="eastAsia" w:ascii="仿宋" w:hAnsi="仿宋" w:eastAsia="仿宋" w:cs="仿宋"/>
          <w:sz w:val="32"/>
          <w:szCs w:val="32"/>
          <w:lang w:eastAsia="zh-CN"/>
        </w:rPr>
        <w:t>。</w:t>
      </w:r>
    </w:p>
    <w:p w14:paraId="647FC90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统筹、协调、指导区委巡察组开展工作</w:t>
      </w:r>
      <w:r>
        <w:rPr>
          <w:rFonts w:hint="eastAsia" w:ascii="仿宋" w:hAnsi="仿宋" w:eastAsia="仿宋" w:cs="仿宋"/>
          <w:sz w:val="32"/>
          <w:szCs w:val="32"/>
          <w:lang w:eastAsia="zh-CN"/>
        </w:rPr>
        <w:t>。</w:t>
      </w:r>
    </w:p>
    <w:p w14:paraId="7399C6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承担区委巡察政策研究、制度建设、服务保障等工作</w:t>
      </w:r>
      <w:r>
        <w:rPr>
          <w:rFonts w:hint="eastAsia" w:ascii="仿宋" w:hAnsi="仿宋" w:eastAsia="仿宋" w:cs="仿宋"/>
          <w:sz w:val="32"/>
          <w:szCs w:val="32"/>
          <w:lang w:eastAsia="zh-CN"/>
        </w:rPr>
        <w:t>。</w:t>
      </w:r>
    </w:p>
    <w:p w14:paraId="0D9EED8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对区委、区委巡察工作领导小组决定的事项及巡察移交事项进行督办</w:t>
      </w:r>
      <w:r>
        <w:rPr>
          <w:rFonts w:hint="eastAsia" w:ascii="仿宋" w:hAnsi="仿宋" w:eastAsia="仿宋" w:cs="仿宋"/>
          <w:sz w:val="32"/>
          <w:szCs w:val="32"/>
          <w:lang w:eastAsia="zh-CN"/>
        </w:rPr>
        <w:t>。</w:t>
      </w:r>
    </w:p>
    <w:p w14:paraId="76AA69F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配合有关部门对区委巡察工作人员进行培训、考核、监督和管理</w:t>
      </w:r>
      <w:r>
        <w:rPr>
          <w:rFonts w:hint="eastAsia" w:ascii="仿宋" w:hAnsi="仿宋" w:eastAsia="仿宋" w:cs="仿宋"/>
          <w:sz w:val="32"/>
          <w:szCs w:val="32"/>
          <w:lang w:eastAsia="zh-CN"/>
        </w:rPr>
        <w:t>。</w:t>
      </w:r>
    </w:p>
    <w:p w14:paraId="6476870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配合协助省委和市委巡视巡察组在我区开展的巡视巡察工作，做好组织对接、制度对接、工作对接</w:t>
      </w:r>
      <w:r>
        <w:rPr>
          <w:rFonts w:hint="eastAsia" w:ascii="仿宋" w:hAnsi="仿宋" w:eastAsia="仿宋" w:cs="仿宋"/>
          <w:sz w:val="32"/>
          <w:szCs w:val="32"/>
          <w:lang w:eastAsia="zh-CN"/>
        </w:rPr>
        <w:t>。</w:t>
      </w:r>
    </w:p>
    <w:p w14:paraId="6055D83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对巡察成果运用履行组织协调、服务指导、督办检查等职责</w:t>
      </w:r>
      <w:r>
        <w:rPr>
          <w:rFonts w:hint="eastAsia" w:ascii="仿宋" w:hAnsi="仿宋" w:eastAsia="仿宋" w:cs="仿宋"/>
          <w:sz w:val="32"/>
          <w:szCs w:val="32"/>
          <w:lang w:eastAsia="zh-CN"/>
        </w:rPr>
        <w:t>。</w:t>
      </w:r>
    </w:p>
    <w:p w14:paraId="0B8AED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在巡察中发现的区委管理的党政主要负责人和后备干部违纪违法问题线索，每半年报市委巡察办备案</w:t>
      </w:r>
      <w:r>
        <w:rPr>
          <w:rFonts w:hint="eastAsia" w:ascii="仿宋" w:hAnsi="仿宋" w:eastAsia="仿宋" w:cs="仿宋"/>
          <w:sz w:val="32"/>
          <w:szCs w:val="32"/>
          <w:lang w:eastAsia="zh-CN"/>
        </w:rPr>
        <w:t>。</w:t>
      </w:r>
    </w:p>
    <w:p w14:paraId="43CDA74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健全完善与其他执纪执法监督机关的信息沟通机制</w:t>
      </w:r>
      <w:r>
        <w:rPr>
          <w:rFonts w:hint="eastAsia" w:ascii="仿宋" w:hAnsi="仿宋" w:eastAsia="仿宋" w:cs="仿宋"/>
          <w:sz w:val="32"/>
          <w:szCs w:val="32"/>
          <w:lang w:eastAsia="zh-CN"/>
        </w:rPr>
        <w:t>。</w:t>
      </w:r>
    </w:p>
    <w:p w14:paraId="017099B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办理市委巡察办和区委巡察工作领导小组交办的其他事项</w:t>
      </w:r>
      <w:r>
        <w:rPr>
          <w:rFonts w:hint="eastAsia" w:ascii="仿宋" w:hAnsi="仿宋" w:eastAsia="仿宋" w:cs="仿宋"/>
          <w:sz w:val="32"/>
          <w:szCs w:val="32"/>
          <w:lang w:eastAsia="zh-CN"/>
        </w:rPr>
        <w:t>。</w:t>
      </w:r>
    </w:p>
    <w:p w14:paraId="1CC4683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负责承担区委巡察工作任务，向区委巡察工作领导小组负责并报告工作。</w:t>
      </w:r>
    </w:p>
    <w:p w14:paraId="610C5F1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5" w:name="_Toc32275"/>
      <w:bookmarkStart w:id="76" w:name="_Toc27887"/>
      <w:bookmarkStart w:id="77" w:name="_Toc1345"/>
      <w:r>
        <w:rPr>
          <w:rFonts w:hint="eastAsia" w:ascii="楷体" w:hAnsi="楷体" w:eastAsia="楷体" w:cs="楷体"/>
          <w:b/>
          <w:bCs/>
          <w:sz w:val="32"/>
          <w:szCs w:val="32"/>
        </w:rPr>
        <w:t>（三）部门组织架构与人员</w:t>
      </w:r>
      <w:bookmarkEnd w:id="74"/>
      <w:bookmarkEnd w:id="75"/>
      <w:bookmarkEnd w:id="76"/>
      <w:bookmarkEnd w:id="77"/>
    </w:p>
    <w:p w14:paraId="32A9FE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1.内</w:t>
      </w:r>
      <w:r>
        <w:rPr>
          <w:rFonts w:hint="eastAsia" w:ascii="仿宋" w:hAnsi="仿宋" w:eastAsia="仿宋" w:cs="仿宋"/>
          <w:b/>
          <w:bCs/>
          <w:sz w:val="32"/>
          <w:szCs w:val="32"/>
          <w:lang w:val="en-US" w:eastAsia="zh-CN"/>
        </w:rPr>
        <w:t>部</w:t>
      </w:r>
      <w:r>
        <w:rPr>
          <w:rFonts w:hint="eastAsia" w:ascii="仿宋" w:hAnsi="仿宋" w:eastAsia="仿宋" w:cs="仿宋"/>
          <w:b/>
          <w:bCs/>
          <w:sz w:val="32"/>
          <w:szCs w:val="32"/>
        </w:rPr>
        <w:t>机构设置</w:t>
      </w:r>
    </w:p>
    <w:p w14:paraId="54C4E2A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雁峰区委巡察工作领导小组办公室内设机构办公室、巡察指导室、巡察督导室。</w:t>
      </w:r>
    </w:p>
    <w:p w14:paraId="51E2C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编制及实有人员</w:t>
      </w:r>
    </w:p>
    <w:p w14:paraId="3AB9A8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至2024年12月31日，区委巡察办核定编制</w:t>
      </w:r>
      <w:r>
        <w:rPr>
          <w:rFonts w:hint="eastAsia" w:ascii="仿宋" w:hAnsi="仿宋" w:eastAsia="仿宋" w:cs="仿宋"/>
          <w:sz w:val="32"/>
          <w:szCs w:val="32"/>
          <w:lang w:eastAsia="zh-CN"/>
        </w:rPr>
        <w:t>为</w:t>
      </w:r>
      <w:r>
        <w:rPr>
          <w:rFonts w:hint="eastAsia" w:ascii="仿宋" w:hAnsi="仿宋" w:eastAsia="仿宋" w:cs="仿宋"/>
          <w:sz w:val="32"/>
          <w:szCs w:val="32"/>
        </w:rPr>
        <w:t>7</w:t>
      </w:r>
      <w:r>
        <w:rPr>
          <w:rFonts w:hint="eastAsia" w:ascii="仿宋" w:hAnsi="仿宋" w:eastAsia="仿宋" w:cs="仿宋"/>
          <w:sz w:val="32"/>
          <w:szCs w:val="32"/>
          <w:lang w:eastAsia="zh-CN"/>
        </w:rPr>
        <w:t>人</w:t>
      </w:r>
      <w:r>
        <w:rPr>
          <w:rFonts w:hint="eastAsia" w:ascii="仿宋" w:hAnsi="仿宋" w:eastAsia="仿宋" w:cs="仿宋"/>
          <w:sz w:val="32"/>
          <w:szCs w:val="32"/>
        </w:rPr>
        <w:t>，其中：行政编制7个。现有在职干部职工9人，其中行政编9人。在职人员控制率为</w:t>
      </w:r>
      <w:r>
        <w:rPr>
          <w:rFonts w:hint="eastAsia" w:ascii="仿宋" w:hAnsi="仿宋" w:eastAsia="仿宋" w:cs="仿宋"/>
          <w:sz w:val="32"/>
          <w:szCs w:val="32"/>
          <w:lang w:val="en-US" w:eastAsia="zh-CN"/>
        </w:rPr>
        <w:t>128.57</w:t>
      </w:r>
      <w:r>
        <w:rPr>
          <w:rFonts w:hint="eastAsia" w:ascii="仿宋" w:hAnsi="仿宋" w:eastAsia="仿宋" w:cs="仿宋"/>
          <w:sz w:val="32"/>
          <w:szCs w:val="32"/>
        </w:rPr>
        <w:t>%</w:t>
      </w:r>
      <w:r>
        <w:rPr>
          <w:rFonts w:hint="eastAsia" w:ascii="仿宋" w:hAnsi="仿宋" w:eastAsia="仿宋" w:cs="仿宋"/>
          <w:sz w:val="32"/>
          <w:szCs w:val="32"/>
          <w:lang w:eastAsia="zh-CN"/>
        </w:rPr>
        <w:t>。</w:t>
      </w:r>
    </w:p>
    <w:p w14:paraId="7709BD8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注：另有</w:t>
      </w:r>
      <w:r>
        <w:rPr>
          <w:rFonts w:hint="eastAsia" w:ascii="仿宋" w:hAnsi="仿宋" w:eastAsia="仿宋" w:cs="仿宋"/>
          <w:sz w:val="32"/>
          <w:szCs w:val="32"/>
          <w:lang w:val="en-US" w:eastAsia="zh-CN"/>
        </w:rPr>
        <w:t>3人的编制在区纪委。</w:t>
      </w:r>
    </w:p>
    <w:p w14:paraId="79F2A0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8" w:name="_Toc20991"/>
      <w:bookmarkStart w:id="79" w:name="_Toc17992"/>
      <w:bookmarkStart w:id="80" w:name="_Toc23577"/>
      <w:bookmarkStart w:id="81" w:name="_Toc11356"/>
      <w:r>
        <w:rPr>
          <w:rFonts w:hint="eastAsia" w:ascii="楷体" w:hAnsi="楷体" w:eastAsia="楷体" w:cs="楷体"/>
          <w:b/>
          <w:bCs/>
          <w:sz w:val="32"/>
          <w:szCs w:val="32"/>
        </w:rPr>
        <w:t>（四）部门2024年度职责履行及履职效益</w:t>
      </w:r>
      <w:bookmarkEnd w:id="78"/>
      <w:bookmarkEnd w:id="79"/>
      <w:bookmarkEnd w:id="80"/>
      <w:bookmarkEnd w:id="81"/>
    </w:p>
    <w:p w14:paraId="1CBAE4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rPr>
      </w:pPr>
      <w:bookmarkStart w:id="82" w:name="_Toc20858"/>
      <w:r>
        <w:rPr>
          <w:rFonts w:hint="eastAsia" w:ascii="仿宋" w:hAnsi="仿宋" w:eastAsia="仿宋" w:cs="仿宋"/>
          <w:b/>
          <w:bCs/>
          <w:sz w:val="32"/>
          <w:szCs w:val="32"/>
          <w:lang w:val="en-US" w:eastAsia="zh-CN"/>
        </w:rPr>
        <w:t>职责履行：</w:t>
      </w:r>
      <w:r>
        <w:rPr>
          <w:rFonts w:hint="eastAsia" w:ascii="仿宋" w:hAnsi="仿宋" w:eastAsia="仿宋" w:cs="仿宋"/>
          <w:sz w:val="32"/>
          <w:szCs w:val="32"/>
          <w:lang w:val="en-US" w:eastAsia="zh-CN"/>
        </w:rPr>
        <w:t>2024年以来</w:t>
      </w:r>
      <w:r>
        <w:rPr>
          <w:rFonts w:hint="eastAsia" w:ascii="仿宋" w:hAnsi="仿宋" w:eastAsia="仿宋" w:cs="仿宋"/>
          <w:sz w:val="32"/>
          <w:szCs w:val="32"/>
        </w:rPr>
        <w:t>，区委巡察办坚持以新修订的《中国共产党巡视工作条例》和习近平总书记对巡视工作的重要论述为指导，严格按照区委对巡察工作的总体部署和要求，突出政治巡察定位，坚守“发现问题、形成震慑、推动改革、促进发展”的方针，稳步推进区委巡察工作取得新发展。</w:t>
      </w:r>
      <w:bookmarkEnd w:id="82"/>
    </w:p>
    <w:p w14:paraId="7C5DE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bookmarkStart w:id="83" w:name="_Toc18948"/>
      <w:r>
        <w:rPr>
          <w:rFonts w:hint="eastAsia" w:ascii="仿宋" w:hAnsi="仿宋" w:eastAsia="仿宋" w:cs="仿宋"/>
          <w:sz w:val="32"/>
          <w:szCs w:val="32"/>
          <w:lang w:val="en-US" w:eastAsia="zh-CN"/>
        </w:rPr>
        <w:t>1.</w:t>
      </w:r>
      <w:r>
        <w:rPr>
          <w:rFonts w:hint="eastAsia" w:ascii="仿宋" w:hAnsi="仿宋" w:eastAsia="仿宋" w:cs="仿宋"/>
          <w:sz w:val="32"/>
          <w:szCs w:val="32"/>
        </w:rPr>
        <w:t>全力配合市委提级交叉巡察。2024年3月至5月，配合市委第十五巡察组对区委政法委、公安雁峰分局、区法院、区检察院、区司法局等单位开展政法系统专项巡察；同时抽调相关部门精干力量组建队伍对蒸湘区政法系统开展提级交叉巡察，积极配合开展上下联动。2024年7月22日至8月5日，配合市委第四巡察组对我区开展群众身边不正之风和腐败问题机动巡察，切实解决群众急难愁盼，推进集中整治工作走深走实。</w:t>
      </w:r>
      <w:bookmarkEnd w:id="83"/>
    </w:p>
    <w:p w14:paraId="60BEE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bookmarkStart w:id="84" w:name="_Toc9776"/>
      <w:r>
        <w:rPr>
          <w:rFonts w:hint="eastAsia" w:ascii="仿宋" w:hAnsi="仿宋" w:eastAsia="仿宋" w:cs="仿宋"/>
          <w:sz w:val="32"/>
          <w:szCs w:val="32"/>
          <w:lang w:val="en-US" w:eastAsia="zh-CN"/>
        </w:rPr>
        <w:t>2.</w:t>
      </w:r>
      <w:r>
        <w:rPr>
          <w:rFonts w:hint="eastAsia" w:ascii="仿宋" w:hAnsi="仿宋" w:eastAsia="仿宋" w:cs="仿宋"/>
          <w:sz w:val="32"/>
          <w:szCs w:val="32"/>
        </w:rPr>
        <w:t>扎实推进常规巡察工作。2024年4月下旬和8月下旬分别启动五届区委第六轮、第七轮常规巡察，两轮巡察共对区教育局、区妇联、区科协、区总工会、团区委、区残联、区计生协会、区红十字会、白沙洲街道及下辖社区、区委办、区委党史研究室、区委研究中心、区委机关事务接待中心、区人大、</w:t>
      </w:r>
      <w:r>
        <w:rPr>
          <w:rFonts w:hint="eastAsia" w:ascii="仿宋" w:hAnsi="仿宋" w:eastAsia="仿宋" w:cs="仿宋"/>
          <w:sz w:val="32"/>
          <w:szCs w:val="32"/>
          <w:lang w:eastAsia="zh-CN"/>
        </w:rPr>
        <w:t>区委巡察办</w:t>
      </w:r>
      <w:r>
        <w:rPr>
          <w:rFonts w:hint="eastAsia" w:ascii="仿宋" w:hAnsi="仿宋" w:eastAsia="仿宋" w:cs="仿宋"/>
          <w:sz w:val="32"/>
          <w:szCs w:val="32"/>
        </w:rPr>
        <w:t>、区委统战部、区工商联、区民宗局、区医保局、区人社局、区城管局等29个单位和部门进行政治体检。其中第六轮常规巡察继续深化“巡审联动”，第七轮巡察首次将“法治建设”工作纳入巡察范围，并持续深化“巡统联动”。</w:t>
      </w:r>
      <w:bookmarkEnd w:id="84"/>
    </w:p>
    <w:p w14:paraId="473187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bookmarkStart w:id="85" w:name="_Toc26690"/>
      <w:r>
        <w:rPr>
          <w:rFonts w:hint="eastAsia" w:ascii="仿宋" w:hAnsi="仿宋" w:eastAsia="仿宋" w:cs="仿宋"/>
          <w:sz w:val="32"/>
          <w:szCs w:val="32"/>
          <w:lang w:val="en-US" w:eastAsia="zh-CN"/>
        </w:rPr>
        <w:t>3.</w:t>
      </w:r>
      <w:r>
        <w:rPr>
          <w:rFonts w:hint="eastAsia" w:ascii="仿宋" w:hAnsi="仿宋" w:eastAsia="仿宋" w:cs="仿宋"/>
          <w:sz w:val="32"/>
          <w:szCs w:val="32"/>
        </w:rPr>
        <w:t>多措并举提升巡察整改质效。一是压实整改责任。按照十二届市委第六轮巡察同类同改、未巡先改的要求，我办组织各镇（街道）党（工）委对照市委下发的共性问题清单，认真开展同类同改、未巡先改工作，并统筹抓好辖区各村（社区）的整改工作。二是提高督促质量。结合我区实际，将巡察整改的各环节以及时间节点、要求进行梳理，编制了工作提示，在每轮巡察反馈后发给被巡单位，让被巡单位有“章”可循。同时，在报送巡察整改方案、进展情况报告、社会公开等时间节点前，对相关部门进行电话提醒，巡视巡察整改工作督促提醒进一步规范化、系统化。三是构建整改闭环。我办积极参与中央巡视办“强化巡察整改工作流程指引”试点工作，经过探索实践，研究制定了一些制度，建立各部门齐抓整改模式，形成“巡察—反馈—整改—再监督”的闭环工作链条，推动巡察整改落到实处、取得实效。</w:t>
      </w:r>
      <w:bookmarkEnd w:id="85"/>
    </w:p>
    <w:p w14:paraId="4EB4B1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楷体" w:hAnsi="楷体" w:eastAsia="楷体" w:cs="楷体"/>
          <w:b w:val="0"/>
          <w:bCs w:val="0"/>
          <w:sz w:val="32"/>
          <w:szCs w:val="32"/>
          <w:lang w:eastAsia="zh-CN"/>
        </w:rPr>
      </w:pPr>
      <w:bookmarkStart w:id="86" w:name="_Toc26237"/>
      <w:r>
        <w:rPr>
          <w:rFonts w:hint="eastAsia" w:ascii="仿宋" w:hAnsi="仿宋" w:eastAsia="仿宋" w:cs="仿宋"/>
          <w:b/>
          <w:bCs/>
          <w:sz w:val="32"/>
          <w:szCs w:val="32"/>
          <w:lang w:eastAsia="zh-CN"/>
        </w:rPr>
        <w:t>履职效益：</w:t>
      </w:r>
      <w:r>
        <w:rPr>
          <w:rFonts w:hint="eastAsia" w:ascii="仿宋" w:hAnsi="仿宋" w:eastAsia="仿宋" w:cs="仿宋"/>
          <w:sz w:val="32"/>
          <w:szCs w:val="32"/>
          <w:lang w:eastAsia="zh-CN"/>
        </w:rPr>
        <w:t>2024年以来，区委巡察办忠诚履行党章赋予的职责，坚守政治巡察定位，各项工作取得了实质性成效，为区域经济社会高质量发展提供了坚强政治保障。</w:t>
      </w:r>
      <w:bookmarkEnd w:id="86"/>
    </w:p>
    <w:p w14:paraId="299BE9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 w:hAnsi="楷体" w:eastAsia="楷体" w:cs="楷体"/>
          <w:b w:val="0"/>
          <w:bCs w:val="0"/>
          <w:sz w:val="32"/>
          <w:szCs w:val="32"/>
          <w:lang w:eastAsia="zh-CN"/>
        </w:rPr>
      </w:pPr>
      <w:bookmarkStart w:id="87" w:name="_Toc1508"/>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政治监督效能持续深化。通过紧密配合市委提级交叉巡察与自主开展常规巡察，有效传导了全面从严治党压力。特别是政法系统专项巡察与群众身边不正之风和腐败问题机动巡察的协同开展，不仅精准发现并推动解决了一批政法领域的深层次问题，更直击基层“微腐败”，推动解决了大量群众急难愁盼问题，使巡察工作更接地气、更顺民心，有力增强了人民群众的获得感、幸福感和安全感，党的执政根基得到进一步巩固。</w:t>
      </w:r>
      <w:bookmarkEnd w:id="87"/>
    </w:p>
    <w:p w14:paraId="42CDD5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 w:hAnsi="楷体" w:eastAsia="楷体" w:cs="楷体"/>
          <w:b w:val="0"/>
          <w:bCs w:val="0"/>
          <w:sz w:val="32"/>
          <w:szCs w:val="32"/>
          <w:lang w:eastAsia="zh-CN"/>
        </w:rPr>
      </w:pPr>
      <w:bookmarkStart w:id="88" w:name="_Toc25370"/>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巡察覆盖与监督精准性同步提升。两轮常规巡察覆盖29个单位和部门，实现了对关键领域、群团组织、民生部门及街道社区的政治体检“精准扫描”。通过深化“巡审联动”、首次将“法治建设”纳入巡察范围、持续“巡统联动”等创新举措，打破了监督壁垒，形成了监督合力，使巡察发现问题更全面、更专业、更深刻，有效揭示了被巡察党组织在履行核心职能、落实党中央重大决策部署等方面存在的政治偏差。</w:t>
      </w:r>
      <w:bookmarkEnd w:id="88"/>
    </w:p>
    <w:p w14:paraId="71D542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val="en-US" w:eastAsia="zh-CN"/>
        </w:rPr>
      </w:pPr>
      <w:bookmarkStart w:id="89" w:name="_Toc15398"/>
      <w:r>
        <w:rPr>
          <w:rFonts w:hint="eastAsia" w:ascii="仿宋" w:hAnsi="仿宋" w:eastAsia="仿宋" w:cs="仿宋"/>
          <w:sz w:val="32"/>
          <w:szCs w:val="32"/>
          <w:lang w:val="en-US" w:eastAsia="zh-CN"/>
        </w:rPr>
        <w:t>3.整改落实的“后半篇文章”做深做实。通过压实整改责任、编制规范化工作提示、实施全过程督促提醒，显著提升了被巡察单位的整改效率和规范性。特别是通过积极参与上级试点，探索建立的“巡察—反馈—整改—再监督”闭环工作链条，构建了各部门齐抓共管、系统集成推进整改的工作格局，有效防止了“纸面整改”“选择性整改”，确保了巡察发现的问题件件有着落、事事有回音，推动形成了监督、整改、治理的良性循环，巡察成果得到最大化运用。</w:t>
      </w:r>
      <w:bookmarkEnd w:id="89"/>
    </w:p>
    <w:p w14:paraId="41A39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lang w:eastAsia="zh-CN"/>
        </w:rPr>
      </w:pPr>
      <w:bookmarkStart w:id="90" w:name="_Toc13869"/>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标本兼治战略作用有效发挥。巡察工作不仅注重“当下改”，更着眼“长久立”。推动“同类同改、未巡先改”机制落地，实现了“巡察一地、整改一片、规范全域”的辐射效应，促使未接受巡察的单位也能主动对照检查、提前整改，起到了抓早抓小、防微杜渐的作用。通过巡察推动相关领域建章立制、堵塞漏洞，从根本上促进了权力规范运行和政治生态的持续净化，巡察工作的震慑、遏制和治本功能得到全方位展现。</w:t>
      </w:r>
      <w:bookmarkEnd w:id="90"/>
    </w:p>
    <w:p w14:paraId="30334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91" w:name="_Toc17341"/>
      <w:bookmarkStart w:id="92" w:name="_Toc16832"/>
      <w:bookmarkStart w:id="93" w:name="_Toc553"/>
      <w:bookmarkStart w:id="94" w:name="_Toc29483"/>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bookmarkEnd w:id="91"/>
      <w:bookmarkEnd w:id="92"/>
      <w:bookmarkEnd w:id="93"/>
      <w:bookmarkEnd w:id="94"/>
    </w:p>
    <w:p w14:paraId="3A4E1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95" w:name="_Toc14255"/>
      <w:bookmarkStart w:id="96" w:name="_Toc57"/>
      <w:bookmarkStart w:id="97" w:name="_Toc26619"/>
      <w:bookmarkStart w:id="98" w:name="_Toc15553"/>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预算配置情况及分析</w:t>
      </w:r>
      <w:bookmarkEnd w:id="95"/>
      <w:bookmarkEnd w:id="96"/>
      <w:bookmarkEnd w:id="97"/>
      <w:bookmarkEnd w:id="98"/>
    </w:p>
    <w:p w14:paraId="77D8F3F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区委巡察办2024年度年初预算总额为</w:t>
      </w:r>
      <w:r>
        <w:rPr>
          <w:rFonts w:hint="eastAsia" w:ascii="仿宋" w:hAnsi="仿宋" w:eastAsia="仿宋" w:cs="仿宋"/>
          <w:sz w:val="32"/>
          <w:szCs w:val="32"/>
          <w:lang w:val="en-US" w:eastAsia="zh-CN"/>
        </w:rPr>
        <w:t>154.4</w:t>
      </w:r>
      <w:r>
        <w:rPr>
          <w:rFonts w:hint="eastAsia" w:ascii="仿宋" w:hAnsi="仿宋" w:eastAsia="仿宋" w:cs="仿宋"/>
          <w:sz w:val="32"/>
          <w:szCs w:val="32"/>
        </w:rPr>
        <w:t>万元。年中预算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8.28</w:t>
      </w:r>
      <w:r>
        <w:rPr>
          <w:rFonts w:hint="eastAsia" w:ascii="仿宋" w:hAnsi="仿宋" w:eastAsia="仿宋" w:cs="仿宋"/>
          <w:sz w:val="32"/>
          <w:szCs w:val="32"/>
        </w:rPr>
        <w:t>万元，调整后预算为</w:t>
      </w:r>
      <w:r>
        <w:rPr>
          <w:rFonts w:hint="eastAsia" w:ascii="仿宋" w:hAnsi="仿宋" w:eastAsia="仿宋" w:cs="仿宋"/>
          <w:sz w:val="32"/>
          <w:szCs w:val="32"/>
          <w:lang w:val="en-US" w:eastAsia="zh-CN"/>
        </w:rPr>
        <w:t>146.12</w:t>
      </w:r>
      <w:r>
        <w:rPr>
          <w:rFonts w:hint="eastAsia" w:ascii="仿宋" w:hAnsi="仿宋" w:eastAsia="仿宋" w:cs="仿宋"/>
          <w:sz w:val="32"/>
          <w:szCs w:val="32"/>
        </w:rPr>
        <w:t>万元。</w:t>
      </w:r>
    </w:p>
    <w:tbl>
      <w:tblPr>
        <w:tblStyle w:val="11"/>
        <w:tblW w:w="877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7"/>
        <w:gridCol w:w="1857"/>
        <w:gridCol w:w="2062"/>
        <w:gridCol w:w="1350"/>
        <w:gridCol w:w="1369"/>
      </w:tblGrid>
      <w:tr w14:paraId="67BA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2137"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F5110AE">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支出分类</w:t>
            </w:r>
          </w:p>
        </w:tc>
        <w:tc>
          <w:tcPr>
            <w:tcW w:w="1857" w:type="dxa"/>
            <w:tcBorders>
              <w:top w:val="single" w:color="000000" w:sz="8" w:space="0"/>
              <w:left w:val="nil"/>
              <w:bottom w:val="single" w:color="000000" w:sz="8" w:space="0"/>
              <w:right w:val="single" w:color="000000" w:sz="8" w:space="0"/>
            </w:tcBorders>
            <w:shd w:val="clear" w:color="auto" w:fill="DDEBF7"/>
            <w:noWrap/>
            <w:vAlign w:val="center"/>
          </w:tcPr>
          <w:p w14:paraId="1250EA4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年初预算（万元）</w:t>
            </w:r>
          </w:p>
        </w:tc>
        <w:tc>
          <w:tcPr>
            <w:tcW w:w="2062" w:type="dxa"/>
            <w:tcBorders>
              <w:top w:val="single" w:color="000000" w:sz="8" w:space="0"/>
              <w:left w:val="nil"/>
              <w:bottom w:val="single" w:color="000000" w:sz="8" w:space="0"/>
              <w:right w:val="single" w:color="000000" w:sz="8" w:space="0"/>
            </w:tcBorders>
            <w:shd w:val="clear" w:color="auto" w:fill="DDEBF7"/>
            <w:noWrap/>
            <w:vAlign w:val="center"/>
          </w:tcPr>
          <w:p w14:paraId="69D89B9E">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全年预算数（万元）</w:t>
            </w:r>
          </w:p>
        </w:tc>
        <w:tc>
          <w:tcPr>
            <w:tcW w:w="1350" w:type="dxa"/>
            <w:tcBorders>
              <w:top w:val="single" w:color="000000" w:sz="8" w:space="0"/>
              <w:left w:val="nil"/>
              <w:bottom w:val="single" w:color="000000" w:sz="8" w:space="0"/>
              <w:right w:val="single" w:color="000000" w:sz="8" w:space="0"/>
            </w:tcBorders>
            <w:shd w:val="clear" w:color="auto" w:fill="DDEBF7"/>
            <w:noWrap/>
            <w:vAlign w:val="center"/>
          </w:tcPr>
          <w:p w14:paraId="18CFFEC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增长额（正负值）</w:t>
            </w:r>
          </w:p>
        </w:tc>
        <w:tc>
          <w:tcPr>
            <w:tcW w:w="1369" w:type="dxa"/>
            <w:tcBorders>
              <w:top w:val="single" w:color="000000" w:sz="8" w:space="0"/>
              <w:left w:val="nil"/>
              <w:bottom w:val="single" w:color="000000" w:sz="8" w:space="0"/>
              <w:right w:val="single" w:color="000000" w:sz="8" w:space="0"/>
            </w:tcBorders>
            <w:shd w:val="clear" w:color="auto" w:fill="DDEBF7"/>
            <w:noWrap/>
            <w:vAlign w:val="center"/>
          </w:tcPr>
          <w:p w14:paraId="3595085F">
            <w:pPr>
              <w:keepNext w:val="0"/>
              <w:keepLines w:val="0"/>
              <w:widowControl/>
              <w:suppressLineNumbers w:val="0"/>
              <w:jc w:val="center"/>
              <w:textAlignment w:val="center"/>
              <w:rPr>
                <w:rFonts w:hint="default"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增长率（正负值）</w:t>
            </w:r>
          </w:p>
        </w:tc>
      </w:tr>
      <w:tr w14:paraId="1492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auto"/>
            <w:noWrap/>
            <w:vAlign w:val="center"/>
          </w:tcPr>
          <w:p w14:paraId="51835251">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基本支出－公用经费</w:t>
            </w:r>
          </w:p>
        </w:tc>
        <w:tc>
          <w:tcPr>
            <w:tcW w:w="1857" w:type="dxa"/>
            <w:tcBorders>
              <w:top w:val="nil"/>
              <w:left w:val="nil"/>
              <w:bottom w:val="single" w:color="000000" w:sz="8" w:space="0"/>
              <w:right w:val="single" w:color="000000" w:sz="8" w:space="0"/>
            </w:tcBorders>
            <w:shd w:val="clear" w:color="auto" w:fill="auto"/>
            <w:noWrap/>
            <w:vAlign w:val="center"/>
          </w:tcPr>
          <w:p w14:paraId="24A2A1C7">
            <w:pPr>
              <w:keepNext w:val="0"/>
              <w:keepLines w:val="0"/>
              <w:widowControl/>
              <w:suppressLineNumbers w:val="0"/>
              <w:jc w:val="center"/>
              <w:textAlignment w:val="center"/>
              <w:rPr>
                <w:rFonts w:hint="default"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14.40</w:t>
            </w:r>
          </w:p>
        </w:tc>
        <w:tc>
          <w:tcPr>
            <w:tcW w:w="2062" w:type="dxa"/>
            <w:tcBorders>
              <w:top w:val="nil"/>
              <w:left w:val="nil"/>
              <w:bottom w:val="single" w:color="000000" w:sz="8" w:space="0"/>
              <w:right w:val="single" w:color="000000" w:sz="8" w:space="0"/>
            </w:tcBorders>
            <w:shd w:val="clear" w:color="auto" w:fill="auto"/>
            <w:noWrap/>
            <w:vAlign w:val="center"/>
          </w:tcPr>
          <w:p w14:paraId="6E368BAA">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83.40</w:t>
            </w:r>
          </w:p>
        </w:tc>
        <w:tc>
          <w:tcPr>
            <w:tcW w:w="1350" w:type="dxa"/>
            <w:tcBorders>
              <w:top w:val="nil"/>
              <w:left w:val="nil"/>
              <w:bottom w:val="single" w:color="000000" w:sz="8" w:space="0"/>
              <w:right w:val="single" w:color="000000" w:sz="8" w:space="0"/>
            </w:tcBorders>
            <w:shd w:val="clear" w:color="auto" w:fill="auto"/>
            <w:noWrap/>
            <w:vAlign w:val="center"/>
          </w:tcPr>
          <w:p w14:paraId="4C2937D0">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69.00</w:t>
            </w:r>
          </w:p>
        </w:tc>
        <w:tc>
          <w:tcPr>
            <w:tcW w:w="1369" w:type="dxa"/>
            <w:tcBorders>
              <w:top w:val="nil"/>
              <w:left w:val="nil"/>
              <w:bottom w:val="single" w:color="000000" w:sz="8" w:space="0"/>
              <w:right w:val="single" w:color="000000" w:sz="8" w:space="0"/>
            </w:tcBorders>
            <w:shd w:val="clear" w:color="auto" w:fill="auto"/>
            <w:noWrap/>
            <w:vAlign w:val="center"/>
          </w:tcPr>
          <w:p w14:paraId="6B6390F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479.17%</w:t>
            </w:r>
          </w:p>
        </w:tc>
      </w:tr>
      <w:tr w14:paraId="6503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DDEBF7"/>
            <w:noWrap/>
            <w:vAlign w:val="center"/>
          </w:tcPr>
          <w:p w14:paraId="2788C891">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项目支出</w:t>
            </w:r>
          </w:p>
        </w:tc>
        <w:tc>
          <w:tcPr>
            <w:tcW w:w="1857" w:type="dxa"/>
            <w:tcBorders>
              <w:top w:val="nil"/>
              <w:left w:val="nil"/>
              <w:bottom w:val="single" w:color="000000" w:sz="8" w:space="0"/>
              <w:right w:val="single" w:color="000000" w:sz="8" w:space="0"/>
            </w:tcBorders>
            <w:shd w:val="clear" w:color="auto" w:fill="DDEBF7"/>
            <w:noWrap/>
            <w:vAlign w:val="center"/>
          </w:tcPr>
          <w:p w14:paraId="4566351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2062" w:type="dxa"/>
            <w:tcBorders>
              <w:top w:val="nil"/>
              <w:left w:val="nil"/>
              <w:bottom w:val="single" w:color="000000" w:sz="8" w:space="0"/>
              <w:right w:val="single" w:color="000000" w:sz="8" w:space="0"/>
            </w:tcBorders>
            <w:shd w:val="clear" w:color="auto" w:fill="DDEBF7"/>
            <w:noWrap/>
            <w:vAlign w:val="center"/>
          </w:tcPr>
          <w:p w14:paraId="397DF7DE">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62.72</w:t>
            </w:r>
          </w:p>
        </w:tc>
        <w:tc>
          <w:tcPr>
            <w:tcW w:w="1350" w:type="dxa"/>
            <w:tcBorders>
              <w:top w:val="nil"/>
              <w:left w:val="nil"/>
              <w:bottom w:val="single" w:color="000000" w:sz="8" w:space="0"/>
              <w:right w:val="single" w:color="000000" w:sz="8" w:space="0"/>
            </w:tcBorders>
            <w:shd w:val="clear" w:color="auto" w:fill="DDEBF7"/>
            <w:noWrap/>
            <w:vAlign w:val="center"/>
          </w:tcPr>
          <w:p w14:paraId="39B4FD1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-77.28</w:t>
            </w:r>
          </w:p>
        </w:tc>
        <w:tc>
          <w:tcPr>
            <w:tcW w:w="1369" w:type="dxa"/>
            <w:tcBorders>
              <w:top w:val="nil"/>
              <w:left w:val="nil"/>
              <w:bottom w:val="single" w:color="000000" w:sz="8" w:space="0"/>
              <w:right w:val="single" w:color="000000" w:sz="8" w:space="0"/>
            </w:tcBorders>
            <w:shd w:val="clear" w:color="auto" w:fill="DDEBF7"/>
            <w:noWrap/>
            <w:vAlign w:val="center"/>
          </w:tcPr>
          <w:p w14:paraId="1DAA9CC1">
            <w:pPr>
              <w:keepNext w:val="0"/>
              <w:keepLines w:val="0"/>
              <w:widowControl/>
              <w:suppressLineNumbers w:val="0"/>
              <w:jc w:val="center"/>
              <w:textAlignment w:val="center"/>
              <w:rPr>
                <w:rFonts w:hint="default"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-55.20%</w:t>
            </w:r>
          </w:p>
        </w:tc>
      </w:tr>
      <w:tr w14:paraId="0E4E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auto"/>
            <w:noWrap/>
            <w:vAlign w:val="center"/>
          </w:tcPr>
          <w:p w14:paraId="6A3AEA9E">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合计</w:t>
            </w:r>
          </w:p>
        </w:tc>
        <w:tc>
          <w:tcPr>
            <w:tcW w:w="1857" w:type="dxa"/>
            <w:tcBorders>
              <w:top w:val="nil"/>
              <w:left w:val="nil"/>
              <w:bottom w:val="single" w:color="000000" w:sz="8" w:space="0"/>
              <w:right w:val="single" w:color="000000" w:sz="8" w:space="0"/>
            </w:tcBorders>
            <w:shd w:val="clear" w:color="auto" w:fill="auto"/>
            <w:noWrap/>
            <w:vAlign w:val="center"/>
          </w:tcPr>
          <w:p w14:paraId="7A2EA40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154.40</w:t>
            </w:r>
          </w:p>
        </w:tc>
        <w:tc>
          <w:tcPr>
            <w:tcW w:w="2062" w:type="dxa"/>
            <w:tcBorders>
              <w:top w:val="nil"/>
              <w:left w:val="nil"/>
              <w:bottom w:val="single" w:color="000000" w:sz="8" w:space="0"/>
              <w:right w:val="single" w:color="000000" w:sz="8" w:space="0"/>
            </w:tcBorders>
            <w:shd w:val="clear" w:color="auto" w:fill="auto"/>
            <w:noWrap/>
            <w:vAlign w:val="center"/>
          </w:tcPr>
          <w:p w14:paraId="7DF4274F">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146.12</w:t>
            </w:r>
          </w:p>
        </w:tc>
        <w:tc>
          <w:tcPr>
            <w:tcW w:w="1350" w:type="dxa"/>
            <w:tcBorders>
              <w:top w:val="nil"/>
              <w:left w:val="nil"/>
              <w:bottom w:val="single" w:color="000000" w:sz="8" w:space="0"/>
              <w:right w:val="single" w:color="000000" w:sz="8" w:space="0"/>
            </w:tcBorders>
            <w:shd w:val="clear" w:color="auto" w:fill="auto"/>
            <w:noWrap/>
            <w:vAlign w:val="center"/>
          </w:tcPr>
          <w:p w14:paraId="3289879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-8.28</w:t>
            </w:r>
          </w:p>
        </w:tc>
        <w:tc>
          <w:tcPr>
            <w:tcW w:w="1369" w:type="dxa"/>
            <w:tcBorders>
              <w:top w:val="nil"/>
              <w:left w:val="nil"/>
              <w:bottom w:val="single" w:color="000000" w:sz="8" w:space="0"/>
              <w:right w:val="single" w:color="000000" w:sz="8" w:space="0"/>
            </w:tcBorders>
            <w:shd w:val="clear" w:color="auto" w:fill="auto"/>
            <w:noWrap/>
            <w:vAlign w:val="center"/>
          </w:tcPr>
          <w:p w14:paraId="5B3245F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-5.36%</w:t>
            </w:r>
          </w:p>
        </w:tc>
      </w:tr>
    </w:tbl>
    <w:p w14:paraId="37ADD42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楷体" w:hAnsi="楷体" w:eastAsia="楷体" w:cs="楷体"/>
          <w:b/>
          <w:bCs/>
          <w:sz w:val="32"/>
          <w:szCs w:val="32"/>
        </w:rPr>
      </w:pPr>
      <w:bookmarkStart w:id="99" w:name="_Toc1620"/>
      <w:bookmarkStart w:id="100" w:name="_Toc2237"/>
      <w:bookmarkStart w:id="101" w:name="_Toc22604"/>
    </w:p>
    <w:tbl>
      <w:tblPr>
        <w:tblStyle w:val="11"/>
        <w:tblW w:w="8775"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7"/>
        <w:gridCol w:w="1857"/>
        <w:gridCol w:w="2062"/>
        <w:gridCol w:w="1384"/>
        <w:gridCol w:w="1335"/>
      </w:tblGrid>
      <w:tr w14:paraId="3152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blHeader/>
        </w:trPr>
        <w:tc>
          <w:tcPr>
            <w:tcW w:w="2137"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04F6B53">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支出分类</w:t>
            </w:r>
          </w:p>
        </w:tc>
        <w:tc>
          <w:tcPr>
            <w:tcW w:w="1857" w:type="dxa"/>
            <w:tcBorders>
              <w:top w:val="single" w:color="000000" w:sz="8" w:space="0"/>
              <w:left w:val="nil"/>
              <w:bottom w:val="single" w:color="000000" w:sz="8" w:space="0"/>
              <w:right w:val="single" w:color="000000" w:sz="8" w:space="0"/>
            </w:tcBorders>
            <w:shd w:val="clear" w:color="auto" w:fill="DDEBF7"/>
            <w:noWrap/>
            <w:vAlign w:val="center"/>
          </w:tcPr>
          <w:p w14:paraId="00A8D97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年初预算（万元）</w:t>
            </w:r>
          </w:p>
        </w:tc>
        <w:tc>
          <w:tcPr>
            <w:tcW w:w="2062" w:type="dxa"/>
            <w:tcBorders>
              <w:top w:val="single" w:color="000000" w:sz="8" w:space="0"/>
              <w:left w:val="nil"/>
              <w:bottom w:val="single" w:color="000000" w:sz="8" w:space="0"/>
              <w:right w:val="single" w:color="000000" w:sz="8" w:space="0"/>
            </w:tcBorders>
            <w:shd w:val="clear" w:color="auto" w:fill="DDEBF7"/>
            <w:noWrap/>
            <w:vAlign w:val="center"/>
          </w:tcPr>
          <w:p w14:paraId="1BCA09C4">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全年预算数（万元）</w:t>
            </w:r>
          </w:p>
        </w:tc>
        <w:tc>
          <w:tcPr>
            <w:tcW w:w="1384" w:type="dxa"/>
            <w:tcBorders>
              <w:top w:val="single" w:color="000000" w:sz="8" w:space="0"/>
              <w:left w:val="nil"/>
              <w:bottom w:val="single" w:color="000000" w:sz="8" w:space="0"/>
              <w:right w:val="single" w:color="000000" w:sz="8" w:space="0"/>
            </w:tcBorders>
            <w:shd w:val="clear" w:color="auto" w:fill="DDEBF7"/>
            <w:noWrap/>
            <w:vAlign w:val="center"/>
          </w:tcPr>
          <w:p w14:paraId="006455A3">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调整额（绝对值）</w:t>
            </w:r>
          </w:p>
        </w:tc>
        <w:tc>
          <w:tcPr>
            <w:tcW w:w="1335" w:type="dxa"/>
            <w:tcBorders>
              <w:top w:val="single" w:color="000000" w:sz="8" w:space="0"/>
              <w:left w:val="nil"/>
              <w:bottom w:val="single" w:color="000000" w:sz="8" w:space="0"/>
              <w:right w:val="single" w:color="000000" w:sz="8" w:space="0"/>
            </w:tcBorders>
            <w:shd w:val="clear" w:color="auto" w:fill="DDEBF7"/>
            <w:noWrap/>
            <w:vAlign w:val="center"/>
          </w:tcPr>
          <w:p w14:paraId="67C584C4">
            <w:pPr>
              <w:keepNext w:val="0"/>
              <w:keepLines w:val="0"/>
              <w:widowControl/>
              <w:suppressLineNumbers w:val="0"/>
              <w:jc w:val="center"/>
              <w:textAlignment w:val="center"/>
              <w:rPr>
                <w:rFonts w:hint="default"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调整率（绝对值）</w:t>
            </w:r>
          </w:p>
        </w:tc>
      </w:tr>
      <w:tr w14:paraId="48ED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auto"/>
            <w:noWrap/>
            <w:vAlign w:val="center"/>
          </w:tcPr>
          <w:p w14:paraId="0207D127">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基本支出－公用经费</w:t>
            </w:r>
          </w:p>
        </w:tc>
        <w:tc>
          <w:tcPr>
            <w:tcW w:w="1857" w:type="dxa"/>
            <w:tcBorders>
              <w:top w:val="nil"/>
              <w:left w:val="nil"/>
              <w:bottom w:val="single" w:color="000000" w:sz="8" w:space="0"/>
              <w:right w:val="single" w:color="000000" w:sz="8" w:space="0"/>
            </w:tcBorders>
            <w:shd w:val="clear" w:color="auto" w:fill="auto"/>
            <w:noWrap/>
            <w:vAlign w:val="center"/>
          </w:tcPr>
          <w:p w14:paraId="3DABD8D0">
            <w:pPr>
              <w:keepNext w:val="0"/>
              <w:keepLines w:val="0"/>
              <w:widowControl/>
              <w:suppressLineNumbers w:val="0"/>
              <w:jc w:val="center"/>
              <w:textAlignment w:val="center"/>
              <w:rPr>
                <w:rFonts w:hint="default"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14.40</w:t>
            </w:r>
          </w:p>
        </w:tc>
        <w:tc>
          <w:tcPr>
            <w:tcW w:w="2062" w:type="dxa"/>
            <w:tcBorders>
              <w:top w:val="nil"/>
              <w:left w:val="nil"/>
              <w:bottom w:val="single" w:color="000000" w:sz="8" w:space="0"/>
              <w:right w:val="single" w:color="000000" w:sz="8" w:space="0"/>
            </w:tcBorders>
            <w:shd w:val="clear" w:color="auto" w:fill="auto"/>
            <w:noWrap/>
            <w:vAlign w:val="center"/>
          </w:tcPr>
          <w:p w14:paraId="120E7E54">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83.40</w:t>
            </w:r>
          </w:p>
        </w:tc>
        <w:tc>
          <w:tcPr>
            <w:tcW w:w="1384" w:type="dxa"/>
            <w:tcBorders>
              <w:top w:val="nil"/>
              <w:left w:val="nil"/>
              <w:bottom w:val="single" w:color="000000" w:sz="8" w:space="0"/>
              <w:right w:val="single" w:color="000000" w:sz="8" w:space="0"/>
            </w:tcBorders>
            <w:shd w:val="clear" w:color="auto" w:fill="auto"/>
            <w:noWrap/>
            <w:vAlign w:val="center"/>
          </w:tcPr>
          <w:p w14:paraId="29A5BAA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69.00</w:t>
            </w:r>
          </w:p>
        </w:tc>
        <w:tc>
          <w:tcPr>
            <w:tcW w:w="1335" w:type="dxa"/>
            <w:tcBorders>
              <w:top w:val="nil"/>
              <w:left w:val="nil"/>
              <w:bottom w:val="single" w:color="000000" w:sz="8" w:space="0"/>
              <w:right w:val="single" w:color="000000" w:sz="8" w:space="0"/>
            </w:tcBorders>
            <w:shd w:val="clear" w:color="auto" w:fill="auto"/>
            <w:noWrap/>
            <w:vAlign w:val="center"/>
          </w:tcPr>
          <w:p w14:paraId="2C50789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479.17%</w:t>
            </w:r>
          </w:p>
        </w:tc>
      </w:tr>
      <w:tr w14:paraId="0572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DDEBF7"/>
            <w:noWrap/>
            <w:vAlign w:val="center"/>
          </w:tcPr>
          <w:p w14:paraId="099A54D0">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项目支出</w:t>
            </w:r>
          </w:p>
        </w:tc>
        <w:tc>
          <w:tcPr>
            <w:tcW w:w="1857" w:type="dxa"/>
            <w:tcBorders>
              <w:top w:val="nil"/>
              <w:left w:val="nil"/>
              <w:bottom w:val="single" w:color="000000" w:sz="8" w:space="0"/>
              <w:right w:val="single" w:color="000000" w:sz="8" w:space="0"/>
            </w:tcBorders>
            <w:shd w:val="clear" w:color="auto" w:fill="DDEBF7"/>
            <w:noWrap/>
            <w:vAlign w:val="center"/>
          </w:tcPr>
          <w:p w14:paraId="7D3F7A8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2062" w:type="dxa"/>
            <w:tcBorders>
              <w:top w:val="nil"/>
              <w:left w:val="nil"/>
              <w:bottom w:val="single" w:color="000000" w:sz="8" w:space="0"/>
              <w:right w:val="single" w:color="000000" w:sz="8" w:space="0"/>
            </w:tcBorders>
            <w:shd w:val="clear" w:color="auto" w:fill="DDEBF7"/>
            <w:noWrap/>
            <w:vAlign w:val="center"/>
          </w:tcPr>
          <w:p w14:paraId="798D41C9">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62.72</w:t>
            </w:r>
          </w:p>
        </w:tc>
        <w:tc>
          <w:tcPr>
            <w:tcW w:w="1384" w:type="dxa"/>
            <w:tcBorders>
              <w:top w:val="nil"/>
              <w:left w:val="nil"/>
              <w:bottom w:val="single" w:color="000000" w:sz="8" w:space="0"/>
              <w:right w:val="single" w:color="000000" w:sz="8" w:space="0"/>
            </w:tcBorders>
            <w:shd w:val="clear" w:color="auto" w:fill="DDEBF7"/>
            <w:noWrap/>
            <w:vAlign w:val="center"/>
          </w:tcPr>
          <w:p w14:paraId="2F15FC2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77.28</w:t>
            </w:r>
          </w:p>
        </w:tc>
        <w:tc>
          <w:tcPr>
            <w:tcW w:w="1335" w:type="dxa"/>
            <w:tcBorders>
              <w:top w:val="nil"/>
              <w:left w:val="nil"/>
              <w:bottom w:val="single" w:color="000000" w:sz="8" w:space="0"/>
              <w:right w:val="single" w:color="000000" w:sz="8" w:space="0"/>
            </w:tcBorders>
            <w:shd w:val="clear" w:color="auto" w:fill="DDEBF7"/>
            <w:noWrap/>
            <w:vAlign w:val="center"/>
          </w:tcPr>
          <w:p w14:paraId="4DC41E1E">
            <w:pPr>
              <w:keepNext w:val="0"/>
              <w:keepLines w:val="0"/>
              <w:widowControl/>
              <w:suppressLineNumbers w:val="0"/>
              <w:jc w:val="center"/>
              <w:textAlignment w:val="center"/>
              <w:rPr>
                <w:rFonts w:hint="default"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-55.20%</w:t>
            </w:r>
          </w:p>
        </w:tc>
      </w:tr>
      <w:tr w14:paraId="66DA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2137" w:type="dxa"/>
            <w:tcBorders>
              <w:top w:val="nil"/>
              <w:left w:val="single" w:color="000000" w:sz="8" w:space="0"/>
              <w:bottom w:val="single" w:color="000000" w:sz="8" w:space="0"/>
              <w:right w:val="single" w:color="000000" w:sz="8" w:space="0"/>
            </w:tcBorders>
            <w:shd w:val="clear" w:color="auto" w:fill="auto"/>
            <w:noWrap/>
            <w:vAlign w:val="center"/>
          </w:tcPr>
          <w:p w14:paraId="0739982C">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合计</w:t>
            </w:r>
          </w:p>
        </w:tc>
        <w:tc>
          <w:tcPr>
            <w:tcW w:w="1857" w:type="dxa"/>
            <w:tcBorders>
              <w:top w:val="nil"/>
              <w:left w:val="nil"/>
              <w:bottom w:val="single" w:color="000000" w:sz="8" w:space="0"/>
              <w:right w:val="single" w:color="000000" w:sz="8" w:space="0"/>
            </w:tcBorders>
            <w:shd w:val="clear" w:color="auto" w:fill="auto"/>
            <w:noWrap/>
            <w:vAlign w:val="center"/>
          </w:tcPr>
          <w:p w14:paraId="0D350E9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154.40</w:t>
            </w:r>
          </w:p>
        </w:tc>
        <w:tc>
          <w:tcPr>
            <w:tcW w:w="2062" w:type="dxa"/>
            <w:tcBorders>
              <w:top w:val="nil"/>
              <w:left w:val="nil"/>
              <w:bottom w:val="single" w:color="000000" w:sz="8" w:space="0"/>
              <w:right w:val="single" w:color="000000" w:sz="8" w:space="0"/>
            </w:tcBorders>
            <w:shd w:val="clear" w:color="auto" w:fill="auto"/>
            <w:noWrap/>
            <w:vAlign w:val="center"/>
          </w:tcPr>
          <w:p w14:paraId="7BCBEC53">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146.12</w:t>
            </w:r>
          </w:p>
        </w:tc>
        <w:tc>
          <w:tcPr>
            <w:tcW w:w="1384" w:type="dxa"/>
            <w:tcBorders>
              <w:top w:val="nil"/>
              <w:left w:val="nil"/>
              <w:bottom w:val="single" w:color="000000" w:sz="8" w:space="0"/>
              <w:right w:val="single" w:color="000000" w:sz="8" w:space="0"/>
            </w:tcBorders>
            <w:shd w:val="clear" w:color="auto" w:fill="auto"/>
            <w:noWrap/>
            <w:vAlign w:val="center"/>
          </w:tcPr>
          <w:p w14:paraId="479310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146.28</w:t>
            </w:r>
          </w:p>
        </w:tc>
        <w:tc>
          <w:tcPr>
            <w:tcW w:w="1335" w:type="dxa"/>
            <w:tcBorders>
              <w:top w:val="nil"/>
              <w:left w:val="nil"/>
              <w:bottom w:val="single" w:color="000000" w:sz="8" w:space="0"/>
              <w:right w:val="single" w:color="000000" w:sz="8" w:space="0"/>
            </w:tcBorders>
            <w:shd w:val="clear" w:color="auto" w:fill="auto"/>
            <w:noWrap/>
            <w:vAlign w:val="center"/>
          </w:tcPr>
          <w:p w14:paraId="627C2A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94.74%</w:t>
            </w:r>
          </w:p>
        </w:tc>
      </w:tr>
    </w:tbl>
    <w:p w14:paraId="5C5F15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02" w:name="_Toc22152"/>
      <w:r>
        <w:rPr>
          <w:rFonts w:hint="eastAsia" w:ascii="楷体" w:hAnsi="楷体" w:eastAsia="楷体" w:cs="楷体"/>
          <w:b/>
          <w:bCs/>
          <w:sz w:val="32"/>
          <w:szCs w:val="32"/>
        </w:rPr>
        <w:t>（二）预算执行情况及分析</w:t>
      </w:r>
      <w:bookmarkEnd w:id="99"/>
      <w:bookmarkEnd w:id="100"/>
      <w:bookmarkEnd w:id="101"/>
      <w:bookmarkEnd w:id="102"/>
    </w:p>
    <w:p w14:paraId="46D10E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1.预算执行基本信息</w:t>
      </w:r>
    </w:p>
    <w:p w14:paraId="0C7863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（1）涉及核算账号列示如下：</w:t>
      </w:r>
    </w:p>
    <w:tbl>
      <w:tblPr>
        <w:tblStyle w:val="11"/>
        <w:tblW w:w="5136" w:type="pct"/>
        <w:tblInd w:w="0" w:type="dxa"/>
        <w:tblLayout w:type="fixed"/>
        <w:tblCellMar>
          <w:top w:w="0" w:type="dxa"/>
          <w:left w:w="108" w:type="dxa"/>
          <w:bottom w:w="0" w:type="dxa"/>
          <w:right w:w="108" w:type="dxa"/>
        </w:tblCellMar>
      </w:tblPr>
      <w:tblGrid>
        <w:gridCol w:w="4024"/>
        <w:gridCol w:w="2231"/>
        <w:gridCol w:w="2494"/>
      </w:tblGrid>
      <w:tr w14:paraId="18E3728D">
        <w:tblPrEx>
          <w:tblCellMar>
            <w:top w:w="0" w:type="dxa"/>
            <w:left w:w="108" w:type="dxa"/>
            <w:bottom w:w="0" w:type="dxa"/>
            <w:right w:w="108" w:type="dxa"/>
          </w:tblCellMar>
        </w:tblPrEx>
        <w:trPr>
          <w:trHeight w:val="540" w:hRule="atLeast"/>
        </w:trPr>
        <w:tc>
          <w:tcPr>
            <w:tcW w:w="2299" w:type="pct"/>
            <w:tcBorders>
              <w:top w:val="single" w:color="000000" w:sz="4" w:space="0"/>
              <w:left w:val="single" w:color="000000" w:sz="4" w:space="0"/>
              <w:bottom w:val="single" w:color="000000" w:sz="4" w:space="0"/>
              <w:right w:val="single" w:color="000000" w:sz="4" w:space="0"/>
            </w:tcBorders>
            <w:noWrap/>
            <w:vAlign w:val="center"/>
          </w:tcPr>
          <w:p w14:paraId="0F038FBC">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名称</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16ADC90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账号</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2406186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性质</w:t>
            </w:r>
          </w:p>
        </w:tc>
      </w:tr>
      <w:tr w14:paraId="6661E981">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68AE4F1B">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中共雁峰区委巡察工作领导小组办公室</w:t>
            </w:r>
            <w:r>
              <w:rPr>
                <w:rFonts w:hint="eastAsia" w:ascii="宋体" w:hAnsi="宋体" w:eastAsia="宋体" w:cs="宋体"/>
                <w:color w:val="000000"/>
                <w:sz w:val="21"/>
                <w:szCs w:val="21"/>
                <w:lang w:eastAsia="zh-CN" w:bidi="ar"/>
              </w:rPr>
              <w:t>中国</w:t>
            </w:r>
            <w:r>
              <w:rPr>
                <w:rFonts w:hint="eastAsia" w:ascii="宋体" w:hAnsi="宋体" w:eastAsia="宋体" w:cs="宋体"/>
                <w:color w:val="000000"/>
                <w:sz w:val="21"/>
                <w:szCs w:val="21"/>
                <w:lang w:bidi="ar"/>
              </w:rPr>
              <w:t>工商银行衡阳城南支行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21DAE62">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19050220092000</w:t>
            </w:r>
            <w:r>
              <w:rPr>
                <w:rFonts w:hint="eastAsia" w:ascii="宋体" w:hAnsi="宋体" w:eastAsia="宋体" w:cs="宋体"/>
                <w:color w:val="000000"/>
                <w:sz w:val="21"/>
                <w:szCs w:val="21"/>
                <w:lang w:val="en-US" w:eastAsia="zh-CN" w:bidi="ar"/>
              </w:rPr>
              <w:t>28824</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47B7847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财政零余额账户</w:t>
            </w:r>
          </w:p>
        </w:tc>
      </w:tr>
      <w:tr w14:paraId="6501AB7F">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5547D8A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中共雁峰区委巡察工作领导小组办公室农商行雁峰支行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404F2987">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9115210012095106</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37F8F5FD">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雁峰区财政局资金专户</w:t>
            </w:r>
          </w:p>
        </w:tc>
      </w:tr>
    </w:tbl>
    <w:p w14:paraId="0C1D1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截至2024年12月31日</w:t>
      </w:r>
      <w:r>
        <w:rPr>
          <w:rFonts w:hint="eastAsia" w:ascii="仿宋" w:hAnsi="仿宋" w:eastAsia="仿宋" w:cs="仿宋"/>
          <w:sz w:val="32"/>
          <w:szCs w:val="32"/>
          <w:lang w:eastAsia="zh-CN"/>
        </w:rPr>
        <w:t>区委巡察办</w:t>
      </w:r>
      <w:r>
        <w:rPr>
          <w:rFonts w:hint="eastAsia" w:ascii="仿宋" w:hAnsi="仿宋" w:eastAsia="仿宋" w:cs="仿宋"/>
          <w:sz w:val="32"/>
          <w:szCs w:val="32"/>
        </w:rPr>
        <w:t>在区财政局资金专户账户余额</w:t>
      </w:r>
      <w:r>
        <w:rPr>
          <w:rFonts w:hint="eastAsia" w:ascii="仿宋" w:hAnsi="仿宋" w:eastAsia="仿宋" w:cs="仿宋"/>
          <w:sz w:val="32"/>
          <w:szCs w:val="32"/>
          <w:lang w:val="en-US" w:eastAsia="zh-CN"/>
        </w:rPr>
        <w:t>541.72</w:t>
      </w:r>
      <w:r>
        <w:rPr>
          <w:rFonts w:hint="eastAsia" w:ascii="仿宋" w:hAnsi="仿宋" w:eastAsia="仿宋" w:cs="仿宋"/>
          <w:sz w:val="32"/>
          <w:szCs w:val="32"/>
        </w:rPr>
        <w:t>元</w:t>
      </w:r>
      <w:r>
        <w:rPr>
          <w:rFonts w:hint="eastAsia" w:ascii="仿宋" w:hAnsi="仿宋" w:eastAsia="仿宋" w:cs="仿宋"/>
          <w:color w:val="auto"/>
          <w:sz w:val="32"/>
          <w:szCs w:val="32"/>
          <w:lang w:val="en-US" w:eastAsia="zh-CN"/>
        </w:rPr>
        <w:t>。</w:t>
      </w:r>
    </w:p>
    <w:p w14:paraId="530862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2.预算执行情况</w:t>
      </w:r>
    </w:p>
    <w:p w14:paraId="03B67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截至2024年12月31日单位指标执行情况列示如下：</w:t>
      </w:r>
    </w:p>
    <w:tbl>
      <w:tblPr>
        <w:tblStyle w:val="11"/>
        <w:tblW w:w="5073" w:type="pct"/>
        <w:tblInd w:w="93" w:type="dxa"/>
        <w:tblLayout w:type="fixed"/>
        <w:tblCellMar>
          <w:top w:w="0" w:type="dxa"/>
          <w:left w:w="108" w:type="dxa"/>
          <w:bottom w:w="0" w:type="dxa"/>
          <w:right w:w="108" w:type="dxa"/>
        </w:tblCellMar>
      </w:tblPr>
      <w:tblGrid>
        <w:gridCol w:w="1526"/>
        <w:gridCol w:w="1546"/>
        <w:gridCol w:w="1316"/>
        <w:gridCol w:w="1375"/>
        <w:gridCol w:w="1545"/>
        <w:gridCol w:w="1334"/>
      </w:tblGrid>
      <w:tr w14:paraId="6F8CD241">
        <w:tblPrEx>
          <w:tblCellMar>
            <w:top w:w="0" w:type="dxa"/>
            <w:left w:w="108" w:type="dxa"/>
            <w:bottom w:w="0" w:type="dxa"/>
            <w:right w:w="108" w:type="dxa"/>
          </w:tblCellMar>
        </w:tblPrEx>
        <w:trPr>
          <w:trHeight w:val="440" w:hRule="atLeast"/>
        </w:trPr>
        <w:tc>
          <w:tcPr>
            <w:tcW w:w="882" w:type="pct"/>
            <w:vMerge w:val="restart"/>
            <w:tcBorders>
              <w:top w:val="single" w:color="000000" w:sz="4" w:space="0"/>
              <w:left w:val="single" w:color="000000" w:sz="4" w:space="0"/>
              <w:bottom w:val="single" w:color="000000" w:sz="4" w:space="0"/>
              <w:right w:val="single" w:color="000000" w:sz="4" w:space="0"/>
            </w:tcBorders>
            <w:vAlign w:val="center"/>
          </w:tcPr>
          <w:p w14:paraId="0B33AC1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原始指标金额（元）</w:t>
            </w:r>
          </w:p>
        </w:tc>
        <w:tc>
          <w:tcPr>
            <w:tcW w:w="894" w:type="pct"/>
            <w:vMerge w:val="restart"/>
            <w:tcBorders>
              <w:top w:val="single" w:color="000000" w:sz="4" w:space="0"/>
              <w:left w:val="single" w:color="000000" w:sz="4" w:space="0"/>
              <w:bottom w:val="single" w:color="000000" w:sz="4" w:space="0"/>
              <w:right w:val="single" w:color="000000" w:sz="4" w:space="0"/>
            </w:tcBorders>
            <w:vAlign w:val="center"/>
          </w:tcPr>
          <w:p w14:paraId="585E0748">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指标下达数（元）</w:t>
            </w:r>
          </w:p>
        </w:tc>
        <w:tc>
          <w:tcPr>
            <w:tcW w:w="761" w:type="pct"/>
            <w:vMerge w:val="restart"/>
            <w:tcBorders>
              <w:top w:val="single" w:color="000000" w:sz="4" w:space="0"/>
              <w:left w:val="single" w:color="000000" w:sz="4" w:space="0"/>
              <w:bottom w:val="single" w:color="000000" w:sz="4" w:space="0"/>
              <w:right w:val="single" w:color="000000" w:sz="4" w:space="0"/>
            </w:tcBorders>
            <w:vAlign w:val="center"/>
          </w:tcPr>
          <w:p w14:paraId="2A4A4AF2">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指标调整数</w:t>
            </w:r>
          </w:p>
        </w:tc>
        <w:tc>
          <w:tcPr>
            <w:tcW w:w="795" w:type="pct"/>
            <w:vMerge w:val="restart"/>
            <w:tcBorders>
              <w:top w:val="single" w:color="000000" w:sz="4" w:space="0"/>
              <w:left w:val="single" w:color="000000" w:sz="4" w:space="0"/>
              <w:bottom w:val="single" w:color="000000" w:sz="4" w:space="0"/>
              <w:right w:val="single" w:color="000000" w:sz="4" w:space="0"/>
            </w:tcBorders>
            <w:vAlign w:val="center"/>
          </w:tcPr>
          <w:p w14:paraId="7F29EE11">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指标冻结数</w:t>
            </w:r>
          </w:p>
        </w:tc>
        <w:tc>
          <w:tcPr>
            <w:tcW w:w="893" w:type="pct"/>
            <w:vMerge w:val="restart"/>
            <w:tcBorders>
              <w:top w:val="single" w:color="000000" w:sz="4" w:space="0"/>
              <w:left w:val="single" w:color="000000" w:sz="4" w:space="0"/>
              <w:bottom w:val="single" w:color="000000" w:sz="4" w:space="0"/>
              <w:right w:val="single" w:color="000000" w:sz="4" w:space="0"/>
            </w:tcBorders>
            <w:vAlign w:val="center"/>
          </w:tcPr>
          <w:p w14:paraId="069EFF4F">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指标使用数（元）</w:t>
            </w:r>
          </w:p>
        </w:tc>
        <w:tc>
          <w:tcPr>
            <w:tcW w:w="771" w:type="pct"/>
            <w:vMerge w:val="restart"/>
            <w:tcBorders>
              <w:top w:val="single" w:color="000000" w:sz="4" w:space="0"/>
              <w:left w:val="single" w:color="000000" w:sz="4" w:space="0"/>
              <w:bottom w:val="single" w:color="000000" w:sz="4" w:space="0"/>
              <w:right w:val="single" w:color="000000" w:sz="4" w:space="0"/>
            </w:tcBorders>
            <w:vAlign w:val="center"/>
          </w:tcPr>
          <w:p w14:paraId="1CB53A5D">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指标可用数（元）</w:t>
            </w:r>
          </w:p>
        </w:tc>
      </w:tr>
      <w:tr w14:paraId="7849CEF0">
        <w:tblPrEx>
          <w:tblCellMar>
            <w:top w:w="0" w:type="dxa"/>
            <w:left w:w="108" w:type="dxa"/>
            <w:bottom w:w="0" w:type="dxa"/>
            <w:right w:w="108" w:type="dxa"/>
          </w:tblCellMar>
        </w:tblPrEx>
        <w:trPr>
          <w:trHeight w:val="332" w:hRule="atLeast"/>
        </w:trPr>
        <w:tc>
          <w:tcPr>
            <w:tcW w:w="882" w:type="pct"/>
            <w:vMerge w:val="continue"/>
            <w:tcBorders>
              <w:top w:val="single" w:color="000000" w:sz="4" w:space="0"/>
              <w:left w:val="single" w:color="000000" w:sz="4" w:space="0"/>
              <w:bottom w:val="single" w:color="000000" w:sz="4" w:space="0"/>
              <w:right w:val="single" w:color="000000" w:sz="4" w:space="0"/>
            </w:tcBorders>
            <w:vAlign w:val="center"/>
          </w:tcPr>
          <w:p w14:paraId="086B0AF7">
            <w:pPr>
              <w:jc w:val="center"/>
              <w:rPr>
                <w:rFonts w:hint="eastAsia" w:ascii="宋体" w:hAnsi="宋体" w:eastAsia="宋体" w:cs="宋体"/>
                <w:color w:val="000000"/>
                <w:sz w:val="21"/>
                <w:szCs w:val="21"/>
              </w:rPr>
            </w:pPr>
          </w:p>
        </w:tc>
        <w:tc>
          <w:tcPr>
            <w:tcW w:w="894" w:type="pct"/>
            <w:vMerge w:val="continue"/>
            <w:tcBorders>
              <w:top w:val="single" w:color="000000" w:sz="4" w:space="0"/>
              <w:left w:val="single" w:color="000000" w:sz="4" w:space="0"/>
              <w:bottom w:val="single" w:color="000000" w:sz="4" w:space="0"/>
              <w:right w:val="single" w:color="000000" w:sz="4" w:space="0"/>
            </w:tcBorders>
            <w:vAlign w:val="center"/>
          </w:tcPr>
          <w:p w14:paraId="0D90693F">
            <w:pPr>
              <w:jc w:val="center"/>
              <w:rPr>
                <w:rFonts w:hint="eastAsia" w:ascii="宋体" w:hAnsi="宋体" w:eastAsia="宋体" w:cs="宋体"/>
                <w:color w:val="000000"/>
                <w:sz w:val="21"/>
                <w:szCs w:val="21"/>
              </w:rPr>
            </w:pPr>
          </w:p>
        </w:tc>
        <w:tc>
          <w:tcPr>
            <w:tcW w:w="761" w:type="pct"/>
            <w:vMerge w:val="continue"/>
            <w:tcBorders>
              <w:top w:val="single" w:color="000000" w:sz="4" w:space="0"/>
              <w:left w:val="single" w:color="000000" w:sz="4" w:space="0"/>
              <w:bottom w:val="single" w:color="000000" w:sz="4" w:space="0"/>
              <w:right w:val="single" w:color="000000" w:sz="4" w:space="0"/>
            </w:tcBorders>
            <w:vAlign w:val="center"/>
          </w:tcPr>
          <w:p w14:paraId="78223C3F">
            <w:pPr>
              <w:jc w:val="center"/>
              <w:rPr>
                <w:rFonts w:hint="eastAsia" w:ascii="宋体" w:hAnsi="宋体" w:eastAsia="宋体" w:cs="宋体"/>
                <w:color w:val="000000"/>
                <w:sz w:val="21"/>
                <w:szCs w:val="21"/>
              </w:rPr>
            </w:pPr>
          </w:p>
        </w:tc>
        <w:tc>
          <w:tcPr>
            <w:tcW w:w="795" w:type="pct"/>
            <w:vMerge w:val="continue"/>
            <w:tcBorders>
              <w:top w:val="single" w:color="000000" w:sz="4" w:space="0"/>
              <w:left w:val="single" w:color="000000" w:sz="4" w:space="0"/>
              <w:bottom w:val="single" w:color="000000" w:sz="4" w:space="0"/>
              <w:right w:val="single" w:color="000000" w:sz="4" w:space="0"/>
            </w:tcBorders>
            <w:vAlign w:val="center"/>
          </w:tcPr>
          <w:p w14:paraId="546E3D17">
            <w:pPr>
              <w:jc w:val="center"/>
              <w:rPr>
                <w:rFonts w:hint="eastAsia" w:ascii="宋体" w:hAnsi="宋体" w:eastAsia="宋体" w:cs="宋体"/>
                <w:color w:val="000000"/>
                <w:sz w:val="21"/>
                <w:szCs w:val="21"/>
              </w:rPr>
            </w:pPr>
          </w:p>
        </w:tc>
        <w:tc>
          <w:tcPr>
            <w:tcW w:w="893" w:type="pct"/>
            <w:vMerge w:val="continue"/>
            <w:tcBorders>
              <w:top w:val="single" w:color="000000" w:sz="4" w:space="0"/>
              <w:left w:val="single" w:color="000000" w:sz="4" w:space="0"/>
              <w:bottom w:val="single" w:color="000000" w:sz="4" w:space="0"/>
              <w:right w:val="single" w:color="000000" w:sz="4" w:space="0"/>
            </w:tcBorders>
            <w:vAlign w:val="center"/>
          </w:tcPr>
          <w:p w14:paraId="242A6D1B">
            <w:pPr>
              <w:jc w:val="center"/>
              <w:rPr>
                <w:rFonts w:hint="eastAsia" w:ascii="宋体" w:hAnsi="宋体" w:eastAsia="宋体" w:cs="宋体"/>
                <w:color w:val="000000"/>
                <w:sz w:val="21"/>
                <w:szCs w:val="21"/>
              </w:rPr>
            </w:pP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14:paraId="0AA85ECF">
            <w:pPr>
              <w:jc w:val="center"/>
              <w:rPr>
                <w:rFonts w:hint="eastAsia" w:ascii="宋体" w:hAnsi="宋体" w:eastAsia="宋体" w:cs="宋体"/>
                <w:color w:val="000000"/>
                <w:sz w:val="21"/>
                <w:szCs w:val="21"/>
              </w:rPr>
            </w:pPr>
          </w:p>
        </w:tc>
      </w:tr>
      <w:tr w14:paraId="7C5B0635">
        <w:tblPrEx>
          <w:tblCellMar>
            <w:top w:w="0" w:type="dxa"/>
            <w:left w:w="108" w:type="dxa"/>
            <w:bottom w:w="0" w:type="dxa"/>
            <w:right w:w="108" w:type="dxa"/>
          </w:tblCellMar>
        </w:tblPrEx>
        <w:trPr>
          <w:trHeight w:val="340" w:hRule="atLeast"/>
        </w:trPr>
        <w:tc>
          <w:tcPr>
            <w:tcW w:w="882" w:type="pct"/>
            <w:tcBorders>
              <w:top w:val="single" w:color="000000" w:sz="4" w:space="0"/>
              <w:left w:val="single" w:color="000000" w:sz="4" w:space="0"/>
              <w:bottom w:val="single" w:color="000000" w:sz="4" w:space="0"/>
              <w:right w:val="single" w:color="000000" w:sz="4" w:space="0"/>
            </w:tcBorders>
            <w:vAlign w:val="center"/>
          </w:tcPr>
          <w:p w14:paraId="4294BFAE">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A</w:t>
            </w:r>
          </w:p>
        </w:tc>
        <w:tc>
          <w:tcPr>
            <w:tcW w:w="894" w:type="pct"/>
            <w:tcBorders>
              <w:top w:val="single" w:color="000000" w:sz="4" w:space="0"/>
              <w:left w:val="single" w:color="000000" w:sz="4" w:space="0"/>
              <w:bottom w:val="single" w:color="000000" w:sz="4" w:space="0"/>
              <w:right w:val="single" w:color="000000" w:sz="4" w:space="0"/>
            </w:tcBorders>
            <w:vAlign w:val="center"/>
          </w:tcPr>
          <w:p w14:paraId="5F8A3EA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B=A-C-D</w:t>
            </w:r>
          </w:p>
        </w:tc>
        <w:tc>
          <w:tcPr>
            <w:tcW w:w="761" w:type="pct"/>
            <w:tcBorders>
              <w:top w:val="single" w:color="000000" w:sz="4" w:space="0"/>
              <w:left w:val="single" w:color="000000" w:sz="4" w:space="0"/>
              <w:bottom w:val="single" w:color="000000" w:sz="4" w:space="0"/>
              <w:right w:val="single" w:color="000000" w:sz="4" w:space="0"/>
            </w:tcBorders>
            <w:vAlign w:val="center"/>
          </w:tcPr>
          <w:p w14:paraId="5592F26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C</w:t>
            </w:r>
          </w:p>
        </w:tc>
        <w:tc>
          <w:tcPr>
            <w:tcW w:w="795" w:type="pct"/>
            <w:tcBorders>
              <w:top w:val="single" w:color="000000" w:sz="4" w:space="0"/>
              <w:left w:val="single" w:color="000000" w:sz="4" w:space="0"/>
              <w:bottom w:val="single" w:color="000000" w:sz="4" w:space="0"/>
              <w:right w:val="single" w:color="000000" w:sz="4" w:space="0"/>
            </w:tcBorders>
            <w:vAlign w:val="center"/>
          </w:tcPr>
          <w:p w14:paraId="016A0973">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D</w:t>
            </w:r>
          </w:p>
        </w:tc>
        <w:tc>
          <w:tcPr>
            <w:tcW w:w="893" w:type="pct"/>
            <w:tcBorders>
              <w:top w:val="single" w:color="000000" w:sz="4" w:space="0"/>
              <w:left w:val="single" w:color="000000" w:sz="4" w:space="0"/>
              <w:bottom w:val="single" w:color="000000" w:sz="4" w:space="0"/>
              <w:right w:val="single" w:color="000000" w:sz="4" w:space="0"/>
            </w:tcBorders>
            <w:vAlign w:val="center"/>
          </w:tcPr>
          <w:p w14:paraId="5BF944D0">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E</w:t>
            </w:r>
          </w:p>
        </w:tc>
        <w:tc>
          <w:tcPr>
            <w:tcW w:w="771" w:type="pct"/>
            <w:tcBorders>
              <w:top w:val="single" w:color="000000" w:sz="4" w:space="0"/>
              <w:left w:val="single" w:color="000000" w:sz="4" w:space="0"/>
              <w:bottom w:val="single" w:color="000000" w:sz="4" w:space="0"/>
              <w:right w:val="single" w:color="000000" w:sz="4" w:space="0"/>
            </w:tcBorders>
            <w:vAlign w:val="center"/>
          </w:tcPr>
          <w:p w14:paraId="04D1B6B6">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F=B-E</w:t>
            </w:r>
          </w:p>
        </w:tc>
      </w:tr>
      <w:tr w14:paraId="5848D49A">
        <w:tblPrEx>
          <w:tblCellMar>
            <w:top w:w="0" w:type="dxa"/>
            <w:left w:w="108" w:type="dxa"/>
            <w:bottom w:w="0" w:type="dxa"/>
            <w:right w:w="108" w:type="dxa"/>
          </w:tblCellMar>
        </w:tblPrEx>
        <w:trPr>
          <w:trHeight w:val="340" w:hRule="atLeast"/>
        </w:trPr>
        <w:tc>
          <w:tcPr>
            <w:tcW w:w="882" w:type="pct"/>
            <w:tcBorders>
              <w:top w:val="single" w:color="000000" w:sz="4" w:space="0"/>
              <w:left w:val="single" w:color="000000" w:sz="4" w:space="0"/>
              <w:bottom w:val="single" w:color="000000" w:sz="4" w:space="0"/>
              <w:right w:val="single" w:color="000000" w:sz="4" w:space="0"/>
            </w:tcBorders>
            <w:vAlign w:val="center"/>
          </w:tcPr>
          <w:p w14:paraId="4B0A11E5">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1,461,202.21</w:t>
            </w:r>
          </w:p>
        </w:tc>
        <w:tc>
          <w:tcPr>
            <w:tcW w:w="894" w:type="pct"/>
            <w:tcBorders>
              <w:top w:val="single" w:color="000000" w:sz="4" w:space="0"/>
              <w:left w:val="single" w:color="000000" w:sz="4" w:space="0"/>
              <w:bottom w:val="single" w:color="000000" w:sz="4" w:space="0"/>
              <w:right w:val="single" w:color="000000" w:sz="4" w:space="0"/>
            </w:tcBorders>
            <w:vAlign w:val="center"/>
          </w:tcPr>
          <w:p w14:paraId="5C5D54BB">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1,461,202.21</w:t>
            </w:r>
          </w:p>
        </w:tc>
        <w:tc>
          <w:tcPr>
            <w:tcW w:w="761" w:type="pct"/>
            <w:tcBorders>
              <w:top w:val="single" w:color="000000" w:sz="4" w:space="0"/>
              <w:left w:val="single" w:color="000000" w:sz="4" w:space="0"/>
              <w:bottom w:val="single" w:color="000000" w:sz="4" w:space="0"/>
              <w:right w:val="single" w:color="000000" w:sz="4" w:space="0"/>
            </w:tcBorders>
            <w:vAlign w:val="center"/>
          </w:tcPr>
          <w:p w14:paraId="03888246">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0</w:t>
            </w:r>
            <w:r>
              <w:rPr>
                <w:rFonts w:hint="eastAsia" w:ascii="宋体" w:hAnsi="宋体" w:eastAsia="宋体" w:cs="宋体"/>
                <w:color w:val="000000"/>
                <w:sz w:val="21"/>
                <w:szCs w:val="21"/>
                <w:lang w:val="en-US" w:eastAsia="zh-CN" w:bidi="ar"/>
              </w:rPr>
              <w:t>.00</w:t>
            </w:r>
          </w:p>
        </w:tc>
        <w:tc>
          <w:tcPr>
            <w:tcW w:w="795" w:type="pct"/>
            <w:tcBorders>
              <w:top w:val="single" w:color="000000" w:sz="4" w:space="0"/>
              <w:left w:val="single" w:color="000000" w:sz="4" w:space="0"/>
              <w:bottom w:val="single" w:color="000000" w:sz="4" w:space="0"/>
              <w:right w:val="single" w:color="000000" w:sz="4" w:space="0"/>
            </w:tcBorders>
            <w:vAlign w:val="center"/>
          </w:tcPr>
          <w:p w14:paraId="26FA5FF8">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0</w:t>
            </w:r>
            <w:r>
              <w:rPr>
                <w:rFonts w:hint="eastAsia" w:ascii="宋体" w:hAnsi="宋体" w:eastAsia="宋体" w:cs="宋体"/>
                <w:color w:val="000000"/>
                <w:sz w:val="21"/>
                <w:szCs w:val="21"/>
                <w:lang w:val="en-US" w:eastAsia="zh-CN" w:bidi="ar"/>
              </w:rPr>
              <w:t>.00</w:t>
            </w:r>
          </w:p>
        </w:tc>
        <w:tc>
          <w:tcPr>
            <w:tcW w:w="893" w:type="pct"/>
            <w:tcBorders>
              <w:top w:val="single" w:color="000000" w:sz="4" w:space="0"/>
              <w:left w:val="single" w:color="000000" w:sz="4" w:space="0"/>
              <w:bottom w:val="single" w:color="000000" w:sz="4" w:space="0"/>
              <w:right w:val="single" w:color="000000" w:sz="4" w:space="0"/>
            </w:tcBorders>
            <w:vAlign w:val="center"/>
          </w:tcPr>
          <w:p w14:paraId="6E406AD5">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1,427,066.23</w:t>
            </w:r>
          </w:p>
        </w:tc>
        <w:tc>
          <w:tcPr>
            <w:tcW w:w="771" w:type="pct"/>
            <w:tcBorders>
              <w:top w:val="single" w:color="000000" w:sz="4" w:space="0"/>
              <w:left w:val="single" w:color="000000" w:sz="4" w:space="0"/>
              <w:bottom w:val="single" w:color="000000" w:sz="4" w:space="0"/>
              <w:right w:val="single" w:color="000000" w:sz="4" w:space="0"/>
            </w:tcBorders>
            <w:vAlign w:val="center"/>
          </w:tcPr>
          <w:p w14:paraId="384F60FE">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34,135.98</w:t>
            </w:r>
          </w:p>
        </w:tc>
      </w:tr>
    </w:tbl>
    <w:p w14:paraId="0F578F57">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（1）执行进度：</w:t>
      </w:r>
    </w:p>
    <w:p w14:paraId="3C89A650">
      <w:pPr>
        <w:pStyle w:val="3"/>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区委巡察办2024年</w:t>
      </w:r>
      <w:r>
        <w:rPr>
          <w:rFonts w:hint="eastAsia" w:ascii="仿宋" w:hAnsi="仿宋" w:eastAsia="仿宋" w:cs="仿宋"/>
          <w:sz w:val="32"/>
          <w:szCs w:val="32"/>
        </w:rPr>
        <w:t>调整后预算收入为</w:t>
      </w:r>
      <w:r>
        <w:rPr>
          <w:rFonts w:hint="eastAsia" w:ascii="仿宋" w:hAnsi="仿宋" w:eastAsia="仿宋" w:cs="仿宋"/>
          <w:sz w:val="32"/>
          <w:szCs w:val="32"/>
          <w:lang w:val="en-US" w:eastAsia="zh-CN"/>
        </w:rPr>
        <w:t>146.12</w:t>
      </w:r>
      <w:r>
        <w:rPr>
          <w:rFonts w:hint="eastAsia" w:ascii="仿宋" w:hAnsi="仿宋" w:eastAsia="仿宋" w:cs="仿宋"/>
          <w:sz w:val="32"/>
          <w:szCs w:val="32"/>
        </w:rPr>
        <w:t>万元，预算资金支出为</w:t>
      </w:r>
      <w:r>
        <w:rPr>
          <w:rFonts w:hint="eastAsia" w:ascii="仿宋" w:hAnsi="仿宋" w:eastAsia="仿宋" w:cs="仿宋"/>
          <w:sz w:val="32"/>
          <w:szCs w:val="32"/>
          <w:lang w:val="en-US" w:eastAsia="zh-CN"/>
        </w:rPr>
        <w:t>142.71</w:t>
      </w:r>
      <w:r>
        <w:rPr>
          <w:rFonts w:hint="eastAsia" w:ascii="仿宋" w:hAnsi="仿宋" w:eastAsia="仿宋" w:cs="仿宋"/>
          <w:sz w:val="32"/>
          <w:szCs w:val="32"/>
        </w:rPr>
        <w:t>万元，预算执行率为97.</w:t>
      </w:r>
      <w:r>
        <w:rPr>
          <w:rFonts w:hint="eastAsia" w:ascii="仿宋" w:hAnsi="仿宋" w:eastAsia="仿宋" w:cs="仿宋"/>
          <w:sz w:val="32"/>
          <w:szCs w:val="32"/>
          <w:lang w:val="en-US" w:eastAsia="zh-CN"/>
        </w:rPr>
        <w:t>6</w:t>
      </w:r>
      <w:r>
        <w:rPr>
          <w:rFonts w:hint="eastAsia" w:ascii="仿宋" w:hAnsi="仿宋" w:eastAsia="仿宋" w:cs="仿宋"/>
          <w:sz w:val="32"/>
          <w:szCs w:val="32"/>
        </w:rPr>
        <w:t>6%。</w:t>
      </w:r>
    </w:p>
    <w:p w14:paraId="50155EA5">
      <w:pPr>
        <w:pStyle w:val="3"/>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2024年预算指标结余</w:t>
      </w:r>
      <w:r>
        <w:rPr>
          <w:rFonts w:hint="eastAsia" w:ascii="仿宋" w:hAnsi="仿宋" w:eastAsia="仿宋" w:cs="仿宋"/>
          <w:sz w:val="32"/>
          <w:szCs w:val="32"/>
          <w:lang w:val="en-US" w:eastAsia="zh-CN" w:bidi="ar"/>
        </w:rPr>
        <w:t>3.41</w:t>
      </w:r>
      <w:r>
        <w:rPr>
          <w:rFonts w:hint="eastAsia" w:ascii="仿宋" w:hAnsi="仿宋" w:eastAsia="仿宋" w:cs="仿宋"/>
          <w:sz w:val="32"/>
          <w:szCs w:val="32"/>
          <w:lang w:bidi="ar"/>
        </w:rPr>
        <w:t>万元。</w:t>
      </w:r>
    </w:p>
    <w:p w14:paraId="035AC578">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3.预算执行分析</w:t>
      </w:r>
    </w:p>
    <w:p w14:paraId="338341F6">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（1）预算执行率为9</w:t>
      </w:r>
      <w:r>
        <w:rPr>
          <w:rFonts w:hint="eastAsia" w:ascii="仿宋" w:hAnsi="仿宋" w:eastAsia="仿宋" w:cs="仿宋"/>
          <w:b/>
          <w:bCs/>
          <w:sz w:val="32"/>
          <w:szCs w:val="32"/>
          <w:lang w:val="en-US" w:eastAsia="zh-CN"/>
        </w:rPr>
        <w:t>7.66</w:t>
      </w:r>
      <w:r>
        <w:rPr>
          <w:rFonts w:hint="eastAsia" w:ascii="仿宋" w:hAnsi="仿宋" w:eastAsia="仿宋" w:cs="仿宋"/>
          <w:b/>
          <w:bCs/>
          <w:sz w:val="32"/>
          <w:szCs w:val="32"/>
        </w:rPr>
        <w:t>%。详情如下：</w:t>
      </w:r>
    </w:p>
    <w:tbl>
      <w:tblPr>
        <w:tblStyle w:val="11"/>
        <w:tblW w:w="8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3"/>
        <w:gridCol w:w="1667"/>
        <w:gridCol w:w="2133"/>
        <w:gridCol w:w="2267"/>
      </w:tblGrid>
      <w:tr w14:paraId="3F40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242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5D7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667" w:type="dxa"/>
            <w:tcBorders>
              <w:top w:val="single" w:color="000000" w:sz="8" w:space="0"/>
              <w:left w:val="nil"/>
              <w:bottom w:val="single" w:color="000000" w:sz="8" w:space="0"/>
              <w:right w:val="single" w:color="000000" w:sz="8" w:space="0"/>
            </w:tcBorders>
            <w:shd w:val="clear" w:color="auto" w:fill="DDEBF7"/>
            <w:noWrap/>
            <w:vAlign w:val="center"/>
          </w:tcPr>
          <w:p w14:paraId="79D13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2133" w:type="dxa"/>
            <w:tcBorders>
              <w:top w:val="single" w:color="000000" w:sz="8" w:space="0"/>
              <w:left w:val="nil"/>
              <w:bottom w:val="single" w:color="000000" w:sz="8" w:space="0"/>
              <w:right w:val="single" w:color="000000" w:sz="8" w:space="0"/>
            </w:tcBorders>
            <w:shd w:val="clear" w:color="auto" w:fill="DDEBF7"/>
            <w:noWrap/>
            <w:vAlign w:val="center"/>
          </w:tcPr>
          <w:p w14:paraId="2BF86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w:t>
            </w:r>
          </w:p>
        </w:tc>
        <w:tc>
          <w:tcPr>
            <w:tcW w:w="2267" w:type="dxa"/>
            <w:tcBorders>
              <w:top w:val="single" w:color="000000" w:sz="8" w:space="0"/>
              <w:left w:val="nil"/>
              <w:bottom w:val="single" w:color="000000" w:sz="8" w:space="0"/>
              <w:right w:val="single" w:color="000000" w:sz="8" w:space="0"/>
            </w:tcBorders>
            <w:shd w:val="clear" w:color="auto" w:fill="DDEBF7"/>
            <w:noWrap/>
            <w:vAlign w:val="center"/>
          </w:tcPr>
          <w:p w14:paraId="33401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r>
      <w:tr w14:paraId="5EA6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3" w:type="dxa"/>
            <w:tcBorders>
              <w:top w:val="nil"/>
              <w:left w:val="single" w:color="000000" w:sz="8" w:space="0"/>
              <w:bottom w:val="single" w:color="000000" w:sz="8" w:space="0"/>
              <w:right w:val="single" w:color="000000" w:sz="8" w:space="0"/>
            </w:tcBorders>
            <w:shd w:val="clear" w:color="auto" w:fill="auto"/>
            <w:noWrap/>
            <w:vAlign w:val="center"/>
          </w:tcPr>
          <w:p w14:paraId="3108D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667" w:type="dxa"/>
            <w:tcBorders>
              <w:top w:val="nil"/>
              <w:left w:val="nil"/>
              <w:bottom w:val="single" w:color="000000" w:sz="8" w:space="0"/>
              <w:right w:val="single" w:color="000000" w:sz="8" w:space="0"/>
            </w:tcBorders>
            <w:shd w:val="clear" w:color="auto" w:fill="auto"/>
            <w:noWrap/>
            <w:vAlign w:val="center"/>
          </w:tcPr>
          <w:p w14:paraId="530D8EB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2133" w:type="dxa"/>
            <w:tcBorders>
              <w:top w:val="nil"/>
              <w:left w:val="nil"/>
              <w:bottom w:val="single" w:color="000000" w:sz="8" w:space="0"/>
              <w:right w:val="single" w:color="000000" w:sz="8" w:space="0"/>
            </w:tcBorders>
            <w:shd w:val="clear" w:color="auto" w:fill="auto"/>
            <w:noWrap/>
            <w:vAlign w:val="center"/>
          </w:tcPr>
          <w:p w14:paraId="0A4E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198,634.10</w:t>
            </w:r>
          </w:p>
        </w:tc>
        <w:tc>
          <w:tcPr>
            <w:tcW w:w="2267" w:type="dxa"/>
            <w:tcBorders>
              <w:top w:val="nil"/>
              <w:left w:val="nil"/>
              <w:bottom w:val="single" w:color="000000" w:sz="8" w:space="0"/>
              <w:right w:val="single" w:color="000000" w:sz="8" w:space="0"/>
            </w:tcBorders>
            <w:shd w:val="clear" w:color="auto" w:fill="auto"/>
            <w:noWrap/>
            <w:vAlign w:val="center"/>
          </w:tcPr>
          <w:p w14:paraId="66A6C175">
            <w:pPr>
              <w:jc w:val="center"/>
              <w:rPr>
                <w:rFonts w:hint="eastAsia" w:ascii="宋体" w:hAnsi="宋体" w:eastAsia="宋体" w:cs="宋体"/>
                <w:i w:val="0"/>
                <w:iCs w:val="0"/>
                <w:color w:val="000000"/>
                <w:sz w:val="22"/>
                <w:szCs w:val="22"/>
                <w:u w:val="none"/>
              </w:rPr>
            </w:pPr>
            <w:r>
              <w:rPr>
                <w:sz w:val="22"/>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15240</wp:posOffset>
                      </wp:positionV>
                      <wp:extent cx="1417955" cy="190500"/>
                      <wp:effectExtent l="635" t="6350" r="10160" b="12700"/>
                      <wp:wrapNone/>
                      <wp:docPr id="3" name="直接连接符 3"/>
                      <wp:cNvGraphicFramePr/>
                      <a:graphic xmlns:a="http://schemas.openxmlformats.org/drawingml/2006/main">
                        <a:graphicData uri="http://schemas.microsoft.com/office/word/2010/wordprocessingShape">
                          <wps:wsp>
                            <wps:cNvCnPr/>
                            <wps:spPr>
                              <a:xfrm flipV="1">
                                <a:off x="5097780" y="9039860"/>
                                <a:ext cx="1417955" cy="19050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55pt;margin-top:1.2pt;height:15pt;width:111.65pt;z-index:251659264;mso-width-relative:page;mso-height-relative:page;" filled="f" stroked="t" coordsize="21600,21600" o:gfxdata="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WvYo1AAAAAcBAAAPAAAAAAAAAAEAIAAAACIAAABkcnMvZG93bnJldi54&#10;bWxQSwECFAAUAAAACACHTuJAMWrj8v4BAADMAwAADgAAAAAAAAABACAAAAAjAQAAZHJzL2Uyb0Rv&#10;Yy54bWxQSwUGAAAAAAYABgBZAQAAkwUAAAAA&#10;">
                      <v:fill on="f" focussize="0,0"/>
                      <v:stroke weight="1pt" color="#000000" miterlimit="8" joinstyle="miter"/>
                      <v:imagedata o:title=""/>
                      <o:lock v:ext="edit" aspectratio="f"/>
                    </v:line>
                  </w:pict>
                </mc:Fallback>
              </mc:AlternateContent>
            </w:r>
          </w:p>
        </w:tc>
      </w:tr>
      <w:tr w14:paraId="429C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3" w:type="dxa"/>
            <w:tcBorders>
              <w:top w:val="nil"/>
              <w:left w:val="single" w:color="000000" w:sz="8" w:space="0"/>
              <w:bottom w:val="single" w:color="auto" w:sz="4" w:space="0"/>
              <w:right w:val="single" w:color="000000" w:sz="8" w:space="0"/>
            </w:tcBorders>
            <w:shd w:val="clear" w:color="auto" w:fill="DDEBF7"/>
            <w:noWrap/>
            <w:vAlign w:val="center"/>
          </w:tcPr>
          <w:p w14:paraId="0F25D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667" w:type="dxa"/>
            <w:tcBorders>
              <w:top w:val="nil"/>
              <w:left w:val="nil"/>
              <w:bottom w:val="single" w:color="auto" w:sz="4" w:space="0"/>
              <w:right w:val="single" w:color="000000" w:sz="8" w:space="0"/>
            </w:tcBorders>
            <w:shd w:val="clear" w:color="auto" w:fill="DDEBF7"/>
            <w:noWrap/>
            <w:vAlign w:val="center"/>
          </w:tcPr>
          <w:p w14:paraId="1AEC3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834,002.21</w:t>
            </w:r>
          </w:p>
        </w:tc>
        <w:tc>
          <w:tcPr>
            <w:tcW w:w="2133" w:type="dxa"/>
            <w:tcBorders>
              <w:top w:val="nil"/>
              <w:left w:val="nil"/>
              <w:bottom w:val="single" w:color="auto" w:sz="4" w:space="0"/>
              <w:right w:val="single" w:color="000000" w:sz="8" w:space="0"/>
            </w:tcBorders>
            <w:shd w:val="clear" w:color="auto" w:fill="DDEBF7"/>
            <w:noWrap/>
            <w:vAlign w:val="center"/>
          </w:tcPr>
          <w:p w14:paraId="39BD0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726,887.30</w:t>
            </w:r>
          </w:p>
        </w:tc>
        <w:tc>
          <w:tcPr>
            <w:tcW w:w="2267" w:type="dxa"/>
            <w:tcBorders>
              <w:top w:val="nil"/>
              <w:left w:val="nil"/>
              <w:bottom w:val="single" w:color="auto" w:sz="4" w:space="0"/>
              <w:right w:val="single" w:color="000000" w:sz="8" w:space="0"/>
            </w:tcBorders>
            <w:shd w:val="clear" w:color="auto" w:fill="DDEBF7"/>
            <w:noWrap/>
            <w:vAlign w:val="center"/>
          </w:tcPr>
          <w:p w14:paraId="62859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87.16%</w:t>
            </w:r>
          </w:p>
        </w:tc>
      </w:tr>
      <w:tr w14:paraId="75BB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3" w:type="dxa"/>
            <w:tcBorders>
              <w:top w:val="single" w:color="auto" w:sz="4" w:space="0"/>
              <w:left w:val="single" w:color="auto" w:sz="4" w:space="0"/>
              <w:bottom w:val="single" w:color="auto" w:sz="4" w:space="0"/>
              <w:right w:val="single" w:color="000000" w:sz="8" w:space="0"/>
            </w:tcBorders>
            <w:shd w:val="clear" w:color="auto" w:fill="auto"/>
            <w:noWrap/>
            <w:vAlign w:val="center"/>
          </w:tcPr>
          <w:p w14:paraId="723C7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67" w:type="dxa"/>
            <w:tcBorders>
              <w:top w:val="single" w:color="auto" w:sz="4" w:space="0"/>
              <w:left w:val="nil"/>
              <w:bottom w:val="single" w:color="auto" w:sz="4" w:space="0"/>
              <w:right w:val="single" w:color="000000" w:sz="8" w:space="0"/>
            </w:tcBorders>
            <w:shd w:val="clear" w:color="auto" w:fill="auto"/>
            <w:noWrap/>
            <w:vAlign w:val="center"/>
          </w:tcPr>
          <w:p w14:paraId="2B552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627,200.00</w:t>
            </w:r>
          </w:p>
        </w:tc>
        <w:tc>
          <w:tcPr>
            <w:tcW w:w="2133" w:type="dxa"/>
            <w:tcBorders>
              <w:top w:val="single" w:color="auto" w:sz="4" w:space="0"/>
              <w:left w:val="nil"/>
              <w:bottom w:val="single" w:color="auto" w:sz="4" w:space="0"/>
              <w:right w:val="single" w:color="000000" w:sz="8" w:space="0"/>
            </w:tcBorders>
            <w:shd w:val="clear" w:color="auto" w:fill="auto"/>
            <w:noWrap/>
            <w:vAlign w:val="center"/>
          </w:tcPr>
          <w:p w14:paraId="28F35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501,544.83</w:t>
            </w:r>
          </w:p>
        </w:tc>
        <w:tc>
          <w:tcPr>
            <w:tcW w:w="2267" w:type="dxa"/>
            <w:tcBorders>
              <w:top w:val="single" w:color="auto" w:sz="4" w:space="0"/>
              <w:left w:val="nil"/>
              <w:bottom w:val="single" w:color="auto" w:sz="4" w:space="0"/>
              <w:right w:val="single" w:color="auto" w:sz="4" w:space="0"/>
            </w:tcBorders>
            <w:shd w:val="clear" w:color="auto" w:fill="auto"/>
            <w:noWrap/>
            <w:vAlign w:val="center"/>
          </w:tcPr>
          <w:p w14:paraId="37FB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79.97%</w:t>
            </w:r>
          </w:p>
        </w:tc>
      </w:tr>
      <w:tr w14:paraId="3590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3" w:type="dxa"/>
            <w:tcBorders>
              <w:top w:val="single" w:color="auto" w:sz="4" w:space="0"/>
              <w:left w:val="single" w:color="000000" w:sz="8" w:space="0"/>
              <w:bottom w:val="single" w:color="000000" w:sz="8" w:space="0"/>
              <w:right w:val="single" w:color="000000" w:sz="8" w:space="0"/>
            </w:tcBorders>
            <w:shd w:val="clear" w:color="auto" w:fill="DDEBF7"/>
            <w:noWrap/>
            <w:vAlign w:val="center"/>
          </w:tcPr>
          <w:p w14:paraId="7284B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67" w:type="dxa"/>
            <w:tcBorders>
              <w:top w:val="single" w:color="auto" w:sz="4" w:space="0"/>
              <w:left w:val="nil"/>
              <w:bottom w:val="single" w:color="000000" w:sz="8" w:space="0"/>
              <w:right w:val="single" w:color="000000" w:sz="8" w:space="0"/>
            </w:tcBorders>
            <w:shd w:val="clear" w:color="auto" w:fill="DDEBF7"/>
            <w:noWrap/>
            <w:vAlign w:val="center"/>
          </w:tcPr>
          <w:p w14:paraId="714A6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1,461,202.21</w:t>
            </w:r>
          </w:p>
        </w:tc>
        <w:tc>
          <w:tcPr>
            <w:tcW w:w="2133" w:type="dxa"/>
            <w:tcBorders>
              <w:top w:val="single" w:color="auto" w:sz="4" w:space="0"/>
              <w:left w:val="nil"/>
              <w:bottom w:val="single" w:color="000000" w:sz="8" w:space="0"/>
              <w:right w:val="single" w:color="000000" w:sz="8" w:space="0"/>
            </w:tcBorders>
            <w:shd w:val="clear" w:color="auto" w:fill="DDEBF7"/>
            <w:noWrap/>
            <w:vAlign w:val="center"/>
          </w:tcPr>
          <w:p w14:paraId="57E85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1,427,066.23</w:t>
            </w:r>
          </w:p>
        </w:tc>
        <w:tc>
          <w:tcPr>
            <w:tcW w:w="2267" w:type="dxa"/>
            <w:tcBorders>
              <w:top w:val="single" w:color="auto" w:sz="4" w:space="0"/>
              <w:left w:val="nil"/>
              <w:bottom w:val="single" w:color="000000" w:sz="8" w:space="0"/>
              <w:right w:val="single" w:color="000000" w:sz="8" w:space="0"/>
            </w:tcBorders>
            <w:shd w:val="clear" w:color="auto" w:fill="DDEBF7"/>
            <w:noWrap/>
            <w:vAlign w:val="center"/>
          </w:tcPr>
          <w:p w14:paraId="7581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97.66%</w:t>
            </w:r>
          </w:p>
        </w:tc>
      </w:tr>
    </w:tbl>
    <w:p w14:paraId="4C56453E">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进度匹配度与效率：</w:t>
      </w:r>
    </w:p>
    <w:p w14:paraId="24AB3248">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资金支付及时，不存在项目等钱情况。</w:t>
      </w:r>
      <w:r>
        <w:rPr>
          <w:rFonts w:hint="eastAsia" w:ascii="仿宋" w:hAnsi="仿宋" w:eastAsia="仿宋" w:cs="仿宋"/>
          <w:sz w:val="32"/>
          <w:szCs w:val="32"/>
        </w:rPr>
        <w:t>2024年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eastAsia="zh-CN"/>
        </w:rPr>
        <w:t>指标下达数</w:t>
      </w:r>
      <w:r>
        <w:rPr>
          <w:rFonts w:hint="eastAsia" w:ascii="仿宋" w:hAnsi="仿宋" w:eastAsia="仿宋" w:cs="仿宋"/>
          <w:sz w:val="32"/>
          <w:szCs w:val="32"/>
        </w:rPr>
        <w:t>占比为全年的</w:t>
      </w:r>
      <w:r>
        <w:rPr>
          <w:rFonts w:hint="eastAsia" w:ascii="仿宋" w:hAnsi="仿宋" w:eastAsia="仿宋" w:cs="仿宋"/>
          <w:sz w:val="32"/>
          <w:szCs w:val="32"/>
          <w:lang w:val="en-US" w:eastAsia="zh-CN"/>
        </w:rPr>
        <w:t>47.22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2024年</w:t>
      </w:r>
      <w:r>
        <w:rPr>
          <w:rFonts w:hint="eastAsia" w:ascii="仿宋" w:hAnsi="仿宋" w:eastAsia="仿宋" w:cs="仿宋"/>
          <w:sz w:val="32"/>
          <w:szCs w:val="32"/>
          <w:lang w:val="en-US" w:eastAsia="zh-CN"/>
        </w:rPr>
        <w:t>2</w:t>
      </w:r>
      <w:r>
        <w:rPr>
          <w:rFonts w:hint="eastAsia" w:ascii="仿宋" w:hAnsi="仿宋" w:eastAsia="仿宋" w:cs="仿宋"/>
          <w:sz w:val="32"/>
          <w:szCs w:val="32"/>
        </w:rPr>
        <w:t>月资金指标使用数占比</w:t>
      </w:r>
      <w:r>
        <w:rPr>
          <w:rFonts w:hint="eastAsia" w:ascii="仿宋" w:hAnsi="仿宋" w:eastAsia="仿宋" w:cs="仿宋"/>
          <w:sz w:val="32"/>
          <w:szCs w:val="32"/>
          <w:lang w:val="en-US" w:eastAsia="zh-CN"/>
        </w:rPr>
        <w:t>48.35</w:t>
      </w:r>
      <w:r>
        <w:rPr>
          <w:rFonts w:hint="eastAsia" w:ascii="仿宋" w:hAnsi="仿宋" w:eastAsia="仿宋" w:cs="仿宋"/>
          <w:sz w:val="32"/>
          <w:szCs w:val="32"/>
        </w:rPr>
        <w:t>%。指标下达数与指标使用数对比详情列示如下：</w:t>
      </w:r>
    </w:p>
    <w:tbl>
      <w:tblPr>
        <w:tblStyle w:val="11"/>
        <w:tblW w:w="5102" w:type="pct"/>
        <w:tblInd w:w="0" w:type="dxa"/>
        <w:tblLayout w:type="autofit"/>
        <w:tblCellMar>
          <w:top w:w="0" w:type="dxa"/>
          <w:left w:w="108" w:type="dxa"/>
          <w:bottom w:w="0" w:type="dxa"/>
          <w:right w:w="108" w:type="dxa"/>
        </w:tblCellMar>
      </w:tblPr>
      <w:tblGrid>
        <w:gridCol w:w="1431"/>
        <w:gridCol w:w="2218"/>
        <w:gridCol w:w="1443"/>
        <w:gridCol w:w="2086"/>
        <w:gridCol w:w="1512"/>
      </w:tblGrid>
      <w:tr w14:paraId="1EA280C7">
        <w:tblPrEx>
          <w:tblCellMar>
            <w:top w:w="0" w:type="dxa"/>
            <w:left w:w="108" w:type="dxa"/>
            <w:bottom w:w="0" w:type="dxa"/>
            <w:right w:w="108" w:type="dxa"/>
          </w:tblCellMar>
        </w:tblPrEx>
        <w:trPr>
          <w:trHeight w:val="460" w:hRule="atLeast"/>
          <w:tblHeader/>
        </w:trPr>
        <w:tc>
          <w:tcPr>
            <w:tcW w:w="823" w:type="pct"/>
            <w:tcBorders>
              <w:top w:val="single" w:color="000000" w:sz="4" w:space="0"/>
              <w:left w:val="single" w:color="000000" w:sz="4" w:space="0"/>
              <w:bottom w:val="single" w:color="000000" w:sz="4" w:space="0"/>
              <w:right w:val="single" w:color="000000" w:sz="4" w:space="0"/>
            </w:tcBorders>
            <w:noWrap/>
            <w:vAlign w:val="center"/>
          </w:tcPr>
          <w:p w14:paraId="56B4CBBF">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月份</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70F94530">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指标下达数（元）</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25E0245F">
            <w:pPr>
              <w:jc w:val="center"/>
              <w:textAlignment w:val="center"/>
              <w:rPr>
                <w:rFonts w:hint="eastAsia"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bidi="ar"/>
              </w:rPr>
              <w:t>占比</w:t>
            </w:r>
            <w:r>
              <w:rPr>
                <w:rFonts w:hint="eastAsia" w:ascii="宋体" w:hAnsi="宋体" w:eastAsia="宋体" w:cs="宋体"/>
                <w:b w:val="0"/>
                <w:bCs w:val="0"/>
                <w:color w:val="000000"/>
                <w:sz w:val="22"/>
                <w:szCs w:val="22"/>
                <w:lang w:val="en-US" w:eastAsia="zh-CN" w:bidi="ar"/>
              </w:rPr>
              <w:t>1</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22E01393">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指标使用数（元）</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095BB7B0">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占比2</w:t>
            </w:r>
          </w:p>
        </w:tc>
      </w:tr>
      <w:tr w14:paraId="31BD545C">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5B3321B7">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1月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53A15800">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171,202.21</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6FB9CEC4">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11.72%</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463E1C14">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156,200.96</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57C8143D">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10.95%</w:t>
            </w:r>
          </w:p>
        </w:tc>
      </w:tr>
      <w:tr w14:paraId="61CA6029">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475A0BFD">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2月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648AB616">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690,000.00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38784747">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47.22%</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79534E19">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690,000.00</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0BE81716">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48.35%</w:t>
            </w:r>
          </w:p>
        </w:tc>
      </w:tr>
      <w:tr w14:paraId="4C987534">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2BD7F570">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3月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16EF9CC9">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015E8F5C">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23AE62B6">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0.00</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740DB2FC">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r>
      <w:tr w14:paraId="49850FFC">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0FD533AB">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4月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012BF08E">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600,000.00</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0DB82B5D">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41.06%</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6D6455F7">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580,865.27</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3D42DF80">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40.70%</w:t>
            </w:r>
          </w:p>
        </w:tc>
      </w:tr>
      <w:tr w14:paraId="7A443D2F">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10C31243">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5月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26A05468">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D8DE">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06D6BA9B">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8CD2">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r>
      <w:tr w14:paraId="6F070FE1">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26EC3FAB">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6月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505345E2">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2E0">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6FBCC1B2">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BDF4">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r>
      <w:tr w14:paraId="512F40D3">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7CF92D8F">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7月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7E55CCD8">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0.00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6B16">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val="en-US" w:eastAsia="zh-CN"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71390521">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B089">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val="en-US" w:eastAsia="zh-CN" w:bidi="ar"/>
              </w:rPr>
              <w:t>0.00</w:t>
            </w:r>
          </w:p>
        </w:tc>
      </w:tr>
      <w:tr w14:paraId="0FA49DE3">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1CD6BC51">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8月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750324D9">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863B">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468F4067">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8763">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r>
      <w:tr w14:paraId="658715DA">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3949B46E">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9月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5B9BB052">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1F8A">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5E6EE499">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7F9">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r>
      <w:tr w14:paraId="5BB62EE0">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0A5E49B4">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10月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5E3E3B61">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F2E6">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7F0B224A">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6EAF">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bidi="ar"/>
              </w:rPr>
              <w:t>0</w:t>
            </w:r>
            <w:r>
              <w:rPr>
                <w:rFonts w:hint="eastAsia" w:ascii="宋体" w:hAnsi="宋体" w:eastAsia="宋体" w:cs="宋体"/>
                <w:b w:val="0"/>
                <w:bCs w:val="0"/>
                <w:color w:val="000000"/>
                <w:sz w:val="22"/>
                <w:szCs w:val="22"/>
                <w:lang w:val="en-US" w:eastAsia="zh-CN" w:bidi="ar"/>
              </w:rPr>
              <w:t>.00</w:t>
            </w:r>
          </w:p>
        </w:tc>
      </w:tr>
      <w:tr w14:paraId="4C25B108">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77313884">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11月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3652046F">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0.00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E022">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val="en-US" w:eastAsia="zh-CN"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0223289C">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9B40">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val="en-US" w:eastAsia="zh-CN" w:bidi="ar"/>
              </w:rPr>
              <w:t>0.00</w:t>
            </w:r>
          </w:p>
        </w:tc>
      </w:tr>
      <w:tr w14:paraId="16DFD7BA">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5D055506">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12月</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309BAE35">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bidi="ar"/>
              </w:rPr>
              <w:t>0.00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7BA">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val="en-US" w:eastAsia="zh-CN" w:bidi="ar"/>
              </w:rPr>
              <w:t>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720A778E">
            <w:pPr>
              <w:jc w:val="center"/>
              <w:textAlignment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0.00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6C63">
            <w:pPr>
              <w:jc w:val="center"/>
              <w:textAlignment w:val="center"/>
              <w:rPr>
                <w:rFonts w:hint="eastAsia" w:ascii="宋体" w:hAnsi="宋体" w:eastAsia="宋体" w:cs="宋体"/>
                <w:b w:val="0"/>
                <w:bCs w:val="0"/>
                <w:color w:val="000000"/>
                <w:sz w:val="22"/>
                <w:szCs w:val="22"/>
                <w:lang w:val="en-US" w:eastAsia="zh-CN" w:bidi="ar-SA"/>
              </w:rPr>
            </w:pPr>
            <w:r>
              <w:rPr>
                <w:rFonts w:hint="eastAsia" w:ascii="宋体" w:hAnsi="宋体" w:eastAsia="宋体" w:cs="宋体"/>
                <w:b w:val="0"/>
                <w:bCs w:val="0"/>
                <w:color w:val="000000"/>
                <w:sz w:val="22"/>
                <w:szCs w:val="22"/>
                <w:lang w:val="en-US" w:eastAsia="zh-CN" w:bidi="ar"/>
              </w:rPr>
              <w:t>0.00</w:t>
            </w:r>
          </w:p>
        </w:tc>
      </w:tr>
      <w:tr w14:paraId="279545F8">
        <w:tblPrEx>
          <w:tblCellMar>
            <w:top w:w="0" w:type="dxa"/>
            <w:left w:w="108" w:type="dxa"/>
            <w:bottom w:w="0" w:type="dxa"/>
            <w:right w:w="108" w:type="dxa"/>
          </w:tblCellMar>
        </w:tblPrEx>
        <w:trPr>
          <w:trHeight w:val="460" w:hRule="atLeast"/>
        </w:trPr>
        <w:tc>
          <w:tcPr>
            <w:tcW w:w="823" w:type="pct"/>
            <w:tcBorders>
              <w:top w:val="single" w:color="000000" w:sz="4" w:space="0"/>
              <w:left w:val="single" w:color="000000" w:sz="4" w:space="0"/>
              <w:bottom w:val="single" w:color="000000" w:sz="4" w:space="0"/>
              <w:right w:val="single" w:color="000000" w:sz="4" w:space="0"/>
            </w:tcBorders>
            <w:noWrap/>
            <w:vAlign w:val="center"/>
          </w:tcPr>
          <w:p w14:paraId="2463B22B">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总计</w:t>
            </w:r>
          </w:p>
        </w:tc>
        <w:tc>
          <w:tcPr>
            <w:tcW w:w="1276" w:type="pct"/>
            <w:tcBorders>
              <w:top w:val="single" w:color="000000" w:sz="4" w:space="0"/>
              <w:left w:val="single" w:color="000000" w:sz="4" w:space="0"/>
              <w:bottom w:val="single" w:color="000000" w:sz="4" w:space="0"/>
              <w:right w:val="single" w:color="000000" w:sz="4" w:space="0"/>
            </w:tcBorders>
            <w:noWrap/>
            <w:vAlign w:val="center"/>
          </w:tcPr>
          <w:p w14:paraId="1FB6ECEC">
            <w:pPr>
              <w:jc w:val="center"/>
              <w:textAlignment w:val="center"/>
              <w:rPr>
                <w:rFonts w:hint="eastAsia" w:ascii="宋体" w:hAnsi="宋体" w:eastAsia="宋体" w:cs="宋体"/>
                <w:b w:val="0"/>
                <w:bCs w:val="0"/>
                <w:color w:val="000000"/>
                <w:sz w:val="22"/>
                <w:szCs w:val="22"/>
                <w:lang w:eastAsia="zh-CN"/>
              </w:rPr>
            </w:pPr>
            <w:r>
              <w:rPr>
                <w:rFonts w:hint="eastAsia" w:ascii="宋体" w:hAnsi="宋体" w:eastAsia="宋体" w:cs="宋体"/>
                <w:b w:val="0"/>
                <w:bCs w:val="0"/>
                <w:color w:val="000000"/>
                <w:sz w:val="22"/>
                <w:szCs w:val="22"/>
              </w:rPr>
              <w:t>1,461,202.21</w:t>
            </w:r>
          </w:p>
        </w:tc>
        <w:tc>
          <w:tcPr>
            <w:tcW w:w="830" w:type="pct"/>
            <w:tcBorders>
              <w:top w:val="single" w:color="000000" w:sz="4" w:space="0"/>
              <w:left w:val="single" w:color="000000" w:sz="4" w:space="0"/>
              <w:bottom w:val="single" w:color="000000" w:sz="4" w:space="0"/>
              <w:right w:val="single" w:color="000000" w:sz="4" w:space="0"/>
            </w:tcBorders>
            <w:noWrap/>
            <w:vAlign w:val="center"/>
          </w:tcPr>
          <w:p w14:paraId="47ABD048">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100.00%</w:t>
            </w:r>
          </w:p>
        </w:tc>
        <w:tc>
          <w:tcPr>
            <w:tcW w:w="1200" w:type="pct"/>
            <w:tcBorders>
              <w:top w:val="single" w:color="000000" w:sz="4" w:space="0"/>
              <w:left w:val="single" w:color="000000" w:sz="4" w:space="0"/>
              <w:bottom w:val="single" w:color="000000" w:sz="4" w:space="0"/>
              <w:right w:val="single" w:color="000000" w:sz="4" w:space="0"/>
            </w:tcBorders>
            <w:noWrap/>
            <w:vAlign w:val="center"/>
          </w:tcPr>
          <w:p w14:paraId="25623CFD">
            <w:pPr>
              <w:jc w:val="center"/>
              <w:textAlignment w:val="center"/>
              <w:rPr>
                <w:rFonts w:hint="eastAsia" w:ascii="宋体" w:hAnsi="宋体" w:eastAsia="宋体" w:cs="宋体"/>
                <w:b w:val="0"/>
                <w:bCs w:val="0"/>
                <w:color w:val="000000"/>
                <w:sz w:val="22"/>
                <w:szCs w:val="22"/>
                <w:lang w:eastAsia="zh-CN"/>
              </w:rPr>
            </w:pPr>
            <w:r>
              <w:rPr>
                <w:rFonts w:hint="eastAsia" w:ascii="宋体" w:hAnsi="宋体" w:eastAsia="宋体" w:cs="宋体"/>
                <w:b w:val="0"/>
                <w:bCs w:val="0"/>
                <w:color w:val="000000"/>
                <w:sz w:val="22"/>
                <w:szCs w:val="22"/>
              </w:rPr>
              <w:t>1,427,066.23</w:t>
            </w:r>
          </w:p>
        </w:tc>
        <w:tc>
          <w:tcPr>
            <w:tcW w:w="869" w:type="pct"/>
            <w:tcBorders>
              <w:top w:val="single" w:color="000000" w:sz="4" w:space="0"/>
              <w:left w:val="single" w:color="000000" w:sz="4" w:space="0"/>
              <w:bottom w:val="single" w:color="000000" w:sz="4" w:space="0"/>
              <w:right w:val="single" w:color="000000" w:sz="4" w:space="0"/>
            </w:tcBorders>
            <w:noWrap/>
            <w:vAlign w:val="center"/>
          </w:tcPr>
          <w:p w14:paraId="44CA7FCA">
            <w:pPr>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lang w:bidi="ar"/>
              </w:rPr>
              <w:t>100.00%</w:t>
            </w:r>
          </w:p>
        </w:tc>
      </w:tr>
    </w:tbl>
    <w:p w14:paraId="1DB6B8D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（2）资金合规性检查：</w:t>
      </w:r>
      <w:r>
        <w:rPr>
          <w:rFonts w:hint="eastAsia" w:ascii="仿宋" w:hAnsi="仿宋" w:eastAsia="仿宋" w:cs="仿宋"/>
          <w:sz w:val="32"/>
          <w:szCs w:val="32"/>
        </w:rPr>
        <w:t>从预算约束、用途合规、程序合规、报销凭证完整性与合规性四个方面进行核查，我们认为，支出不存在超预算、无预算开支的现象，但存在基本支出和项目支出之间挤占的情况。详情见后附各类支出情况汇总及分析。</w:t>
      </w:r>
    </w:p>
    <w:p w14:paraId="2CDF57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成本控制：</w:t>
      </w:r>
      <w:r>
        <w:rPr>
          <w:rFonts w:hint="eastAsia" w:ascii="仿宋" w:hAnsi="仿宋" w:eastAsia="仿宋" w:cs="仿宋"/>
          <w:sz w:val="32"/>
          <w:szCs w:val="32"/>
        </w:rPr>
        <w:t>基本支出的绩效评价侧重成本控制和合规性。项目支出的绩效评价关联项目目标，如会议是否推动了政策落地、办公经费是否支撑了专项任务完成等。</w:t>
      </w:r>
      <w:r>
        <w:rPr>
          <w:rFonts w:hint="eastAsia" w:ascii="仿宋" w:hAnsi="仿宋" w:eastAsia="仿宋" w:cs="仿宋"/>
          <w:sz w:val="32"/>
          <w:szCs w:val="32"/>
          <w:lang w:bidi="ar"/>
        </w:rPr>
        <w:t>区委巡察办</w:t>
      </w:r>
      <w:r>
        <w:rPr>
          <w:rFonts w:hint="eastAsia" w:ascii="仿宋" w:hAnsi="仿宋" w:eastAsia="仿宋" w:cs="仿宋"/>
          <w:sz w:val="32"/>
          <w:szCs w:val="32"/>
        </w:rPr>
        <w:t>2024年整体支出</w:t>
      </w:r>
      <w:r>
        <w:rPr>
          <w:rFonts w:hint="eastAsia" w:ascii="仿宋" w:hAnsi="仿宋" w:eastAsia="仿宋" w:cs="仿宋"/>
          <w:sz w:val="32"/>
          <w:szCs w:val="32"/>
          <w:lang w:val="en-US" w:eastAsia="zh-CN"/>
        </w:rPr>
        <w:t>142.71</w:t>
      </w:r>
      <w:r>
        <w:rPr>
          <w:rFonts w:hint="eastAsia" w:ascii="仿宋" w:hAnsi="仿宋" w:eastAsia="仿宋" w:cs="仿宋"/>
          <w:sz w:val="32"/>
          <w:szCs w:val="32"/>
        </w:rPr>
        <w:t>万元，未超整体收入</w:t>
      </w:r>
      <w:r>
        <w:rPr>
          <w:rFonts w:hint="eastAsia" w:ascii="仿宋" w:hAnsi="仿宋" w:eastAsia="仿宋" w:cs="仿宋"/>
          <w:sz w:val="32"/>
          <w:szCs w:val="32"/>
          <w:lang w:val="en-US" w:eastAsia="zh-CN"/>
        </w:rPr>
        <w:t>146.12</w:t>
      </w:r>
      <w:r>
        <w:rPr>
          <w:rFonts w:hint="eastAsia" w:ascii="仿宋" w:hAnsi="仿宋" w:eastAsia="仿宋" w:cs="仿宋"/>
          <w:sz w:val="32"/>
          <w:szCs w:val="32"/>
        </w:rPr>
        <w:t>万元。详情见后附各类支出情况汇总及分析。</w:t>
      </w:r>
    </w:p>
    <w:p w14:paraId="71BF6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rPr>
        <w:t>对产出的影响：</w:t>
      </w:r>
      <w:r>
        <w:rPr>
          <w:rFonts w:hint="eastAsia" w:ascii="仿宋" w:hAnsi="仿宋" w:eastAsia="仿宋" w:cs="仿宋"/>
          <w:sz w:val="32"/>
          <w:szCs w:val="32"/>
        </w:rPr>
        <w:t>未存在因预算执行合规与否、快慢情况直接影响绩效产出目标的实现的情况。</w:t>
      </w:r>
    </w:p>
    <w:p w14:paraId="7F96F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本年度决算数与上年度决算数对比，收入略有增加：</w:t>
      </w:r>
      <w:r>
        <w:rPr>
          <w:rFonts w:hint="eastAsia" w:ascii="仿宋" w:hAnsi="仿宋" w:eastAsia="仿宋" w:cs="仿宋"/>
          <w:sz w:val="32"/>
          <w:szCs w:val="32"/>
        </w:rPr>
        <w:t>具体明细见下表：</w:t>
      </w:r>
    </w:p>
    <w:tbl>
      <w:tblPr>
        <w:tblStyle w:val="11"/>
        <w:tblW w:w="8637" w:type="dxa"/>
        <w:tblInd w:w="93" w:type="dxa"/>
        <w:tblLayout w:type="fixed"/>
        <w:tblCellMar>
          <w:top w:w="0" w:type="dxa"/>
          <w:left w:w="108" w:type="dxa"/>
          <w:bottom w:w="0" w:type="dxa"/>
          <w:right w:w="108" w:type="dxa"/>
        </w:tblCellMar>
      </w:tblPr>
      <w:tblGrid>
        <w:gridCol w:w="2694"/>
        <w:gridCol w:w="1556"/>
        <w:gridCol w:w="1556"/>
        <w:gridCol w:w="1688"/>
        <w:gridCol w:w="1143"/>
      </w:tblGrid>
      <w:tr w14:paraId="30E4EA10">
        <w:trPr>
          <w:trHeight w:val="332" w:hRule="atLeast"/>
          <w:tblHeader/>
        </w:trPr>
        <w:tc>
          <w:tcPr>
            <w:tcW w:w="2694" w:type="dxa"/>
            <w:vMerge w:val="restart"/>
            <w:tcBorders>
              <w:top w:val="single" w:color="auto" w:sz="4" w:space="0"/>
              <w:left w:val="single" w:color="auto" w:sz="4" w:space="0"/>
              <w:bottom w:val="single" w:color="auto" w:sz="4" w:space="0"/>
              <w:right w:val="single" w:color="auto" w:sz="4" w:space="0"/>
            </w:tcBorders>
            <w:noWrap/>
            <w:vAlign w:val="center"/>
          </w:tcPr>
          <w:p w14:paraId="5CBC727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指    标</w:t>
            </w:r>
          </w:p>
        </w:tc>
        <w:tc>
          <w:tcPr>
            <w:tcW w:w="1556" w:type="dxa"/>
            <w:vMerge w:val="restart"/>
            <w:tcBorders>
              <w:top w:val="single" w:color="auto" w:sz="4" w:space="0"/>
              <w:left w:val="single" w:color="auto" w:sz="4" w:space="0"/>
              <w:bottom w:val="single" w:color="auto" w:sz="4" w:space="0"/>
              <w:right w:val="single" w:color="auto" w:sz="4" w:space="0"/>
            </w:tcBorders>
            <w:noWrap/>
            <w:vAlign w:val="center"/>
          </w:tcPr>
          <w:p w14:paraId="447F9EC9">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本年度</w:t>
            </w:r>
          </w:p>
        </w:tc>
        <w:tc>
          <w:tcPr>
            <w:tcW w:w="1556" w:type="dxa"/>
            <w:vMerge w:val="restart"/>
            <w:tcBorders>
              <w:top w:val="single" w:color="auto" w:sz="4" w:space="0"/>
              <w:left w:val="single" w:color="auto" w:sz="4" w:space="0"/>
              <w:bottom w:val="single" w:color="auto" w:sz="4" w:space="0"/>
              <w:right w:val="single" w:color="auto" w:sz="4" w:space="0"/>
            </w:tcBorders>
            <w:noWrap/>
            <w:vAlign w:val="center"/>
          </w:tcPr>
          <w:p w14:paraId="6EFB6C45">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上年度</w:t>
            </w:r>
          </w:p>
        </w:tc>
        <w:tc>
          <w:tcPr>
            <w:tcW w:w="1688" w:type="dxa"/>
            <w:vMerge w:val="restart"/>
            <w:tcBorders>
              <w:top w:val="single" w:color="auto" w:sz="4" w:space="0"/>
              <w:left w:val="single" w:color="auto" w:sz="4" w:space="0"/>
              <w:bottom w:val="single" w:color="auto" w:sz="4" w:space="0"/>
              <w:right w:val="single" w:color="auto" w:sz="4" w:space="0"/>
            </w:tcBorders>
            <w:noWrap/>
            <w:vAlign w:val="center"/>
          </w:tcPr>
          <w:p w14:paraId="3E75787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比上年增减</w:t>
            </w:r>
          </w:p>
        </w:tc>
        <w:tc>
          <w:tcPr>
            <w:tcW w:w="1143" w:type="dxa"/>
            <w:vMerge w:val="restart"/>
            <w:tcBorders>
              <w:top w:val="single" w:color="auto" w:sz="4" w:space="0"/>
              <w:left w:val="single" w:color="auto" w:sz="4" w:space="0"/>
              <w:bottom w:val="single" w:color="auto" w:sz="4" w:space="0"/>
              <w:right w:val="single" w:color="auto" w:sz="4" w:space="0"/>
            </w:tcBorders>
            <w:noWrap/>
            <w:vAlign w:val="center"/>
          </w:tcPr>
          <w:p w14:paraId="3B9A7E1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增减％</w:t>
            </w:r>
          </w:p>
        </w:tc>
      </w:tr>
      <w:tr w14:paraId="3161EC32">
        <w:tblPrEx>
          <w:tblCellMar>
            <w:top w:w="0" w:type="dxa"/>
            <w:left w:w="108" w:type="dxa"/>
            <w:bottom w:w="0" w:type="dxa"/>
            <w:right w:w="108" w:type="dxa"/>
          </w:tblCellMar>
        </w:tblPrEx>
        <w:trPr>
          <w:trHeight w:val="332" w:hRule="atLeast"/>
          <w:tblHeader/>
        </w:trPr>
        <w:tc>
          <w:tcPr>
            <w:tcW w:w="2694" w:type="dxa"/>
            <w:vMerge w:val="continue"/>
            <w:tcBorders>
              <w:top w:val="single" w:color="auto" w:sz="4" w:space="0"/>
              <w:left w:val="single" w:color="auto" w:sz="4" w:space="0"/>
              <w:bottom w:val="single" w:color="auto" w:sz="4" w:space="0"/>
              <w:right w:val="single" w:color="auto" w:sz="4" w:space="0"/>
            </w:tcBorders>
            <w:noWrap/>
            <w:vAlign w:val="center"/>
          </w:tcPr>
          <w:p w14:paraId="58F4453F">
            <w:pPr>
              <w:jc w:val="center"/>
              <w:rPr>
                <w:rFonts w:hint="eastAsia" w:ascii="宋体" w:hAnsi="宋体" w:eastAsia="宋体" w:cs="宋体"/>
                <w:color w:val="000000"/>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noWrap/>
            <w:vAlign w:val="center"/>
          </w:tcPr>
          <w:p w14:paraId="2E116F22">
            <w:pPr>
              <w:jc w:val="center"/>
              <w:rPr>
                <w:rFonts w:hint="eastAsia" w:ascii="宋体" w:hAnsi="宋体" w:eastAsia="宋体" w:cs="宋体"/>
                <w:color w:val="000000"/>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noWrap/>
            <w:vAlign w:val="center"/>
          </w:tcPr>
          <w:p w14:paraId="6DE13EBF">
            <w:pPr>
              <w:jc w:val="center"/>
              <w:rPr>
                <w:rFonts w:hint="eastAsia" w:ascii="宋体" w:hAnsi="宋体" w:eastAsia="宋体" w:cs="宋体"/>
                <w:color w:val="000000"/>
                <w:sz w:val="22"/>
                <w:szCs w:val="22"/>
              </w:rPr>
            </w:pPr>
          </w:p>
        </w:tc>
        <w:tc>
          <w:tcPr>
            <w:tcW w:w="1688" w:type="dxa"/>
            <w:vMerge w:val="continue"/>
            <w:tcBorders>
              <w:top w:val="single" w:color="auto" w:sz="4" w:space="0"/>
              <w:left w:val="single" w:color="auto" w:sz="4" w:space="0"/>
              <w:bottom w:val="single" w:color="auto" w:sz="4" w:space="0"/>
              <w:right w:val="single" w:color="auto" w:sz="4" w:space="0"/>
            </w:tcBorders>
            <w:noWrap/>
            <w:vAlign w:val="center"/>
          </w:tcPr>
          <w:p w14:paraId="75310597">
            <w:pPr>
              <w:jc w:val="center"/>
              <w:rPr>
                <w:rFonts w:hint="eastAsia" w:ascii="宋体" w:hAnsi="宋体" w:eastAsia="宋体" w:cs="宋体"/>
                <w:color w:val="000000"/>
                <w:sz w:val="22"/>
                <w:szCs w:val="22"/>
              </w:rPr>
            </w:pPr>
          </w:p>
        </w:tc>
        <w:tc>
          <w:tcPr>
            <w:tcW w:w="1143" w:type="dxa"/>
            <w:vMerge w:val="continue"/>
            <w:tcBorders>
              <w:top w:val="single" w:color="auto" w:sz="4" w:space="0"/>
              <w:left w:val="single" w:color="auto" w:sz="4" w:space="0"/>
              <w:bottom w:val="single" w:color="auto" w:sz="4" w:space="0"/>
              <w:right w:val="single" w:color="auto" w:sz="4" w:space="0"/>
            </w:tcBorders>
            <w:noWrap/>
            <w:vAlign w:val="center"/>
          </w:tcPr>
          <w:p w14:paraId="74B07ABF">
            <w:pPr>
              <w:jc w:val="center"/>
              <w:rPr>
                <w:rFonts w:hint="eastAsia" w:ascii="宋体" w:hAnsi="宋体" w:eastAsia="宋体" w:cs="宋体"/>
                <w:color w:val="000000"/>
                <w:sz w:val="22"/>
                <w:szCs w:val="22"/>
              </w:rPr>
            </w:pPr>
          </w:p>
        </w:tc>
      </w:tr>
      <w:tr w14:paraId="14B187C8">
        <w:tblPrEx>
          <w:tblCellMar>
            <w:top w:w="0" w:type="dxa"/>
            <w:left w:w="108" w:type="dxa"/>
            <w:bottom w:w="0" w:type="dxa"/>
            <w:right w:w="108" w:type="dxa"/>
          </w:tblCellMar>
        </w:tblPrEx>
        <w:trPr>
          <w:trHeight w:val="285" w:hRule="atLeast"/>
          <w:tblHeader/>
        </w:trPr>
        <w:tc>
          <w:tcPr>
            <w:tcW w:w="2694" w:type="dxa"/>
            <w:tcBorders>
              <w:top w:val="single" w:color="auto" w:sz="4" w:space="0"/>
              <w:left w:val="single" w:color="auto" w:sz="4" w:space="0"/>
              <w:bottom w:val="single" w:color="auto" w:sz="4" w:space="0"/>
              <w:right w:val="single" w:color="auto" w:sz="4" w:space="0"/>
            </w:tcBorders>
            <w:noWrap/>
            <w:vAlign w:val="center"/>
          </w:tcPr>
          <w:p w14:paraId="14AF08E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栏    次</w:t>
            </w:r>
          </w:p>
        </w:tc>
        <w:tc>
          <w:tcPr>
            <w:tcW w:w="1556" w:type="dxa"/>
            <w:tcBorders>
              <w:top w:val="single" w:color="auto" w:sz="4" w:space="0"/>
              <w:left w:val="single" w:color="auto" w:sz="4" w:space="0"/>
              <w:bottom w:val="single" w:color="auto" w:sz="4" w:space="0"/>
              <w:right w:val="single" w:color="auto" w:sz="4" w:space="0"/>
            </w:tcBorders>
            <w:noWrap/>
            <w:vAlign w:val="center"/>
          </w:tcPr>
          <w:p w14:paraId="19F5CF2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1556" w:type="dxa"/>
            <w:tcBorders>
              <w:top w:val="single" w:color="auto" w:sz="4" w:space="0"/>
              <w:left w:val="single" w:color="auto" w:sz="4" w:space="0"/>
              <w:bottom w:val="single" w:color="auto" w:sz="4" w:space="0"/>
              <w:right w:val="single" w:color="auto" w:sz="4" w:space="0"/>
            </w:tcBorders>
            <w:noWrap/>
            <w:vAlign w:val="center"/>
          </w:tcPr>
          <w:p w14:paraId="0619C6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1688" w:type="dxa"/>
            <w:tcBorders>
              <w:top w:val="single" w:color="auto" w:sz="4" w:space="0"/>
              <w:left w:val="single" w:color="auto" w:sz="4" w:space="0"/>
              <w:bottom w:val="single" w:color="auto" w:sz="4" w:space="0"/>
              <w:right w:val="single" w:color="auto" w:sz="4" w:space="0"/>
            </w:tcBorders>
            <w:noWrap/>
            <w:vAlign w:val="center"/>
          </w:tcPr>
          <w:p w14:paraId="25EE099D">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1143" w:type="dxa"/>
            <w:tcBorders>
              <w:top w:val="single" w:color="auto" w:sz="4" w:space="0"/>
              <w:left w:val="single" w:color="auto" w:sz="4" w:space="0"/>
              <w:bottom w:val="single" w:color="auto" w:sz="4" w:space="0"/>
              <w:right w:val="single" w:color="auto" w:sz="4" w:space="0"/>
            </w:tcBorders>
            <w:noWrap/>
            <w:vAlign w:val="center"/>
          </w:tcPr>
          <w:p w14:paraId="37F387E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r>
      <w:tr w14:paraId="289EB78B">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9B2B57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一、年度收支情况（单位：元）</w:t>
            </w:r>
          </w:p>
        </w:tc>
        <w:tc>
          <w:tcPr>
            <w:tcW w:w="1556" w:type="dxa"/>
            <w:tcBorders>
              <w:top w:val="single" w:color="auto" w:sz="4" w:space="0"/>
              <w:left w:val="single" w:color="auto" w:sz="4" w:space="0"/>
              <w:bottom w:val="single" w:color="auto" w:sz="4" w:space="0"/>
              <w:right w:val="single" w:color="auto" w:sz="4" w:space="0"/>
            </w:tcBorders>
            <w:noWrap/>
            <w:vAlign w:val="center"/>
          </w:tcPr>
          <w:p w14:paraId="57E927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26AB56F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688" w:type="dxa"/>
            <w:tcBorders>
              <w:top w:val="single" w:color="auto" w:sz="4" w:space="0"/>
              <w:left w:val="single" w:color="auto" w:sz="4" w:space="0"/>
              <w:bottom w:val="single" w:color="auto" w:sz="4" w:space="0"/>
              <w:right w:val="single" w:color="auto" w:sz="4" w:space="0"/>
            </w:tcBorders>
            <w:noWrap/>
            <w:vAlign w:val="center"/>
          </w:tcPr>
          <w:p w14:paraId="16347AC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c>
          <w:tcPr>
            <w:tcW w:w="1143" w:type="dxa"/>
            <w:tcBorders>
              <w:top w:val="single" w:color="auto" w:sz="4" w:space="0"/>
              <w:left w:val="single" w:color="auto" w:sz="4" w:space="0"/>
              <w:bottom w:val="single" w:color="auto" w:sz="4" w:space="0"/>
              <w:right w:val="single" w:color="auto" w:sz="4" w:space="0"/>
            </w:tcBorders>
            <w:noWrap/>
            <w:vAlign w:val="center"/>
          </w:tcPr>
          <w:p w14:paraId="7657FD5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w:t>
            </w:r>
          </w:p>
        </w:tc>
      </w:tr>
      <w:tr w14:paraId="1BAC9482">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BF407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1.本年收入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0BC3D4E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1,427,066.23</w:t>
            </w:r>
          </w:p>
        </w:tc>
        <w:tc>
          <w:tcPr>
            <w:tcW w:w="1556" w:type="dxa"/>
            <w:tcBorders>
              <w:top w:val="single" w:color="auto" w:sz="4" w:space="0"/>
              <w:left w:val="single" w:color="auto" w:sz="4" w:space="0"/>
              <w:bottom w:val="single" w:color="auto" w:sz="4" w:space="0"/>
              <w:right w:val="single" w:color="auto" w:sz="4" w:space="0"/>
            </w:tcBorders>
            <w:noWrap/>
            <w:vAlign w:val="center"/>
          </w:tcPr>
          <w:p w14:paraId="72CAE16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2,317,526.72</w:t>
            </w:r>
          </w:p>
        </w:tc>
        <w:tc>
          <w:tcPr>
            <w:tcW w:w="1688" w:type="dxa"/>
            <w:tcBorders>
              <w:top w:val="single" w:color="auto" w:sz="4" w:space="0"/>
              <w:left w:val="single" w:color="auto" w:sz="4" w:space="0"/>
              <w:bottom w:val="single" w:color="auto" w:sz="4" w:space="0"/>
              <w:right w:val="single" w:color="auto" w:sz="4" w:space="0"/>
            </w:tcBorders>
            <w:noWrap/>
            <w:vAlign w:val="center"/>
          </w:tcPr>
          <w:p w14:paraId="6C361D8F">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-890,460.49</w:t>
            </w:r>
          </w:p>
        </w:tc>
        <w:tc>
          <w:tcPr>
            <w:tcW w:w="1143" w:type="dxa"/>
            <w:tcBorders>
              <w:top w:val="single" w:color="auto" w:sz="4" w:space="0"/>
              <w:left w:val="single" w:color="auto" w:sz="4" w:space="0"/>
              <w:bottom w:val="single" w:color="auto" w:sz="4" w:space="0"/>
              <w:right w:val="single" w:color="auto" w:sz="4" w:space="0"/>
            </w:tcBorders>
            <w:noWrap/>
            <w:vAlign w:val="center"/>
          </w:tcPr>
          <w:p w14:paraId="7318DB9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-38.42</w:t>
            </w:r>
          </w:p>
        </w:tc>
      </w:tr>
      <w:tr w14:paraId="2EB3EBF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6CA0DA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其中：一般公共预算财政拨款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507B8681">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737,064.02</w:t>
            </w:r>
          </w:p>
        </w:tc>
        <w:tc>
          <w:tcPr>
            <w:tcW w:w="1556" w:type="dxa"/>
            <w:tcBorders>
              <w:top w:val="single" w:color="auto" w:sz="4" w:space="0"/>
              <w:left w:val="single" w:color="auto" w:sz="4" w:space="0"/>
              <w:bottom w:val="single" w:color="auto" w:sz="4" w:space="0"/>
              <w:right w:val="single" w:color="auto" w:sz="4" w:space="0"/>
            </w:tcBorders>
            <w:noWrap/>
            <w:vAlign w:val="center"/>
          </w:tcPr>
          <w:p w14:paraId="2DE3E8D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2,307,555.88</w:t>
            </w:r>
          </w:p>
        </w:tc>
        <w:tc>
          <w:tcPr>
            <w:tcW w:w="1688" w:type="dxa"/>
            <w:tcBorders>
              <w:top w:val="single" w:color="auto" w:sz="4" w:space="0"/>
              <w:left w:val="single" w:color="auto" w:sz="4" w:space="0"/>
              <w:bottom w:val="single" w:color="auto" w:sz="4" w:space="0"/>
              <w:right w:val="single" w:color="auto" w:sz="4" w:space="0"/>
            </w:tcBorders>
            <w:noWrap/>
            <w:vAlign w:val="center"/>
          </w:tcPr>
          <w:p w14:paraId="1B68621D">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-1,570,491.86</w:t>
            </w:r>
          </w:p>
        </w:tc>
        <w:tc>
          <w:tcPr>
            <w:tcW w:w="1143" w:type="dxa"/>
            <w:tcBorders>
              <w:top w:val="single" w:color="auto" w:sz="4" w:space="0"/>
              <w:left w:val="single" w:color="auto" w:sz="4" w:space="0"/>
              <w:bottom w:val="single" w:color="auto" w:sz="4" w:space="0"/>
              <w:right w:val="single" w:color="auto" w:sz="4" w:space="0"/>
            </w:tcBorders>
            <w:noWrap/>
            <w:vAlign w:val="center"/>
          </w:tcPr>
          <w:p w14:paraId="0E88BC7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-68.06</w:t>
            </w:r>
          </w:p>
        </w:tc>
      </w:tr>
      <w:tr w14:paraId="293F5D96">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770336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政府性基金预算财政拨款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3671CE7D">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70B6ED8">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1CA841B7">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7DEDDCDF">
            <w:pPr>
              <w:jc w:val="right"/>
              <w:rPr>
                <w:rFonts w:hint="eastAsia" w:ascii="宋体" w:hAnsi="宋体" w:eastAsia="宋体" w:cs="宋体"/>
                <w:color w:val="000000"/>
                <w:sz w:val="22"/>
                <w:szCs w:val="22"/>
              </w:rPr>
            </w:pPr>
          </w:p>
        </w:tc>
      </w:tr>
      <w:tr w14:paraId="31EEAA2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EF5FFA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国有资本经营预算财政拨款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3E5DCAC4">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388910">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6EEE5B5">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35EF21C1">
            <w:pPr>
              <w:jc w:val="right"/>
              <w:rPr>
                <w:rFonts w:hint="eastAsia" w:ascii="宋体" w:hAnsi="宋体" w:eastAsia="宋体" w:cs="宋体"/>
                <w:color w:val="000000"/>
                <w:sz w:val="22"/>
                <w:szCs w:val="22"/>
              </w:rPr>
            </w:pPr>
          </w:p>
        </w:tc>
      </w:tr>
      <w:tr w14:paraId="0DC048D8">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2C02671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733AD8A4">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95F740">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1B3B2CD7">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4833FEBC">
            <w:pPr>
              <w:jc w:val="right"/>
              <w:rPr>
                <w:rFonts w:hint="eastAsia" w:ascii="宋体" w:hAnsi="宋体" w:eastAsia="宋体" w:cs="宋体"/>
                <w:color w:val="000000"/>
                <w:sz w:val="22"/>
                <w:szCs w:val="22"/>
              </w:rPr>
            </w:pPr>
          </w:p>
        </w:tc>
      </w:tr>
      <w:tr w14:paraId="0C14E105">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24B732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事业单位经营收入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2308F82B">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A25475D">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732F8809">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0182A587">
            <w:pPr>
              <w:jc w:val="right"/>
              <w:rPr>
                <w:rFonts w:hint="eastAsia" w:ascii="宋体" w:hAnsi="宋体" w:eastAsia="宋体" w:cs="宋体"/>
                <w:color w:val="000000"/>
                <w:sz w:val="22"/>
                <w:szCs w:val="22"/>
              </w:rPr>
            </w:pPr>
          </w:p>
        </w:tc>
      </w:tr>
      <w:tr w14:paraId="4B7EDD85">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1809406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*其他收入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35F88E9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690,002.21</w:t>
            </w:r>
          </w:p>
        </w:tc>
        <w:tc>
          <w:tcPr>
            <w:tcW w:w="1556" w:type="dxa"/>
            <w:tcBorders>
              <w:top w:val="single" w:color="auto" w:sz="4" w:space="0"/>
              <w:left w:val="single" w:color="auto" w:sz="4" w:space="0"/>
              <w:bottom w:val="single" w:color="auto" w:sz="4" w:space="0"/>
              <w:right w:val="single" w:color="auto" w:sz="4" w:space="0"/>
            </w:tcBorders>
            <w:noWrap/>
            <w:vAlign w:val="center"/>
          </w:tcPr>
          <w:p w14:paraId="1B84016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9,970.84</w:t>
            </w:r>
          </w:p>
        </w:tc>
        <w:tc>
          <w:tcPr>
            <w:tcW w:w="1688" w:type="dxa"/>
            <w:tcBorders>
              <w:top w:val="single" w:color="auto" w:sz="4" w:space="0"/>
              <w:left w:val="single" w:color="auto" w:sz="4" w:space="0"/>
              <w:bottom w:val="single" w:color="auto" w:sz="4" w:space="0"/>
              <w:right w:val="single" w:color="auto" w:sz="4" w:space="0"/>
            </w:tcBorders>
            <w:noWrap/>
            <w:vAlign w:val="center"/>
          </w:tcPr>
          <w:p w14:paraId="32369ED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680,031.37</w:t>
            </w:r>
          </w:p>
        </w:tc>
        <w:tc>
          <w:tcPr>
            <w:tcW w:w="1143" w:type="dxa"/>
            <w:tcBorders>
              <w:top w:val="single" w:color="auto" w:sz="4" w:space="0"/>
              <w:left w:val="single" w:color="auto" w:sz="4" w:space="0"/>
              <w:bottom w:val="single" w:color="auto" w:sz="4" w:space="0"/>
              <w:right w:val="single" w:color="auto" w:sz="4" w:space="0"/>
            </w:tcBorders>
            <w:noWrap/>
            <w:vAlign w:val="center"/>
          </w:tcPr>
          <w:p w14:paraId="7478707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6,820.20</w:t>
            </w:r>
          </w:p>
        </w:tc>
      </w:tr>
      <w:tr w14:paraId="0E82ABC3">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5D0506F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2.本年支出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24E90EC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1,427,066.23</w:t>
            </w:r>
          </w:p>
        </w:tc>
        <w:tc>
          <w:tcPr>
            <w:tcW w:w="1556" w:type="dxa"/>
            <w:tcBorders>
              <w:top w:val="single" w:color="auto" w:sz="4" w:space="0"/>
              <w:left w:val="single" w:color="auto" w:sz="4" w:space="0"/>
              <w:bottom w:val="single" w:color="auto" w:sz="4" w:space="0"/>
              <w:right w:val="single" w:color="auto" w:sz="4" w:space="0"/>
            </w:tcBorders>
            <w:noWrap/>
            <w:vAlign w:val="center"/>
          </w:tcPr>
          <w:p w14:paraId="1BE94C2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2,317,526.72</w:t>
            </w:r>
          </w:p>
        </w:tc>
        <w:tc>
          <w:tcPr>
            <w:tcW w:w="1688" w:type="dxa"/>
            <w:tcBorders>
              <w:top w:val="single" w:color="auto" w:sz="4" w:space="0"/>
              <w:left w:val="single" w:color="auto" w:sz="4" w:space="0"/>
              <w:bottom w:val="single" w:color="auto" w:sz="4" w:space="0"/>
              <w:right w:val="single" w:color="auto" w:sz="4" w:space="0"/>
            </w:tcBorders>
            <w:noWrap/>
            <w:vAlign w:val="center"/>
          </w:tcPr>
          <w:p w14:paraId="601B35C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-890,460.49</w:t>
            </w:r>
          </w:p>
        </w:tc>
        <w:tc>
          <w:tcPr>
            <w:tcW w:w="1143" w:type="dxa"/>
            <w:tcBorders>
              <w:top w:val="single" w:color="auto" w:sz="4" w:space="0"/>
              <w:left w:val="single" w:color="auto" w:sz="4" w:space="0"/>
              <w:bottom w:val="single" w:color="auto" w:sz="4" w:space="0"/>
              <w:right w:val="single" w:color="auto" w:sz="4" w:space="0"/>
            </w:tcBorders>
            <w:noWrap/>
            <w:vAlign w:val="center"/>
          </w:tcPr>
          <w:p w14:paraId="0EEBFE2D">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-38.42</w:t>
            </w:r>
          </w:p>
        </w:tc>
      </w:tr>
      <w:tr w14:paraId="088492FD">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604202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其中：基本支出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27521026">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834,391.30</w:t>
            </w:r>
          </w:p>
        </w:tc>
        <w:tc>
          <w:tcPr>
            <w:tcW w:w="1556" w:type="dxa"/>
            <w:tcBorders>
              <w:top w:val="single" w:color="auto" w:sz="4" w:space="0"/>
              <w:left w:val="single" w:color="auto" w:sz="4" w:space="0"/>
              <w:bottom w:val="single" w:color="auto" w:sz="4" w:space="0"/>
              <w:right w:val="single" w:color="auto" w:sz="4" w:space="0"/>
            </w:tcBorders>
            <w:noWrap/>
            <w:vAlign w:val="center"/>
          </w:tcPr>
          <w:p w14:paraId="12423A1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2,193,777.42</w:t>
            </w:r>
          </w:p>
        </w:tc>
        <w:tc>
          <w:tcPr>
            <w:tcW w:w="1688" w:type="dxa"/>
            <w:tcBorders>
              <w:top w:val="single" w:color="auto" w:sz="4" w:space="0"/>
              <w:left w:val="single" w:color="auto" w:sz="4" w:space="0"/>
              <w:bottom w:val="single" w:color="auto" w:sz="4" w:space="0"/>
              <w:right w:val="single" w:color="auto" w:sz="4" w:space="0"/>
            </w:tcBorders>
            <w:noWrap/>
            <w:vAlign w:val="center"/>
          </w:tcPr>
          <w:p w14:paraId="11BAD48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-1,359,386.12</w:t>
            </w:r>
          </w:p>
        </w:tc>
        <w:tc>
          <w:tcPr>
            <w:tcW w:w="1143" w:type="dxa"/>
            <w:tcBorders>
              <w:top w:val="single" w:color="auto" w:sz="4" w:space="0"/>
              <w:left w:val="single" w:color="auto" w:sz="4" w:space="0"/>
              <w:bottom w:val="single" w:color="auto" w:sz="4" w:space="0"/>
              <w:right w:val="single" w:color="auto" w:sz="4" w:space="0"/>
            </w:tcBorders>
            <w:noWrap/>
            <w:vAlign w:val="center"/>
          </w:tcPr>
          <w:p w14:paraId="4779036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-61.97</w:t>
            </w:r>
          </w:p>
        </w:tc>
      </w:tr>
      <w:tr w14:paraId="1566A12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1079E1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（1）人员经费</w:t>
            </w:r>
          </w:p>
        </w:tc>
        <w:tc>
          <w:tcPr>
            <w:tcW w:w="1556" w:type="dxa"/>
            <w:tcBorders>
              <w:top w:val="single" w:color="auto" w:sz="4" w:space="0"/>
              <w:left w:val="single" w:color="auto" w:sz="4" w:space="0"/>
              <w:bottom w:val="single" w:color="auto" w:sz="4" w:space="0"/>
              <w:right w:val="single" w:color="auto" w:sz="4" w:space="0"/>
            </w:tcBorders>
            <w:noWrap/>
            <w:vAlign w:val="center"/>
          </w:tcPr>
          <w:p w14:paraId="7C48E2AB">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2CC62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1,885,078.18</w:t>
            </w:r>
          </w:p>
        </w:tc>
        <w:tc>
          <w:tcPr>
            <w:tcW w:w="1688" w:type="dxa"/>
            <w:tcBorders>
              <w:top w:val="single" w:color="auto" w:sz="4" w:space="0"/>
              <w:left w:val="single" w:color="auto" w:sz="4" w:space="0"/>
              <w:bottom w:val="single" w:color="auto" w:sz="4" w:space="0"/>
              <w:right w:val="single" w:color="auto" w:sz="4" w:space="0"/>
            </w:tcBorders>
            <w:noWrap/>
            <w:vAlign w:val="center"/>
          </w:tcPr>
          <w:p w14:paraId="37BAFF7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-1,885,078.18</w:t>
            </w:r>
          </w:p>
        </w:tc>
        <w:tc>
          <w:tcPr>
            <w:tcW w:w="1143" w:type="dxa"/>
            <w:tcBorders>
              <w:top w:val="single" w:color="auto" w:sz="4" w:space="0"/>
              <w:left w:val="single" w:color="auto" w:sz="4" w:space="0"/>
              <w:bottom w:val="single" w:color="auto" w:sz="4" w:space="0"/>
              <w:right w:val="single" w:color="auto" w:sz="4" w:space="0"/>
            </w:tcBorders>
            <w:noWrap/>
            <w:vAlign w:val="center"/>
          </w:tcPr>
          <w:p w14:paraId="1BE759A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-100.00</w:t>
            </w:r>
          </w:p>
        </w:tc>
      </w:tr>
      <w:tr w14:paraId="0E6CB045">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1D410DF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（2）公用经费</w:t>
            </w:r>
          </w:p>
        </w:tc>
        <w:tc>
          <w:tcPr>
            <w:tcW w:w="1556" w:type="dxa"/>
            <w:tcBorders>
              <w:top w:val="single" w:color="auto" w:sz="4" w:space="0"/>
              <w:left w:val="single" w:color="auto" w:sz="4" w:space="0"/>
              <w:bottom w:val="single" w:color="auto" w:sz="4" w:space="0"/>
              <w:right w:val="single" w:color="auto" w:sz="4" w:space="0"/>
            </w:tcBorders>
            <w:noWrap/>
            <w:vAlign w:val="center"/>
          </w:tcPr>
          <w:p w14:paraId="63C18A6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834,391.30</w:t>
            </w:r>
          </w:p>
        </w:tc>
        <w:tc>
          <w:tcPr>
            <w:tcW w:w="1556" w:type="dxa"/>
            <w:tcBorders>
              <w:top w:val="single" w:color="auto" w:sz="4" w:space="0"/>
              <w:left w:val="single" w:color="auto" w:sz="4" w:space="0"/>
              <w:bottom w:val="single" w:color="auto" w:sz="4" w:space="0"/>
              <w:right w:val="single" w:color="auto" w:sz="4" w:space="0"/>
            </w:tcBorders>
            <w:noWrap/>
            <w:vAlign w:val="center"/>
          </w:tcPr>
          <w:p w14:paraId="12E885A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308,699.24</w:t>
            </w:r>
          </w:p>
        </w:tc>
        <w:tc>
          <w:tcPr>
            <w:tcW w:w="1688" w:type="dxa"/>
            <w:tcBorders>
              <w:top w:val="single" w:color="auto" w:sz="4" w:space="0"/>
              <w:left w:val="single" w:color="auto" w:sz="4" w:space="0"/>
              <w:bottom w:val="single" w:color="auto" w:sz="4" w:space="0"/>
              <w:right w:val="single" w:color="auto" w:sz="4" w:space="0"/>
            </w:tcBorders>
            <w:noWrap/>
            <w:vAlign w:val="center"/>
          </w:tcPr>
          <w:p w14:paraId="7D5C8D3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525,692.06</w:t>
            </w:r>
          </w:p>
        </w:tc>
        <w:tc>
          <w:tcPr>
            <w:tcW w:w="1143" w:type="dxa"/>
            <w:tcBorders>
              <w:top w:val="single" w:color="auto" w:sz="4" w:space="0"/>
              <w:left w:val="single" w:color="auto" w:sz="4" w:space="0"/>
              <w:bottom w:val="single" w:color="auto" w:sz="4" w:space="0"/>
              <w:right w:val="single" w:color="auto" w:sz="4" w:space="0"/>
            </w:tcBorders>
            <w:noWrap/>
            <w:vAlign w:val="center"/>
          </w:tcPr>
          <w:p w14:paraId="62A27B9A">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170.29</w:t>
            </w:r>
          </w:p>
        </w:tc>
      </w:tr>
      <w:tr w14:paraId="789E203C">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AB2FB1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项目支出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3F56974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592,674.93</w:t>
            </w:r>
          </w:p>
        </w:tc>
        <w:tc>
          <w:tcPr>
            <w:tcW w:w="1556" w:type="dxa"/>
            <w:tcBorders>
              <w:top w:val="single" w:color="auto" w:sz="4" w:space="0"/>
              <w:left w:val="single" w:color="auto" w:sz="4" w:space="0"/>
              <w:bottom w:val="single" w:color="auto" w:sz="4" w:space="0"/>
              <w:right w:val="single" w:color="auto" w:sz="4" w:space="0"/>
            </w:tcBorders>
            <w:noWrap/>
            <w:vAlign w:val="center"/>
          </w:tcPr>
          <w:p w14:paraId="77F5C851">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123,749.30</w:t>
            </w:r>
          </w:p>
        </w:tc>
        <w:tc>
          <w:tcPr>
            <w:tcW w:w="1688" w:type="dxa"/>
            <w:tcBorders>
              <w:top w:val="single" w:color="auto" w:sz="4" w:space="0"/>
              <w:left w:val="single" w:color="auto" w:sz="4" w:space="0"/>
              <w:bottom w:val="single" w:color="auto" w:sz="4" w:space="0"/>
              <w:right w:val="single" w:color="auto" w:sz="4" w:space="0"/>
            </w:tcBorders>
            <w:noWrap/>
            <w:vAlign w:val="center"/>
          </w:tcPr>
          <w:p w14:paraId="2B12C99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468,925.63</w:t>
            </w:r>
          </w:p>
        </w:tc>
        <w:tc>
          <w:tcPr>
            <w:tcW w:w="1143" w:type="dxa"/>
            <w:tcBorders>
              <w:top w:val="single" w:color="auto" w:sz="4" w:space="0"/>
              <w:left w:val="single" w:color="auto" w:sz="4" w:space="0"/>
              <w:bottom w:val="single" w:color="auto" w:sz="4" w:space="0"/>
              <w:right w:val="single" w:color="auto" w:sz="4" w:space="0"/>
            </w:tcBorders>
            <w:noWrap/>
            <w:vAlign w:val="center"/>
          </w:tcPr>
          <w:p w14:paraId="0ACD14A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378.93</w:t>
            </w:r>
          </w:p>
        </w:tc>
      </w:tr>
      <w:tr w14:paraId="1F7A4782">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547884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其中：基本建设类项目</w:t>
            </w:r>
          </w:p>
        </w:tc>
        <w:tc>
          <w:tcPr>
            <w:tcW w:w="1556" w:type="dxa"/>
            <w:tcBorders>
              <w:top w:val="single" w:color="auto" w:sz="4" w:space="0"/>
              <w:left w:val="single" w:color="auto" w:sz="4" w:space="0"/>
              <w:bottom w:val="single" w:color="auto" w:sz="4" w:space="0"/>
              <w:right w:val="single" w:color="auto" w:sz="4" w:space="0"/>
            </w:tcBorders>
            <w:noWrap/>
            <w:vAlign w:val="center"/>
          </w:tcPr>
          <w:p w14:paraId="04439D41">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0F48674">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FD6E0B1">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6176A3E4">
            <w:pPr>
              <w:jc w:val="right"/>
              <w:rPr>
                <w:rFonts w:hint="eastAsia" w:ascii="宋体" w:hAnsi="宋体" w:eastAsia="宋体" w:cs="宋体"/>
                <w:color w:val="000000"/>
                <w:sz w:val="22"/>
                <w:szCs w:val="22"/>
              </w:rPr>
            </w:pPr>
          </w:p>
        </w:tc>
      </w:tr>
      <w:tr w14:paraId="49E36459">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31160C5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 xml:space="preserve">       事业单位经营支出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35E4FFDC">
            <w:pPr>
              <w:jc w:val="right"/>
              <w:rPr>
                <w:rFonts w:hint="eastAsia" w:ascii="宋体" w:hAnsi="宋体" w:eastAsia="宋体" w:cs="宋体"/>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387DFB">
            <w:pPr>
              <w:jc w:val="right"/>
              <w:rPr>
                <w:rFonts w:hint="eastAsia" w:ascii="宋体" w:hAnsi="宋体" w:eastAsia="宋体" w:cs="宋体"/>
                <w:color w:val="000000"/>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6B45BE9A">
            <w:pPr>
              <w:jc w:val="right"/>
              <w:rPr>
                <w:rFonts w:hint="eastAsia" w:ascii="宋体" w:hAnsi="宋体" w:eastAsia="宋体" w:cs="宋体"/>
                <w:color w:val="000000"/>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6DAE1187">
            <w:pPr>
              <w:jc w:val="right"/>
              <w:rPr>
                <w:rFonts w:hint="eastAsia" w:ascii="宋体" w:hAnsi="宋体" w:eastAsia="宋体" w:cs="宋体"/>
                <w:color w:val="000000"/>
                <w:sz w:val="22"/>
                <w:szCs w:val="22"/>
              </w:rPr>
            </w:pPr>
          </w:p>
        </w:tc>
      </w:tr>
    </w:tbl>
    <w:p w14:paraId="50411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bidi="ar-SA"/>
        </w:rPr>
      </w:pPr>
      <w:bookmarkStart w:id="103" w:name="_Toc11450"/>
      <w:bookmarkStart w:id="104" w:name="_Toc24459"/>
      <w:bookmarkStart w:id="105" w:name="_Toc31982"/>
      <w:r>
        <w:rPr>
          <w:rFonts w:hint="eastAsia" w:ascii="仿宋" w:hAnsi="仿宋" w:eastAsia="仿宋" w:cs="仿宋"/>
          <w:b/>
          <w:bCs/>
          <w:sz w:val="32"/>
          <w:szCs w:val="32"/>
          <w:lang w:val="en-US" w:eastAsia="zh-CN" w:bidi="ar-SA"/>
        </w:rPr>
        <w:t>（6）本年度全年预算数、账套数、决算数、重分类决算数汇总对比表列示如下：</w:t>
      </w:r>
      <w:bookmarkEnd w:id="103"/>
      <w:bookmarkEnd w:id="104"/>
    </w:p>
    <w:tbl>
      <w:tblPr>
        <w:tblStyle w:val="11"/>
        <w:tblW w:w="8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8"/>
        <w:gridCol w:w="1594"/>
        <w:gridCol w:w="1676"/>
        <w:gridCol w:w="1757"/>
        <w:gridCol w:w="1581"/>
      </w:tblGrid>
      <w:tr w14:paraId="2640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118"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1B4D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594" w:type="dxa"/>
            <w:tcBorders>
              <w:top w:val="single" w:color="000000" w:sz="8" w:space="0"/>
              <w:left w:val="nil"/>
              <w:bottom w:val="single" w:color="000000" w:sz="8" w:space="0"/>
              <w:right w:val="single" w:color="000000" w:sz="8" w:space="0"/>
            </w:tcBorders>
            <w:shd w:val="clear" w:color="auto" w:fill="DDEBF7"/>
            <w:noWrap/>
            <w:vAlign w:val="center"/>
          </w:tcPr>
          <w:p w14:paraId="24F6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1676" w:type="dxa"/>
            <w:tcBorders>
              <w:top w:val="single" w:color="000000" w:sz="8" w:space="0"/>
              <w:left w:val="nil"/>
              <w:bottom w:val="single" w:color="000000" w:sz="8" w:space="0"/>
              <w:right w:val="single" w:color="000000" w:sz="8" w:space="0"/>
            </w:tcBorders>
            <w:shd w:val="clear" w:color="auto" w:fill="DDEBF7"/>
            <w:noWrap/>
            <w:vAlign w:val="center"/>
          </w:tcPr>
          <w:p w14:paraId="689D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757" w:type="dxa"/>
            <w:tcBorders>
              <w:top w:val="single" w:color="000000" w:sz="8" w:space="0"/>
              <w:left w:val="nil"/>
              <w:bottom w:val="single" w:color="000000" w:sz="8" w:space="0"/>
              <w:right w:val="single" w:color="000000" w:sz="8" w:space="0"/>
            </w:tcBorders>
            <w:shd w:val="clear" w:color="auto" w:fill="DDEBF7"/>
            <w:noWrap/>
            <w:vAlign w:val="center"/>
          </w:tcPr>
          <w:p w14:paraId="4176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账套数</w:t>
            </w:r>
          </w:p>
        </w:tc>
        <w:tc>
          <w:tcPr>
            <w:tcW w:w="1581" w:type="dxa"/>
            <w:tcBorders>
              <w:top w:val="single" w:color="000000" w:sz="8" w:space="0"/>
              <w:left w:val="nil"/>
              <w:bottom w:val="single" w:color="000000" w:sz="8" w:space="0"/>
              <w:right w:val="single" w:color="000000" w:sz="8" w:space="0"/>
            </w:tcBorders>
            <w:shd w:val="clear" w:color="auto" w:fill="DDEBF7"/>
            <w:noWrap/>
            <w:vAlign w:val="center"/>
          </w:tcPr>
          <w:p w14:paraId="38FD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w:t>
            </w:r>
          </w:p>
        </w:tc>
      </w:tr>
      <w:tr w14:paraId="1F7D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513E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594" w:type="dxa"/>
            <w:tcBorders>
              <w:top w:val="nil"/>
              <w:left w:val="nil"/>
              <w:bottom w:val="single" w:color="000000" w:sz="8" w:space="0"/>
              <w:right w:val="single" w:color="000000" w:sz="8" w:space="0"/>
            </w:tcBorders>
            <w:shd w:val="clear" w:color="auto" w:fill="auto"/>
            <w:noWrap/>
            <w:vAlign w:val="center"/>
          </w:tcPr>
          <w:p w14:paraId="39A468A0">
            <w:pPr>
              <w:jc w:val="center"/>
              <w:rPr>
                <w:rFonts w:hint="eastAsia" w:ascii="宋体" w:hAnsi="宋体" w:eastAsia="宋体" w:cs="宋体"/>
                <w:i w:val="0"/>
                <w:iCs w:val="0"/>
                <w:color w:val="000000"/>
                <w:sz w:val="22"/>
                <w:szCs w:val="22"/>
                <w:u w:val="none"/>
              </w:rPr>
            </w:pPr>
          </w:p>
        </w:tc>
        <w:tc>
          <w:tcPr>
            <w:tcW w:w="1676" w:type="dxa"/>
            <w:tcBorders>
              <w:top w:val="nil"/>
              <w:left w:val="nil"/>
              <w:bottom w:val="single" w:color="000000" w:sz="8" w:space="0"/>
              <w:right w:val="single" w:color="000000" w:sz="8" w:space="0"/>
            </w:tcBorders>
            <w:shd w:val="clear" w:color="auto" w:fill="auto"/>
            <w:noWrap/>
            <w:vAlign w:val="center"/>
          </w:tcPr>
          <w:p w14:paraId="71C6B11C">
            <w:pPr>
              <w:jc w:val="center"/>
              <w:rPr>
                <w:rFonts w:hint="eastAsia" w:ascii="宋体" w:hAnsi="宋体" w:eastAsia="宋体" w:cs="宋体"/>
                <w:i w:val="0"/>
                <w:iCs w:val="0"/>
                <w:color w:val="000000"/>
                <w:sz w:val="22"/>
                <w:szCs w:val="22"/>
                <w:u w:val="none"/>
              </w:rPr>
            </w:pPr>
          </w:p>
        </w:tc>
        <w:tc>
          <w:tcPr>
            <w:tcW w:w="1757" w:type="dxa"/>
            <w:tcBorders>
              <w:top w:val="nil"/>
              <w:left w:val="nil"/>
              <w:bottom w:val="single" w:color="000000" w:sz="8" w:space="0"/>
              <w:right w:val="single" w:color="000000" w:sz="8" w:space="0"/>
            </w:tcBorders>
            <w:shd w:val="clear" w:color="auto" w:fill="auto"/>
            <w:noWrap/>
            <w:vAlign w:val="center"/>
          </w:tcPr>
          <w:p w14:paraId="50F88C39">
            <w:pPr>
              <w:jc w:val="center"/>
              <w:rPr>
                <w:rFonts w:hint="eastAsia" w:ascii="宋体" w:hAnsi="宋体" w:eastAsia="宋体" w:cs="宋体"/>
                <w:i w:val="0"/>
                <w:iCs w:val="0"/>
                <w:color w:val="000000"/>
                <w:sz w:val="22"/>
                <w:szCs w:val="22"/>
                <w:u w:val="none"/>
              </w:rPr>
            </w:pPr>
          </w:p>
        </w:tc>
        <w:tc>
          <w:tcPr>
            <w:tcW w:w="1581" w:type="dxa"/>
            <w:tcBorders>
              <w:top w:val="nil"/>
              <w:left w:val="nil"/>
              <w:bottom w:val="single" w:color="000000" w:sz="8" w:space="0"/>
              <w:right w:val="single" w:color="000000" w:sz="8" w:space="0"/>
            </w:tcBorders>
            <w:shd w:val="clear" w:color="auto" w:fill="auto"/>
            <w:noWrap/>
            <w:vAlign w:val="center"/>
          </w:tcPr>
          <w:p w14:paraId="68579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198,634.10</w:t>
            </w:r>
          </w:p>
        </w:tc>
      </w:tr>
      <w:tr w14:paraId="5F84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DDEBF7"/>
            <w:noWrap/>
            <w:vAlign w:val="center"/>
          </w:tcPr>
          <w:p w14:paraId="7A849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594" w:type="dxa"/>
            <w:tcBorders>
              <w:top w:val="nil"/>
              <w:left w:val="nil"/>
              <w:bottom w:val="single" w:color="000000" w:sz="8" w:space="0"/>
              <w:right w:val="single" w:color="000000" w:sz="8" w:space="0"/>
            </w:tcBorders>
            <w:shd w:val="clear" w:color="auto" w:fill="DDEBF7"/>
            <w:noWrap/>
            <w:vAlign w:val="center"/>
          </w:tcPr>
          <w:p w14:paraId="531D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834,002.21</w:t>
            </w:r>
          </w:p>
        </w:tc>
        <w:tc>
          <w:tcPr>
            <w:tcW w:w="1676" w:type="dxa"/>
            <w:tcBorders>
              <w:top w:val="nil"/>
              <w:left w:val="nil"/>
              <w:bottom w:val="single" w:color="000000" w:sz="8" w:space="0"/>
              <w:right w:val="single" w:color="000000" w:sz="8" w:space="0"/>
            </w:tcBorders>
            <w:shd w:val="clear" w:color="auto" w:fill="DDEBF7"/>
            <w:noWrap/>
            <w:vAlign w:val="center"/>
          </w:tcPr>
          <w:p w14:paraId="0B31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834,391.30</w:t>
            </w:r>
          </w:p>
        </w:tc>
        <w:tc>
          <w:tcPr>
            <w:tcW w:w="1757" w:type="dxa"/>
            <w:tcBorders>
              <w:top w:val="nil"/>
              <w:left w:val="nil"/>
              <w:bottom w:val="single" w:color="000000" w:sz="8" w:space="0"/>
              <w:right w:val="single" w:color="000000" w:sz="8" w:space="0"/>
            </w:tcBorders>
            <w:shd w:val="clear" w:color="auto" w:fill="DDEBF7"/>
            <w:noWrap/>
            <w:vAlign w:val="center"/>
          </w:tcPr>
          <w:p w14:paraId="4FD2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819,000.96</w:t>
            </w:r>
          </w:p>
        </w:tc>
        <w:tc>
          <w:tcPr>
            <w:tcW w:w="1581" w:type="dxa"/>
            <w:tcBorders>
              <w:top w:val="nil"/>
              <w:left w:val="nil"/>
              <w:bottom w:val="single" w:color="000000" w:sz="8" w:space="0"/>
              <w:right w:val="single" w:color="000000" w:sz="8" w:space="0"/>
            </w:tcBorders>
            <w:shd w:val="clear" w:color="auto" w:fill="DDEBF7"/>
            <w:noWrap/>
            <w:vAlign w:val="center"/>
          </w:tcPr>
          <w:p w14:paraId="64C672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726,887.30</w:t>
            </w:r>
          </w:p>
        </w:tc>
      </w:tr>
      <w:tr w14:paraId="40F2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auto"/>
            <w:noWrap/>
            <w:vAlign w:val="center"/>
          </w:tcPr>
          <w:p w14:paraId="01A34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94" w:type="dxa"/>
            <w:tcBorders>
              <w:top w:val="nil"/>
              <w:left w:val="nil"/>
              <w:bottom w:val="single" w:color="000000" w:sz="8" w:space="0"/>
              <w:right w:val="single" w:color="000000" w:sz="8" w:space="0"/>
            </w:tcBorders>
            <w:shd w:val="clear" w:color="auto" w:fill="auto"/>
            <w:noWrap/>
            <w:vAlign w:val="center"/>
          </w:tcPr>
          <w:p w14:paraId="1B31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627,200.00</w:t>
            </w:r>
          </w:p>
        </w:tc>
        <w:tc>
          <w:tcPr>
            <w:tcW w:w="1676" w:type="dxa"/>
            <w:tcBorders>
              <w:top w:val="nil"/>
              <w:left w:val="nil"/>
              <w:bottom w:val="single" w:color="000000" w:sz="8" w:space="0"/>
              <w:right w:val="single" w:color="000000" w:sz="8" w:space="0"/>
            </w:tcBorders>
            <w:shd w:val="clear" w:color="auto" w:fill="auto"/>
            <w:noWrap/>
            <w:vAlign w:val="center"/>
          </w:tcPr>
          <w:p w14:paraId="25CA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592,674.93</w:t>
            </w:r>
          </w:p>
        </w:tc>
        <w:tc>
          <w:tcPr>
            <w:tcW w:w="1757" w:type="dxa"/>
            <w:tcBorders>
              <w:top w:val="nil"/>
              <w:left w:val="nil"/>
              <w:bottom w:val="single" w:color="000000" w:sz="8" w:space="0"/>
              <w:right w:val="single" w:color="000000" w:sz="8" w:space="0"/>
            </w:tcBorders>
            <w:shd w:val="clear" w:color="auto" w:fill="auto"/>
            <w:noWrap/>
            <w:vAlign w:val="center"/>
          </w:tcPr>
          <w:p w14:paraId="5FA5E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608,065.27</w:t>
            </w:r>
          </w:p>
        </w:tc>
        <w:tc>
          <w:tcPr>
            <w:tcW w:w="1581" w:type="dxa"/>
            <w:tcBorders>
              <w:top w:val="nil"/>
              <w:left w:val="nil"/>
              <w:bottom w:val="single" w:color="000000" w:sz="8" w:space="0"/>
              <w:right w:val="single" w:color="000000" w:sz="8" w:space="0"/>
            </w:tcBorders>
            <w:shd w:val="clear" w:color="auto" w:fill="auto"/>
            <w:noWrap/>
            <w:vAlign w:val="center"/>
          </w:tcPr>
          <w:p w14:paraId="3829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501,544.83</w:t>
            </w:r>
          </w:p>
        </w:tc>
      </w:tr>
      <w:tr w14:paraId="38EC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8" w:type="dxa"/>
            <w:tcBorders>
              <w:top w:val="nil"/>
              <w:left w:val="single" w:color="000000" w:sz="8" w:space="0"/>
              <w:bottom w:val="single" w:color="000000" w:sz="8" w:space="0"/>
              <w:right w:val="single" w:color="000000" w:sz="8" w:space="0"/>
            </w:tcBorders>
            <w:shd w:val="clear" w:color="auto" w:fill="DDEBF7"/>
            <w:noWrap/>
            <w:vAlign w:val="center"/>
          </w:tcPr>
          <w:p w14:paraId="5B09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4" w:type="dxa"/>
            <w:tcBorders>
              <w:top w:val="nil"/>
              <w:left w:val="nil"/>
              <w:bottom w:val="single" w:color="000000" w:sz="8" w:space="0"/>
              <w:right w:val="single" w:color="000000" w:sz="8" w:space="0"/>
            </w:tcBorders>
            <w:shd w:val="clear" w:color="auto" w:fill="DDEBF7"/>
            <w:noWrap/>
            <w:vAlign w:val="center"/>
          </w:tcPr>
          <w:p w14:paraId="64CB5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1,461,202.21</w:t>
            </w:r>
          </w:p>
        </w:tc>
        <w:tc>
          <w:tcPr>
            <w:tcW w:w="1676" w:type="dxa"/>
            <w:tcBorders>
              <w:top w:val="nil"/>
              <w:left w:val="nil"/>
              <w:bottom w:val="single" w:color="000000" w:sz="8" w:space="0"/>
              <w:right w:val="single" w:color="000000" w:sz="8" w:space="0"/>
            </w:tcBorders>
            <w:shd w:val="clear" w:color="auto" w:fill="DDEBF7"/>
            <w:noWrap/>
            <w:vAlign w:val="center"/>
          </w:tcPr>
          <w:p w14:paraId="31916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1,427,066.23</w:t>
            </w:r>
          </w:p>
        </w:tc>
        <w:tc>
          <w:tcPr>
            <w:tcW w:w="1757" w:type="dxa"/>
            <w:tcBorders>
              <w:top w:val="nil"/>
              <w:left w:val="nil"/>
              <w:bottom w:val="single" w:color="000000" w:sz="8" w:space="0"/>
              <w:right w:val="single" w:color="000000" w:sz="8" w:space="0"/>
            </w:tcBorders>
            <w:shd w:val="clear" w:color="auto" w:fill="DDEBF7"/>
            <w:noWrap/>
            <w:vAlign w:val="center"/>
          </w:tcPr>
          <w:p w14:paraId="1F3A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1,427,066.23</w:t>
            </w:r>
          </w:p>
        </w:tc>
        <w:tc>
          <w:tcPr>
            <w:tcW w:w="1581" w:type="dxa"/>
            <w:tcBorders>
              <w:top w:val="nil"/>
              <w:left w:val="nil"/>
              <w:bottom w:val="single" w:color="000000" w:sz="8" w:space="0"/>
              <w:right w:val="single" w:color="000000" w:sz="8" w:space="0"/>
            </w:tcBorders>
            <w:shd w:val="clear" w:color="auto" w:fill="DDEBF7"/>
            <w:noWrap/>
            <w:vAlign w:val="center"/>
          </w:tcPr>
          <w:p w14:paraId="0D11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1,427,066.23</w:t>
            </w:r>
          </w:p>
        </w:tc>
      </w:tr>
    </w:tbl>
    <w:p w14:paraId="44D604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sz w:val="32"/>
          <w:szCs w:val="32"/>
        </w:rPr>
      </w:pPr>
      <w:bookmarkStart w:id="106" w:name="_Toc25044"/>
      <w:bookmarkStart w:id="107" w:name="_Toc30534"/>
      <w:bookmarkStart w:id="108" w:name="_Toc27078"/>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）整体支出汇总及分析</w:t>
      </w:r>
      <w:bookmarkEnd w:id="105"/>
      <w:bookmarkEnd w:id="106"/>
      <w:bookmarkEnd w:id="107"/>
      <w:bookmarkEnd w:id="108"/>
    </w:p>
    <w:p w14:paraId="617A4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检查支出范围及内容：是否符合预算用途和相关财经法规条例；有无超范围、超标准支出</w:t>
      </w:r>
      <w:r>
        <w:rPr>
          <w:rFonts w:hint="eastAsia" w:ascii="仿宋" w:hAnsi="仿宋" w:eastAsia="仿宋" w:cs="仿宋"/>
          <w:sz w:val="32"/>
          <w:szCs w:val="32"/>
          <w:lang w:eastAsia="zh-CN"/>
        </w:rPr>
        <w:t>，</w:t>
      </w:r>
      <w:r>
        <w:rPr>
          <w:rFonts w:hint="eastAsia" w:ascii="仿宋" w:hAnsi="仿宋" w:eastAsia="仿宋" w:cs="仿宋"/>
          <w:sz w:val="32"/>
          <w:szCs w:val="32"/>
        </w:rPr>
        <w:t>报销凭证完整性与合规性；政府采购程序是否规范</w:t>
      </w:r>
      <w:r>
        <w:rPr>
          <w:rFonts w:hint="eastAsia" w:ascii="仿宋" w:hAnsi="仿宋" w:eastAsia="仿宋" w:cs="仿宋"/>
          <w:sz w:val="32"/>
          <w:szCs w:val="32"/>
          <w:lang w:eastAsia="zh-CN"/>
        </w:rPr>
        <w:t>，</w:t>
      </w:r>
      <w:r>
        <w:rPr>
          <w:rFonts w:hint="eastAsia" w:ascii="仿宋" w:hAnsi="仿宋" w:eastAsia="仿宋" w:cs="仿宋"/>
          <w:sz w:val="32"/>
          <w:szCs w:val="32"/>
        </w:rPr>
        <w:t>招投标是否合规</w:t>
      </w:r>
      <w:r>
        <w:rPr>
          <w:rFonts w:hint="eastAsia" w:ascii="仿宋" w:hAnsi="仿宋" w:eastAsia="仿宋" w:cs="仿宋"/>
          <w:sz w:val="32"/>
          <w:szCs w:val="32"/>
          <w:lang w:eastAsia="zh-CN"/>
        </w:rPr>
        <w:t>，</w:t>
      </w:r>
      <w:r>
        <w:rPr>
          <w:rFonts w:hint="eastAsia" w:ascii="仿宋" w:hAnsi="仿宋" w:eastAsia="仿宋" w:cs="仿宋"/>
          <w:sz w:val="32"/>
          <w:szCs w:val="32"/>
        </w:rPr>
        <w:t>重大项目开支和大额资金使用是否经单位党组集体研究决策，资金支付是否有完整的审批程序和手续等。</w:t>
      </w:r>
    </w:p>
    <w:p w14:paraId="213F265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rPr>
        <w:t>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（1）整体支出分类及范围</w:t>
      </w:r>
    </w:p>
    <w:p w14:paraId="7CA2B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bidi="ar"/>
        </w:rPr>
        <w:t>区委巡察办</w:t>
      </w:r>
      <w:r>
        <w:rPr>
          <w:rFonts w:hint="eastAsia" w:ascii="仿宋" w:hAnsi="仿宋" w:eastAsia="仿宋" w:cs="仿宋"/>
          <w:b w:val="0"/>
          <w:bCs w:val="0"/>
          <w:sz w:val="32"/>
          <w:szCs w:val="32"/>
          <w:lang w:val="en-US" w:eastAsia="zh-CN"/>
        </w:rPr>
        <w:t>的整体支出分为三大类，分别为基本支出－人员经费、基本支出－公用经费（一般性支出）与项目支出。</w:t>
      </w:r>
    </w:p>
    <w:p w14:paraId="32A01A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①基本支出－人员经费包括基本工资、津贴补贴、奖金、机关事业单位基本养老保险缴费、职工基本医疗保险缴费、其他社会保障缴费、住房公积金、其他工资福利支出等。</w:t>
      </w:r>
    </w:p>
    <w:p w14:paraId="0254A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②基本支出－公用经费包括食堂餐费与报表咨询等。</w:t>
      </w:r>
    </w:p>
    <w:p w14:paraId="742FA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③项目支出包括办公经费与加班餐费等。</w:t>
      </w:r>
    </w:p>
    <w:p w14:paraId="54912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lang w:val="en-US" w:eastAsia="zh-CN"/>
        </w:rPr>
        <w:t>各类支出从账套数到重分类数的调整过程</w:t>
      </w:r>
    </w:p>
    <w:tbl>
      <w:tblPr>
        <w:tblStyle w:val="11"/>
        <w:tblW w:w="8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6"/>
        <w:gridCol w:w="1050"/>
        <w:gridCol w:w="1913"/>
        <w:gridCol w:w="1481"/>
        <w:gridCol w:w="1725"/>
      </w:tblGrid>
      <w:tr w14:paraId="1928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trPr>
        <w:tc>
          <w:tcPr>
            <w:tcW w:w="265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4447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基本支出－人员经费明细</w:t>
            </w:r>
          </w:p>
        </w:tc>
        <w:tc>
          <w:tcPr>
            <w:tcW w:w="1050" w:type="dxa"/>
            <w:tcBorders>
              <w:top w:val="single" w:color="000000" w:sz="8" w:space="0"/>
              <w:left w:val="nil"/>
              <w:bottom w:val="single" w:color="000000" w:sz="8" w:space="0"/>
              <w:right w:val="single" w:color="000000" w:sz="8" w:space="0"/>
            </w:tcBorders>
            <w:shd w:val="clear" w:color="auto" w:fill="DDEBF7"/>
            <w:noWrap/>
            <w:vAlign w:val="center"/>
          </w:tcPr>
          <w:p w14:paraId="76068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w:t>
            </w:r>
          </w:p>
        </w:tc>
        <w:tc>
          <w:tcPr>
            <w:tcW w:w="1913" w:type="dxa"/>
            <w:tcBorders>
              <w:top w:val="single" w:color="000000" w:sz="8" w:space="0"/>
              <w:left w:val="nil"/>
              <w:bottom w:val="single" w:color="000000" w:sz="8" w:space="0"/>
              <w:right w:val="single" w:color="000000" w:sz="8" w:space="0"/>
            </w:tcBorders>
            <w:shd w:val="clear" w:color="auto" w:fill="DDEBF7"/>
            <w:noWrap/>
            <w:vAlign w:val="center"/>
          </w:tcPr>
          <w:p w14:paraId="0786F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从基本支出－公用经费调入（+）</w:t>
            </w:r>
          </w:p>
        </w:tc>
        <w:tc>
          <w:tcPr>
            <w:tcW w:w="1481" w:type="dxa"/>
            <w:tcBorders>
              <w:top w:val="single" w:color="000000" w:sz="8" w:space="0"/>
              <w:left w:val="nil"/>
              <w:bottom w:val="single" w:color="000000" w:sz="8" w:space="0"/>
              <w:right w:val="single" w:color="000000" w:sz="8" w:space="0"/>
            </w:tcBorders>
            <w:shd w:val="clear" w:color="auto" w:fill="DDEBF7"/>
            <w:noWrap/>
            <w:vAlign w:val="center"/>
          </w:tcPr>
          <w:p w14:paraId="29E1E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从项目支出调入（+）</w:t>
            </w:r>
          </w:p>
        </w:tc>
        <w:tc>
          <w:tcPr>
            <w:tcW w:w="1725" w:type="dxa"/>
            <w:tcBorders>
              <w:top w:val="single" w:color="000000" w:sz="8" w:space="0"/>
              <w:left w:val="nil"/>
              <w:bottom w:val="single" w:color="000000" w:sz="8" w:space="0"/>
              <w:right w:val="single" w:color="000000" w:sz="8" w:space="0"/>
            </w:tcBorders>
            <w:shd w:val="clear" w:color="auto" w:fill="DDEBF7"/>
            <w:noWrap/>
            <w:vAlign w:val="center"/>
          </w:tcPr>
          <w:p w14:paraId="16C33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5393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79F36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1050" w:type="dxa"/>
            <w:tcBorders>
              <w:top w:val="nil"/>
              <w:left w:val="nil"/>
              <w:bottom w:val="single" w:color="000000" w:sz="8" w:space="0"/>
              <w:right w:val="single" w:color="000000" w:sz="8" w:space="0"/>
            </w:tcBorders>
            <w:shd w:val="clear" w:color="auto" w:fill="auto"/>
            <w:noWrap/>
            <w:vAlign w:val="center"/>
          </w:tcPr>
          <w:p w14:paraId="7A625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3" w:type="dxa"/>
            <w:tcBorders>
              <w:top w:val="nil"/>
              <w:left w:val="nil"/>
              <w:bottom w:val="single" w:color="000000" w:sz="8" w:space="0"/>
              <w:right w:val="single" w:color="000000" w:sz="8" w:space="0"/>
            </w:tcBorders>
            <w:shd w:val="clear" w:color="auto" w:fill="auto"/>
            <w:noWrap/>
            <w:vAlign w:val="center"/>
          </w:tcPr>
          <w:p w14:paraId="29BDF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1" w:type="dxa"/>
            <w:tcBorders>
              <w:top w:val="nil"/>
              <w:left w:val="nil"/>
              <w:bottom w:val="single" w:color="000000" w:sz="8" w:space="0"/>
              <w:right w:val="single" w:color="000000" w:sz="8" w:space="0"/>
            </w:tcBorders>
            <w:shd w:val="clear" w:color="auto" w:fill="auto"/>
            <w:noWrap/>
            <w:vAlign w:val="center"/>
          </w:tcPr>
          <w:p w14:paraId="22D7A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nil"/>
              <w:left w:val="nil"/>
              <w:bottom w:val="single" w:color="000000" w:sz="8" w:space="0"/>
              <w:right w:val="single" w:color="000000" w:sz="8" w:space="0"/>
            </w:tcBorders>
            <w:shd w:val="clear" w:color="auto" w:fill="auto"/>
            <w:noWrap/>
            <w:vAlign w:val="center"/>
          </w:tcPr>
          <w:p w14:paraId="501CF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CA1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54647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1050" w:type="dxa"/>
            <w:tcBorders>
              <w:top w:val="nil"/>
              <w:left w:val="nil"/>
              <w:bottom w:val="single" w:color="000000" w:sz="8" w:space="0"/>
              <w:right w:val="single" w:color="000000" w:sz="8" w:space="0"/>
            </w:tcBorders>
            <w:shd w:val="clear" w:color="auto" w:fill="DDEBF7"/>
            <w:noWrap/>
            <w:vAlign w:val="center"/>
          </w:tcPr>
          <w:p w14:paraId="72756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3" w:type="dxa"/>
            <w:tcBorders>
              <w:top w:val="nil"/>
              <w:left w:val="nil"/>
              <w:bottom w:val="single" w:color="000000" w:sz="8" w:space="0"/>
              <w:right w:val="single" w:color="000000" w:sz="8" w:space="0"/>
            </w:tcBorders>
            <w:shd w:val="clear" w:color="auto" w:fill="DDEBF7"/>
            <w:noWrap/>
            <w:vAlign w:val="center"/>
          </w:tcPr>
          <w:p w14:paraId="34FBC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1" w:type="dxa"/>
            <w:tcBorders>
              <w:top w:val="nil"/>
              <w:left w:val="nil"/>
              <w:bottom w:val="single" w:color="000000" w:sz="8" w:space="0"/>
              <w:right w:val="single" w:color="000000" w:sz="8" w:space="0"/>
            </w:tcBorders>
            <w:shd w:val="clear" w:color="auto" w:fill="DDEBF7"/>
            <w:noWrap/>
            <w:vAlign w:val="center"/>
          </w:tcPr>
          <w:p w14:paraId="5DC84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nil"/>
              <w:left w:val="nil"/>
              <w:bottom w:val="single" w:color="000000" w:sz="8" w:space="0"/>
              <w:right w:val="single" w:color="000000" w:sz="8" w:space="0"/>
            </w:tcBorders>
            <w:shd w:val="clear" w:color="auto" w:fill="DDEBF7"/>
            <w:noWrap/>
            <w:vAlign w:val="center"/>
          </w:tcPr>
          <w:p w14:paraId="7E911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1D4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26F4F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1050" w:type="dxa"/>
            <w:tcBorders>
              <w:top w:val="nil"/>
              <w:left w:val="nil"/>
              <w:bottom w:val="single" w:color="000000" w:sz="8" w:space="0"/>
              <w:right w:val="single" w:color="000000" w:sz="8" w:space="0"/>
            </w:tcBorders>
            <w:shd w:val="clear" w:color="auto" w:fill="auto"/>
            <w:noWrap/>
            <w:vAlign w:val="center"/>
          </w:tcPr>
          <w:p w14:paraId="5F88D0B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1913" w:type="dxa"/>
            <w:tcBorders>
              <w:top w:val="nil"/>
              <w:left w:val="nil"/>
              <w:bottom w:val="single" w:color="000000" w:sz="8" w:space="0"/>
              <w:right w:val="single" w:color="000000" w:sz="8" w:space="0"/>
            </w:tcBorders>
            <w:shd w:val="clear" w:color="auto" w:fill="auto"/>
            <w:noWrap/>
            <w:vAlign w:val="center"/>
          </w:tcPr>
          <w:p w14:paraId="33971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1" w:type="dxa"/>
            <w:tcBorders>
              <w:top w:val="nil"/>
              <w:left w:val="nil"/>
              <w:bottom w:val="single" w:color="000000" w:sz="8" w:space="0"/>
              <w:right w:val="single" w:color="000000" w:sz="8" w:space="0"/>
            </w:tcBorders>
            <w:shd w:val="clear" w:color="auto" w:fill="auto"/>
            <w:noWrap/>
            <w:vAlign w:val="center"/>
          </w:tcPr>
          <w:p w14:paraId="7447C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nil"/>
              <w:left w:val="nil"/>
              <w:bottom w:val="single" w:color="000000" w:sz="8" w:space="0"/>
              <w:right w:val="single" w:color="000000" w:sz="8" w:space="0"/>
            </w:tcBorders>
            <w:shd w:val="clear" w:color="auto" w:fill="auto"/>
            <w:noWrap/>
            <w:vAlign w:val="center"/>
          </w:tcPr>
          <w:p w14:paraId="18D16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67D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7E387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w:t>
            </w:r>
          </w:p>
        </w:tc>
        <w:tc>
          <w:tcPr>
            <w:tcW w:w="1050" w:type="dxa"/>
            <w:tcBorders>
              <w:top w:val="nil"/>
              <w:left w:val="nil"/>
              <w:bottom w:val="single" w:color="000000" w:sz="8" w:space="0"/>
              <w:right w:val="single" w:color="000000" w:sz="8" w:space="0"/>
            </w:tcBorders>
            <w:shd w:val="clear" w:color="auto" w:fill="DDEBF7"/>
            <w:noWrap/>
            <w:vAlign w:val="center"/>
          </w:tcPr>
          <w:p w14:paraId="44F13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3" w:type="dxa"/>
            <w:tcBorders>
              <w:top w:val="nil"/>
              <w:left w:val="nil"/>
              <w:bottom w:val="single" w:color="000000" w:sz="8" w:space="0"/>
              <w:right w:val="single" w:color="000000" w:sz="8" w:space="0"/>
            </w:tcBorders>
            <w:shd w:val="clear" w:color="auto" w:fill="DDEBF7"/>
            <w:noWrap/>
            <w:vAlign w:val="center"/>
          </w:tcPr>
          <w:p w14:paraId="47E08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1" w:type="dxa"/>
            <w:tcBorders>
              <w:top w:val="nil"/>
              <w:left w:val="nil"/>
              <w:bottom w:val="single" w:color="000000" w:sz="8" w:space="0"/>
              <w:right w:val="single" w:color="000000" w:sz="8" w:space="0"/>
            </w:tcBorders>
            <w:shd w:val="clear" w:color="auto" w:fill="DDEBF7"/>
            <w:noWrap/>
            <w:vAlign w:val="center"/>
          </w:tcPr>
          <w:p w14:paraId="13716F4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nil"/>
              <w:left w:val="nil"/>
              <w:bottom w:val="single" w:color="000000" w:sz="8" w:space="0"/>
              <w:right w:val="single" w:color="000000" w:sz="8" w:space="0"/>
            </w:tcBorders>
            <w:shd w:val="clear" w:color="auto" w:fill="DDEBF7"/>
            <w:noWrap/>
            <w:vAlign w:val="center"/>
          </w:tcPr>
          <w:p w14:paraId="1B677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B8B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0D9DD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w:t>
            </w:r>
          </w:p>
        </w:tc>
        <w:tc>
          <w:tcPr>
            <w:tcW w:w="1050" w:type="dxa"/>
            <w:tcBorders>
              <w:top w:val="nil"/>
              <w:left w:val="nil"/>
              <w:bottom w:val="single" w:color="000000" w:sz="8" w:space="0"/>
              <w:right w:val="single" w:color="000000" w:sz="8" w:space="0"/>
            </w:tcBorders>
            <w:shd w:val="clear" w:color="auto" w:fill="auto"/>
            <w:noWrap/>
            <w:vAlign w:val="center"/>
          </w:tcPr>
          <w:p w14:paraId="185CE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3" w:type="dxa"/>
            <w:tcBorders>
              <w:top w:val="nil"/>
              <w:left w:val="nil"/>
              <w:bottom w:val="single" w:color="000000" w:sz="8" w:space="0"/>
              <w:right w:val="single" w:color="000000" w:sz="8" w:space="0"/>
            </w:tcBorders>
            <w:shd w:val="clear" w:color="auto" w:fill="auto"/>
            <w:noWrap/>
            <w:vAlign w:val="center"/>
          </w:tcPr>
          <w:p w14:paraId="2EF9E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1" w:type="dxa"/>
            <w:tcBorders>
              <w:top w:val="nil"/>
              <w:left w:val="nil"/>
              <w:bottom w:val="single" w:color="000000" w:sz="8" w:space="0"/>
              <w:right w:val="single" w:color="000000" w:sz="8" w:space="0"/>
            </w:tcBorders>
            <w:shd w:val="clear" w:color="auto" w:fill="auto"/>
            <w:noWrap/>
            <w:vAlign w:val="center"/>
          </w:tcPr>
          <w:p w14:paraId="47C069B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nil"/>
              <w:left w:val="nil"/>
              <w:bottom w:val="single" w:color="000000" w:sz="8" w:space="0"/>
              <w:right w:val="single" w:color="000000" w:sz="8" w:space="0"/>
            </w:tcBorders>
            <w:shd w:val="clear" w:color="auto" w:fill="auto"/>
            <w:noWrap/>
            <w:vAlign w:val="center"/>
          </w:tcPr>
          <w:p w14:paraId="796D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8E1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472DC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w:t>
            </w:r>
          </w:p>
        </w:tc>
        <w:tc>
          <w:tcPr>
            <w:tcW w:w="1050" w:type="dxa"/>
            <w:tcBorders>
              <w:top w:val="nil"/>
              <w:left w:val="nil"/>
              <w:bottom w:val="single" w:color="000000" w:sz="8" w:space="0"/>
              <w:right w:val="single" w:color="000000" w:sz="8" w:space="0"/>
            </w:tcBorders>
            <w:shd w:val="clear" w:color="auto" w:fill="DDEBF7"/>
            <w:noWrap/>
            <w:vAlign w:val="center"/>
          </w:tcPr>
          <w:p w14:paraId="3F30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3" w:type="dxa"/>
            <w:tcBorders>
              <w:top w:val="nil"/>
              <w:left w:val="nil"/>
              <w:bottom w:val="single" w:color="000000" w:sz="8" w:space="0"/>
              <w:right w:val="single" w:color="000000" w:sz="8" w:space="0"/>
            </w:tcBorders>
            <w:shd w:val="clear" w:color="auto" w:fill="DDEBF7"/>
            <w:noWrap/>
            <w:vAlign w:val="center"/>
          </w:tcPr>
          <w:p w14:paraId="146B1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1" w:type="dxa"/>
            <w:tcBorders>
              <w:top w:val="nil"/>
              <w:left w:val="nil"/>
              <w:bottom w:val="single" w:color="000000" w:sz="8" w:space="0"/>
              <w:right w:val="single" w:color="000000" w:sz="8" w:space="0"/>
            </w:tcBorders>
            <w:shd w:val="clear" w:color="auto" w:fill="DDEBF7"/>
            <w:noWrap/>
            <w:vAlign w:val="center"/>
          </w:tcPr>
          <w:p w14:paraId="4F1D6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nil"/>
              <w:left w:val="nil"/>
              <w:bottom w:val="single" w:color="000000" w:sz="8" w:space="0"/>
              <w:right w:val="single" w:color="000000" w:sz="8" w:space="0"/>
            </w:tcBorders>
            <w:shd w:val="clear" w:color="auto" w:fill="DDEBF7"/>
            <w:noWrap/>
            <w:vAlign w:val="center"/>
          </w:tcPr>
          <w:p w14:paraId="289AF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129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304E8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050" w:type="dxa"/>
            <w:tcBorders>
              <w:top w:val="nil"/>
              <w:left w:val="nil"/>
              <w:bottom w:val="single" w:color="000000" w:sz="8" w:space="0"/>
              <w:right w:val="single" w:color="000000" w:sz="8" w:space="0"/>
            </w:tcBorders>
            <w:shd w:val="clear" w:color="auto" w:fill="auto"/>
            <w:noWrap/>
            <w:vAlign w:val="center"/>
          </w:tcPr>
          <w:p w14:paraId="6DD67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3" w:type="dxa"/>
            <w:tcBorders>
              <w:top w:val="nil"/>
              <w:left w:val="nil"/>
              <w:bottom w:val="single" w:color="000000" w:sz="8" w:space="0"/>
              <w:right w:val="single" w:color="000000" w:sz="8" w:space="0"/>
            </w:tcBorders>
            <w:shd w:val="clear" w:color="auto" w:fill="auto"/>
            <w:noWrap/>
            <w:vAlign w:val="center"/>
          </w:tcPr>
          <w:p w14:paraId="39B6C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81" w:type="dxa"/>
            <w:tcBorders>
              <w:top w:val="nil"/>
              <w:left w:val="nil"/>
              <w:bottom w:val="single" w:color="000000" w:sz="8" w:space="0"/>
              <w:right w:val="single" w:color="000000" w:sz="8" w:space="0"/>
            </w:tcBorders>
            <w:shd w:val="clear" w:color="auto" w:fill="auto"/>
            <w:noWrap/>
            <w:vAlign w:val="center"/>
          </w:tcPr>
          <w:p w14:paraId="5F27031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w:t>
            </w:r>
          </w:p>
        </w:tc>
        <w:tc>
          <w:tcPr>
            <w:tcW w:w="1725" w:type="dxa"/>
            <w:tcBorders>
              <w:top w:val="nil"/>
              <w:left w:val="nil"/>
              <w:bottom w:val="single" w:color="000000" w:sz="8" w:space="0"/>
              <w:right w:val="single" w:color="000000" w:sz="8" w:space="0"/>
            </w:tcBorders>
            <w:shd w:val="clear" w:color="auto" w:fill="auto"/>
            <w:noWrap/>
            <w:vAlign w:val="center"/>
          </w:tcPr>
          <w:p w14:paraId="26BFB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EDF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4B2E1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其他福利支出</w:t>
            </w:r>
          </w:p>
        </w:tc>
        <w:tc>
          <w:tcPr>
            <w:tcW w:w="1050" w:type="dxa"/>
            <w:tcBorders>
              <w:top w:val="nil"/>
              <w:left w:val="nil"/>
              <w:bottom w:val="single" w:color="000000" w:sz="8" w:space="0"/>
              <w:right w:val="single" w:color="000000" w:sz="8" w:space="0"/>
            </w:tcBorders>
            <w:shd w:val="clear" w:color="auto" w:fill="DDEBF7"/>
            <w:noWrap/>
            <w:vAlign w:val="center"/>
          </w:tcPr>
          <w:p w14:paraId="1E833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13" w:type="dxa"/>
            <w:tcBorders>
              <w:top w:val="nil"/>
              <w:left w:val="nil"/>
              <w:bottom w:val="single" w:color="000000" w:sz="8" w:space="0"/>
              <w:right w:val="single" w:color="000000" w:sz="8" w:space="0"/>
            </w:tcBorders>
            <w:shd w:val="clear" w:color="auto" w:fill="DDEBF7"/>
            <w:noWrap/>
            <w:vAlign w:val="center"/>
          </w:tcPr>
          <w:p w14:paraId="1D4CD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97,864.10</w:t>
            </w:r>
          </w:p>
        </w:tc>
        <w:tc>
          <w:tcPr>
            <w:tcW w:w="1481" w:type="dxa"/>
            <w:tcBorders>
              <w:top w:val="nil"/>
              <w:left w:val="nil"/>
              <w:bottom w:val="single" w:color="000000" w:sz="8" w:space="0"/>
              <w:right w:val="single" w:color="000000" w:sz="8" w:space="0"/>
            </w:tcBorders>
            <w:shd w:val="clear" w:color="auto" w:fill="DDEBF7"/>
            <w:noWrap/>
            <w:vAlign w:val="center"/>
          </w:tcPr>
          <w:p w14:paraId="5FBE8EC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100,770.00</w:t>
            </w:r>
          </w:p>
        </w:tc>
        <w:tc>
          <w:tcPr>
            <w:tcW w:w="1725" w:type="dxa"/>
            <w:tcBorders>
              <w:top w:val="nil"/>
              <w:left w:val="nil"/>
              <w:bottom w:val="single" w:color="000000" w:sz="8" w:space="0"/>
              <w:right w:val="single" w:color="000000" w:sz="8" w:space="0"/>
            </w:tcBorders>
            <w:shd w:val="clear" w:color="auto" w:fill="DDEBF7"/>
            <w:noWrap/>
            <w:vAlign w:val="center"/>
          </w:tcPr>
          <w:p w14:paraId="28030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198,634.10</w:t>
            </w:r>
          </w:p>
        </w:tc>
      </w:tr>
      <w:tr w14:paraId="1694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60FC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50" w:type="dxa"/>
            <w:tcBorders>
              <w:top w:val="nil"/>
              <w:left w:val="nil"/>
              <w:bottom w:val="single" w:color="000000" w:sz="8" w:space="0"/>
              <w:right w:val="single" w:color="000000" w:sz="8" w:space="0"/>
            </w:tcBorders>
            <w:shd w:val="clear" w:color="auto" w:fill="auto"/>
            <w:noWrap/>
            <w:vAlign w:val="center"/>
          </w:tcPr>
          <w:p w14:paraId="26B55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913" w:type="dxa"/>
            <w:tcBorders>
              <w:top w:val="nil"/>
              <w:left w:val="nil"/>
              <w:bottom w:val="single" w:color="000000" w:sz="8" w:space="0"/>
              <w:right w:val="single" w:color="000000" w:sz="8" w:space="0"/>
            </w:tcBorders>
            <w:shd w:val="clear" w:color="auto" w:fill="auto"/>
            <w:noWrap/>
            <w:vAlign w:val="center"/>
          </w:tcPr>
          <w:p w14:paraId="75942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97,864.10</w:t>
            </w:r>
          </w:p>
        </w:tc>
        <w:tc>
          <w:tcPr>
            <w:tcW w:w="1481" w:type="dxa"/>
            <w:tcBorders>
              <w:top w:val="nil"/>
              <w:left w:val="nil"/>
              <w:bottom w:val="single" w:color="000000" w:sz="8" w:space="0"/>
              <w:right w:val="single" w:color="000000" w:sz="8" w:space="0"/>
            </w:tcBorders>
            <w:shd w:val="clear" w:color="auto" w:fill="auto"/>
            <w:noWrap/>
            <w:vAlign w:val="center"/>
          </w:tcPr>
          <w:p w14:paraId="3DD9E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100,770.00</w:t>
            </w:r>
          </w:p>
        </w:tc>
        <w:tc>
          <w:tcPr>
            <w:tcW w:w="1725" w:type="dxa"/>
            <w:tcBorders>
              <w:top w:val="nil"/>
              <w:left w:val="nil"/>
              <w:bottom w:val="single" w:color="000000" w:sz="8" w:space="0"/>
              <w:right w:val="single" w:color="000000" w:sz="8" w:space="0"/>
            </w:tcBorders>
            <w:shd w:val="clear" w:color="auto" w:fill="auto"/>
            <w:noWrap/>
            <w:vAlign w:val="center"/>
          </w:tcPr>
          <w:p w14:paraId="7BEA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198,634.10</w:t>
            </w:r>
          </w:p>
        </w:tc>
      </w:tr>
    </w:tbl>
    <w:p w14:paraId="0CE64E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20"/>
          <w:szCs w:val="20"/>
          <w:lang w:val="en-US" w:eastAsia="zh-CN"/>
        </w:rPr>
      </w:pPr>
    </w:p>
    <w:tbl>
      <w:tblPr>
        <w:tblStyle w:val="11"/>
        <w:tblW w:w="8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2"/>
        <w:gridCol w:w="1255"/>
        <w:gridCol w:w="1764"/>
        <w:gridCol w:w="1253"/>
        <w:gridCol w:w="1154"/>
        <w:gridCol w:w="1450"/>
      </w:tblGrid>
      <w:tr w14:paraId="3C4A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962"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DBDF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基本支出－公用经费明细</w:t>
            </w:r>
          </w:p>
        </w:tc>
        <w:tc>
          <w:tcPr>
            <w:tcW w:w="1255" w:type="dxa"/>
            <w:tcBorders>
              <w:top w:val="single" w:color="000000" w:sz="8" w:space="0"/>
              <w:left w:val="nil"/>
              <w:bottom w:val="single" w:color="000000" w:sz="8" w:space="0"/>
              <w:right w:val="single" w:color="000000" w:sz="8" w:space="0"/>
            </w:tcBorders>
            <w:shd w:val="clear" w:color="auto" w:fill="DDEBF7"/>
            <w:noWrap/>
            <w:vAlign w:val="center"/>
          </w:tcPr>
          <w:p w14:paraId="142B5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w:t>
            </w:r>
          </w:p>
        </w:tc>
        <w:tc>
          <w:tcPr>
            <w:tcW w:w="1764" w:type="dxa"/>
            <w:tcBorders>
              <w:top w:val="single" w:color="000000" w:sz="8" w:space="0"/>
              <w:left w:val="nil"/>
              <w:bottom w:val="single" w:color="000000" w:sz="8" w:space="0"/>
              <w:right w:val="single" w:color="000000" w:sz="8" w:space="0"/>
            </w:tcBorders>
            <w:shd w:val="clear" w:color="auto" w:fill="DDEBF7"/>
            <w:noWrap/>
            <w:vAlign w:val="center"/>
          </w:tcPr>
          <w:p w14:paraId="6286A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将人员经费从公用经费中调出（－）</w:t>
            </w:r>
          </w:p>
        </w:tc>
        <w:tc>
          <w:tcPr>
            <w:tcW w:w="1253" w:type="dxa"/>
            <w:tcBorders>
              <w:top w:val="single" w:color="000000" w:sz="8" w:space="0"/>
              <w:left w:val="nil"/>
              <w:bottom w:val="single" w:color="000000" w:sz="8" w:space="0"/>
              <w:right w:val="single" w:color="000000" w:sz="8" w:space="0"/>
            </w:tcBorders>
            <w:shd w:val="clear" w:color="auto" w:fill="DDEBF7"/>
            <w:noWrap/>
            <w:vAlign w:val="center"/>
          </w:tcPr>
          <w:p w14:paraId="63E0A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将项目支出从公用经费中调出（－）</w:t>
            </w:r>
          </w:p>
        </w:tc>
        <w:tc>
          <w:tcPr>
            <w:tcW w:w="1154" w:type="dxa"/>
            <w:tcBorders>
              <w:top w:val="single" w:color="000000" w:sz="8" w:space="0"/>
              <w:left w:val="nil"/>
              <w:bottom w:val="single" w:color="000000" w:sz="8" w:space="0"/>
              <w:right w:val="single" w:color="000000" w:sz="8" w:space="0"/>
            </w:tcBorders>
            <w:shd w:val="clear" w:color="auto" w:fill="DDEBF7"/>
            <w:noWrap/>
            <w:vAlign w:val="center"/>
          </w:tcPr>
          <w:p w14:paraId="62CAD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从项目支出调入（+）</w:t>
            </w:r>
          </w:p>
        </w:tc>
        <w:tc>
          <w:tcPr>
            <w:tcW w:w="1450" w:type="dxa"/>
            <w:tcBorders>
              <w:top w:val="single" w:color="000000" w:sz="8" w:space="0"/>
              <w:left w:val="nil"/>
              <w:bottom w:val="single" w:color="000000" w:sz="8" w:space="0"/>
              <w:right w:val="single" w:color="000000" w:sz="8" w:space="0"/>
            </w:tcBorders>
            <w:shd w:val="clear" w:color="auto" w:fill="DDEBF7"/>
            <w:noWrap/>
            <w:vAlign w:val="center"/>
          </w:tcPr>
          <w:p w14:paraId="76B67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3D8AB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62" w:type="dxa"/>
            <w:tcBorders>
              <w:top w:val="nil"/>
              <w:left w:val="single" w:color="000000" w:sz="8" w:space="0"/>
              <w:bottom w:val="single" w:color="000000" w:sz="8" w:space="0"/>
              <w:right w:val="single" w:color="000000" w:sz="8" w:space="0"/>
            </w:tcBorders>
            <w:shd w:val="clear" w:color="auto" w:fill="auto"/>
            <w:noWrap/>
            <w:vAlign w:val="center"/>
          </w:tcPr>
          <w:p w14:paraId="2FFB6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w:t>
            </w:r>
          </w:p>
        </w:tc>
        <w:tc>
          <w:tcPr>
            <w:tcW w:w="1255" w:type="dxa"/>
            <w:tcBorders>
              <w:top w:val="nil"/>
              <w:left w:val="nil"/>
              <w:bottom w:val="single" w:color="000000" w:sz="8" w:space="0"/>
              <w:right w:val="single" w:color="000000" w:sz="8" w:space="0"/>
            </w:tcBorders>
            <w:shd w:val="clear" w:color="auto" w:fill="auto"/>
            <w:noWrap/>
            <w:vAlign w:val="center"/>
          </w:tcPr>
          <w:p w14:paraId="3031D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97,864.10</w:t>
            </w:r>
          </w:p>
        </w:tc>
        <w:tc>
          <w:tcPr>
            <w:tcW w:w="1764" w:type="dxa"/>
            <w:tcBorders>
              <w:top w:val="nil"/>
              <w:left w:val="nil"/>
              <w:bottom w:val="single" w:color="000000" w:sz="8" w:space="0"/>
              <w:right w:val="single" w:color="000000" w:sz="8" w:space="0"/>
            </w:tcBorders>
            <w:shd w:val="clear" w:color="auto" w:fill="auto"/>
            <w:noWrap/>
            <w:vAlign w:val="center"/>
          </w:tcPr>
          <w:p w14:paraId="19AC2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97,864.10</w:t>
            </w:r>
          </w:p>
        </w:tc>
        <w:tc>
          <w:tcPr>
            <w:tcW w:w="1253" w:type="dxa"/>
            <w:tcBorders>
              <w:top w:val="nil"/>
              <w:left w:val="nil"/>
              <w:bottom w:val="single" w:color="000000" w:sz="8" w:space="0"/>
              <w:right w:val="single" w:color="000000" w:sz="8" w:space="0"/>
            </w:tcBorders>
            <w:shd w:val="clear" w:color="auto" w:fill="auto"/>
            <w:noWrap/>
            <w:vAlign w:val="center"/>
          </w:tcPr>
          <w:p w14:paraId="3B831CDA">
            <w:pPr>
              <w:jc w:val="center"/>
              <w:rPr>
                <w:rFonts w:hint="eastAsia" w:ascii="宋体" w:hAnsi="宋体" w:eastAsia="宋体" w:cs="宋体"/>
                <w:i w:val="0"/>
                <w:iCs w:val="0"/>
                <w:color w:val="000000"/>
                <w:sz w:val="20"/>
                <w:szCs w:val="20"/>
                <w:u w:val="none"/>
              </w:rPr>
            </w:pPr>
          </w:p>
        </w:tc>
        <w:tc>
          <w:tcPr>
            <w:tcW w:w="1154" w:type="dxa"/>
            <w:tcBorders>
              <w:top w:val="nil"/>
              <w:left w:val="nil"/>
              <w:bottom w:val="single" w:color="000000" w:sz="8" w:space="0"/>
              <w:right w:val="single" w:color="000000" w:sz="8" w:space="0"/>
            </w:tcBorders>
            <w:shd w:val="clear" w:color="auto" w:fill="auto"/>
            <w:noWrap/>
            <w:vAlign w:val="center"/>
          </w:tcPr>
          <w:p w14:paraId="4F2EB12E">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auto"/>
            <w:noWrap/>
            <w:vAlign w:val="center"/>
          </w:tcPr>
          <w:p w14:paraId="7D992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0A8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62" w:type="dxa"/>
            <w:tcBorders>
              <w:top w:val="nil"/>
              <w:left w:val="single" w:color="000000" w:sz="8" w:space="0"/>
              <w:bottom w:val="single" w:color="000000" w:sz="8" w:space="0"/>
              <w:right w:val="single" w:color="000000" w:sz="8" w:space="0"/>
            </w:tcBorders>
            <w:shd w:val="clear" w:color="auto" w:fill="DDEBF7"/>
            <w:noWrap/>
            <w:vAlign w:val="center"/>
          </w:tcPr>
          <w:p w14:paraId="4FB24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基本支出－公用经费－办公室修缮</w:t>
            </w:r>
          </w:p>
        </w:tc>
        <w:tc>
          <w:tcPr>
            <w:tcW w:w="1255" w:type="dxa"/>
            <w:tcBorders>
              <w:top w:val="nil"/>
              <w:left w:val="nil"/>
              <w:bottom w:val="single" w:color="000000" w:sz="8" w:space="0"/>
              <w:right w:val="single" w:color="000000" w:sz="8" w:space="0"/>
            </w:tcBorders>
            <w:shd w:val="clear" w:color="auto" w:fill="DDEBF7"/>
            <w:noWrap/>
            <w:vAlign w:val="center"/>
          </w:tcPr>
          <w:p w14:paraId="41410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604,177.41</w:t>
            </w:r>
          </w:p>
        </w:tc>
        <w:tc>
          <w:tcPr>
            <w:tcW w:w="1764" w:type="dxa"/>
            <w:tcBorders>
              <w:top w:val="nil"/>
              <w:left w:val="nil"/>
              <w:bottom w:val="single" w:color="000000" w:sz="8" w:space="0"/>
              <w:right w:val="single" w:color="000000" w:sz="8" w:space="0"/>
            </w:tcBorders>
            <w:shd w:val="clear" w:color="auto" w:fill="DDEBF7"/>
            <w:noWrap/>
            <w:vAlign w:val="center"/>
          </w:tcPr>
          <w:p w14:paraId="2952C4B5">
            <w:pPr>
              <w:jc w:val="center"/>
              <w:rPr>
                <w:rFonts w:hint="eastAsia" w:ascii="宋体" w:hAnsi="宋体" w:eastAsia="宋体" w:cs="宋体"/>
                <w:i w:val="0"/>
                <w:iCs w:val="0"/>
                <w:color w:val="000000"/>
                <w:sz w:val="20"/>
                <w:szCs w:val="20"/>
                <w:u w:val="none"/>
              </w:rPr>
            </w:pPr>
          </w:p>
        </w:tc>
        <w:tc>
          <w:tcPr>
            <w:tcW w:w="1253" w:type="dxa"/>
            <w:tcBorders>
              <w:top w:val="nil"/>
              <w:left w:val="nil"/>
              <w:bottom w:val="single" w:color="000000" w:sz="8" w:space="0"/>
              <w:right w:val="single" w:color="000000" w:sz="8" w:space="0"/>
            </w:tcBorders>
            <w:shd w:val="clear" w:color="auto" w:fill="DDEBF7"/>
            <w:noWrap/>
            <w:vAlign w:val="center"/>
          </w:tcPr>
          <w:p w14:paraId="6A634DDD">
            <w:pPr>
              <w:jc w:val="center"/>
              <w:rPr>
                <w:rFonts w:hint="eastAsia" w:ascii="宋体" w:hAnsi="宋体" w:eastAsia="宋体" w:cs="宋体"/>
                <w:i w:val="0"/>
                <w:iCs w:val="0"/>
                <w:color w:val="000000"/>
                <w:sz w:val="20"/>
                <w:szCs w:val="20"/>
                <w:u w:val="none"/>
                <w:lang w:eastAsia="zh-CN"/>
              </w:rPr>
            </w:pPr>
          </w:p>
        </w:tc>
        <w:tc>
          <w:tcPr>
            <w:tcW w:w="1154" w:type="dxa"/>
            <w:tcBorders>
              <w:top w:val="nil"/>
              <w:left w:val="nil"/>
              <w:bottom w:val="single" w:color="000000" w:sz="8" w:space="0"/>
              <w:right w:val="single" w:color="000000" w:sz="8" w:space="0"/>
            </w:tcBorders>
            <w:shd w:val="clear" w:color="auto" w:fill="DDEBF7"/>
            <w:noWrap/>
            <w:vAlign w:val="center"/>
          </w:tcPr>
          <w:p w14:paraId="4DD58EA0">
            <w:pPr>
              <w:jc w:val="center"/>
              <w:rPr>
                <w:rFonts w:hint="eastAsia" w:ascii="宋体" w:hAnsi="宋体" w:eastAsia="宋体" w:cs="宋体"/>
                <w:i w:val="0"/>
                <w:iCs w:val="0"/>
                <w:color w:val="000000"/>
                <w:sz w:val="20"/>
                <w:szCs w:val="20"/>
                <w:u w:val="none"/>
              </w:rPr>
            </w:pPr>
          </w:p>
        </w:tc>
        <w:tc>
          <w:tcPr>
            <w:tcW w:w="1450" w:type="dxa"/>
            <w:tcBorders>
              <w:top w:val="nil"/>
              <w:left w:val="nil"/>
              <w:bottom w:val="single" w:color="000000" w:sz="8" w:space="0"/>
              <w:right w:val="single" w:color="000000" w:sz="8" w:space="0"/>
            </w:tcBorders>
            <w:shd w:val="clear" w:color="auto" w:fill="DDEBF7"/>
            <w:noWrap/>
            <w:vAlign w:val="center"/>
          </w:tcPr>
          <w:p w14:paraId="59A2F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604,177.41</w:t>
            </w:r>
          </w:p>
        </w:tc>
      </w:tr>
      <w:tr w14:paraId="1663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62" w:type="dxa"/>
            <w:tcBorders>
              <w:top w:val="nil"/>
              <w:left w:val="single" w:color="000000" w:sz="8" w:space="0"/>
              <w:bottom w:val="single" w:color="auto" w:sz="4" w:space="0"/>
              <w:right w:val="single" w:color="000000" w:sz="8" w:space="0"/>
            </w:tcBorders>
            <w:shd w:val="clear" w:color="auto" w:fill="auto"/>
            <w:noWrap/>
            <w:vAlign w:val="center"/>
          </w:tcPr>
          <w:p w14:paraId="6A3DC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基本支出－公用经费－食堂餐费</w:t>
            </w:r>
          </w:p>
        </w:tc>
        <w:tc>
          <w:tcPr>
            <w:tcW w:w="1255" w:type="dxa"/>
            <w:tcBorders>
              <w:top w:val="nil"/>
              <w:left w:val="nil"/>
              <w:bottom w:val="single" w:color="auto" w:sz="4" w:space="0"/>
              <w:right w:val="single" w:color="000000" w:sz="8" w:space="0"/>
            </w:tcBorders>
            <w:shd w:val="clear" w:color="auto" w:fill="auto"/>
            <w:noWrap/>
            <w:vAlign w:val="center"/>
          </w:tcPr>
          <w:p w14:paraId="3CE0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43,025.92</w:t>
            </w:r>
          </w:p>
        </w:tc>
        <w:tc>
          <w:tcPr>
            <w:tcW w:w="1764" w:type="dxa"/>
            <w:tcBorders>
              <w:top w:val="nil"/>
              <w:left w:val="nil"/>
              <w:bottom w:val="single" w:color="auto" w:sz="4" w:space="0"/>
              <w:right w:val="single" w:color="000000" w:sz="8" w:space="0"/>
            </w:tcBorders>
            <w:shd w:val="clear" w:color="auto" w:fill="auto"/>
            <w:noWrap/>
            <w:vAlign w:val="center"/>
          </w:tcPr>
          <w:p w14:paraId="7BE463E7">
            <w:pPr>
              <w:jc w:val="center"/>
              <w:rPr>
                <w:rFonts w:hint="eastAsia" w:ascii="宋体" w:hAnsi="宋体" w:eastAsia="宋体" w:cs="宋体"/>
                <w:i w:val="0"/>
                <w:iCs w:val="0"/>
                <w:color w:val="000000"/>
                <w:sz w:val="20"/>
                <w:szCs w:val="20"/>
                <w:u w:val="none"/>
              </w:rPr>
            </w:pPr>
          </w:p>
        </w:tc>
        <w:tc>
          <w:tcPr>
            <w:tcW w:w="1253" w:type="dxa"/>
            <w:tcBorders>
              <w:top w:val="nil"/>
              <w:left w:val="nil"/>
              <w:bottom w:val="single" w:color="auto" w:sz="4" w:space="0"/>
              <w:right w:val="single" w:color="000000" w:sz="8" w:space="0"/>
            </w:tcBorders>
            <w:shd w:val="clear" w:color="auto" w:fill="auto"/>
            <w:noWrap/>
            <w:vAlign w:val="center"/>
          </w:tcPr>
          <w:p w14:paraId="6FB71B3A">
            <w:pPr>
              <w:jc w:val="center"/>
              <w:rPr>
                <w:rFonts w:hint="eastAsia" w:ascii="宋体" w:hAnsi="宋体" w:eastAsia="宋体" w:cs="宋体"/>
                <w:i w:val="0"/>
                <w:iCs w:val="0"/>
                <w:color w:val="000000"/>
                <w:sz w:val="20"/>
                <w:szCs w:val="20"/>
                <w:u w:val="none"/>
              </w:rPr>
            </w:pPr>
          </w:p>
        </w:tc>
        <w:tc>
          <w:tcPr>
            <w:tcW w:w="1154" w:type="dxa"/>
            <w:tcBorders>
              <w:top w:val="nil"/>
              <w:left w:val="nil"/>
              <w:bottom w:val="single" w:color="auto" w:sz="4" w:space="0"/>
              <w:right w:val="single" w:color="000000" w:sz="8" w:space="0"/>
            </w:tcBorders>
            <w:shd w:val="clear" w:color="auto" w:fill="auto"/>
            <w:noWrap/>
            <w:vAlign w:val="center"/>
          </w:tcPr>
          <w:p w14:paraId="20471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27,814.97</w:t>
            </w:r>
          </w:p>
        </w:tc>
        <w:tc>
          <w:tcPr>
            <w:tcW w:w="1450" w:type="dxa"/>
            <w:tcBorders>
              <w:top w:val="nil"/>
              <w:left w:val="nil"/>
              <w:bottom w:val="single" w:color="auto" w:sz="4" w:space="0"/>
              <w:right w:val="single" w:color="000000" w:sz="8" w:space="0"/>
            </w:tcBorders>
            <w:shd w:val="clear" w:color="auto" w:fill="auto"/>
            <w:noWrap/>
            <w:vAlign w:val="center"/>
          </w:tcPr>
          <w:p w14:paraId="2FB07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70,840.89</w:t>
            </w:r>
          </w:p>
        </w:tc>
      </w:tr>
      <w:tr w14:paraId="69E5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62" w:type="dxa"/>
            <w:tcBorders>
              <w:top w:val="single" w:color="auto" w:sz="4" w:space="0"/>
              <w:left w:val="single" w:color="auto" w:sz="4" w:space="0"/>
              <w:bottom w:val="single" w:color="auto" w:sz="4" w:space="0"/>
              <w:right w:val="single" w:color="000000" w:sz="8" w:space="0"/>
            </w:tcBorders>
            <w:shd w:val="clear" w:color="auto" w:fill="DDEBF7"/>
            <w:noWrap/>
            <w:vAlign w:val="center"/>
          </w:tcPr>
          <w:p w14:paraId="1CC4B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255" w:type="dxa"/>
            <w:tcBorders>
              <w:top w:val="single" w:color="auto" w:sz="4" w:space="0"/>
              <w:left w:val="nil"/>
              <w:bottom w:val="single" w:color="auto" w:sz="4" w:space="0"/>
              <w:right w:val="single" w:color="000000" w:sz="8" w:space="0"/>
            </w:tcBorders>
            <w:shd w:val="clear" w:color="auto" w:fill="DDEBF7"/>
            <w:noWrap/>
            <w:vAlign w:val="center"/>
          </w:tcPr>
          <w:p w14:paraId="388CE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50,341.18</w:t>
            </w:r>
          </w:p>
        </w:tc>
        <w:tc>
          <w:tcPr>
            <w:tcW w:w="1764" w:type="dxa"/>
            <w:tcBorders>
              <w:top w:val="single" w:color="auto" w:sz="4" w:space="0"/>
              <w:left w:val="nil"/>
              <w:bottom w:val="single" w:color="auto" w:sz="4" w:space="0"/>
              <w:right w:val="single" w:color="000000" w:sz="8" w:space="0"/>
            </w:tcBorders>
            <w:shd w:val="clear" w:color="auto" w:fill="DDEBF7"/>
            <w:noWrap/>
            <w:vAlign w:val="center"/>
          </w:tcPr>
          <w:p w14:paraId="55A14346">
            <w:pPr>
              <w:jc w:val="center"/>
              <w:rPr>
                <w:rFonts w:hint="eastAsia" w:ascii="宋体" w:hAnsi="宋体" w:eastAsia="宋体" w:cs="宋体"/>
                <w:i w:val="0"/>
                <w:iCs w:val="0"/>
                <w:color w:val="000000"/>
                <w:sz w:val="20"/>
                <w:szCs w:val="20"/>
                <w:u w:val="none"/>
              </w:rPr>
            </w:pPr>
          </w:p>
        </w:tc>
        <w:tc>
          <w:tcPr>
            <w:tcW w:w="1253" w:type="dxa"/>
            <w:tcBorders>
              <w:top w:val="single" w:color="auto" w:sz="4" w:space="0"/>
              <w:left w:val="nil"/>
              <w:bottom w:val="single" w:color="auto" w:sz="4" w:space="0"/>
              <w:right w:val="single" w:color="000000" w:sz="8" w:space="0"/>
            </w:tcBorders>
            <w:shd w:val="clear" w:color="auto" w:fill="DDEBF7"/>
            <w:noWrap/>
            <w:vAlign w:val="center"/>
          </w:tcPr>
          <w:p w14:paraId="6D00942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50,341.18</w:t>
            </w:r>
          </w:p>
        </w:tc>
        <w:tc>
          <w:tcPr>
            <w:tcW w:w="1154" w:type="dxa"/>
            <w:tcBorders>
              <w:top w:val="single" w:color="auto" w:sz="4" w:space="0"/>
              <w:left w:val="nil"/>
              <w:bottom w:val="single" w:color="auto" w:sz="4" w:space="0"/>
              <w:right w:val="single" w:color="000000" w:sz="8" w:space="0"/>
            </w:tcBorders>
            <w:shd w:val="clear" w:color="auto" w:fill="DDEBF7"/>
            <w:noWrap/>
            <w:vAlign w:val="center"/>
          </w:tcPr>
          <w:p w14:paraId="0AB1F382">
            <w:pPr>
              <w:jc w:val="center"/>
              <w:rPr>
                <w:rFonts w:hint="eastAsia" w:ascii="宋体" w:hAnsi="宋体" w:eastAsia="宋体" w:cs="宋体"/>
                <w:i w:val="0"/>
                <w:iCs w:val="0"/>
                <w:color w:val="000000"/>
                <w:sz w:val="20"/>
                <w:szCs w:val="20"/>
                <w:u w:val="none"/>
              </w:rPr>
            </w:pPr>
          </w:p>
        </w:tc>
        <w:tc>
          <w:tcPr>
            <w:tcW w:w="1450" w:type="dxa"/>
            <w:tcBorders>
              <w:top w:val="single" w:color="auto" w:sz="4" w:space="0"/>
              <w:left w:val="nil"/>
              <w:bottom w:val="single" w:color="auto" w:sz="4" w:space="0"/>
              <w:right w:val="single" w:color="auto" w:sz="4" w:space="0"/>
            </w:tcBorders>
            <w:shd w:val="clear" w:color="auto" w:fill="DDEBF7"/>
            <w:noWrap/>
            <w:vAlign w:val="center"/>
          </w:tcPr>
          <w:p w14:paraId="31CB4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41A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62"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72F20DE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基本支出－公用经费－办公用品及耗材</w:t>
            </w:r>
          </w:p>
        </w:tc>
        <w:tc>
          <w:tcPr>
            <w:tcW w:w="1255" w:type="dxa"/>
            <w:tcBorders>
              <w:top w:val="single" w:color="auto" w:sz="4" w:space="0"/>
              <w:left w:val="nil"/>
              <w:bottom w:val="single" w:color="000000" w:sz="8" w:space="0"/>
              <w:right w:val="single" w:color="000000" w:sz="8" w:space="0"/>
            </w:tcBorders>
            <w:shd w:val="clear" w:color="auto" w:fill="auto"/>
            <w:noWrap/>
            <w:vAlign w:val="center"/>
          </w:tcPr>
          <w:p w14:paraId="7CA83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19,594.97</w:t>
            </w:r>
          </w:p>
        </w:tc>
        <w:tc>
          <w:tcPr>
            <w:tcW w:w="1764" w:type="dxa"/>
            <w:tcBorders>
              <w:top w:val="single" w:color="auto" w:sz="4" w:space="0"/>
              <w:left w:val="nil"/>
              <w:bottom w:val="single" w:color="000000" w:sz="8" w:space="0"/>
              <w:right w:val="single" w:color="000000" w:sz="8" w:space="0"/>
            </w:tcBorders>
            <w:shd w:val="clear" w:color="auto" w:fill="auto"/>
            <w:noWrap/>
            <w:vAlign w:val="center"/>
          </w:tcPr>
          <w:p w14:paraId="105D8E1D">
            <w:pPr>
              <w:jc w:val="center"/>
              <w:rPr>
                <w:rFonts w:hint="eastAsia" w:ascii="宋体" w:hAnsi="宋体" w:eastAsia="宋体" w:cs="宋体"/>
                <w:i w:val="0"/>
                <w:iCs w:val="0"/>
                <w:color w:val="000000"/>
                <w:sz w:val="20"/>
                <w:szCs w:val="20"/>
                <w:u w:val="none"/>
              </w:rPr>
            </w:pPr>
          </w:p>
        </w:tc>
        <w:tc>
          <w:tcPr>
            <w:tcW w:w="1253" w:type="dxa"/>
            <w:tcBorders>
              <w:top w:val="single" w:color="auto" w:sz="4" w:space="0"/>
              <w:left w:val="nil"/>
              <w:bottom w:val="single" w:color="000000" w:sz="8" w:space="0"/>
              <w:right w:val="single" w:color="000000" w:sz="8" w:space="0"/>
            </w:tcBorders>
            <w:shd w:val="clear" w:color="auto" w:fill="auto"/>
            <w:noWrap/>
            <w:vAlign w:val="center"/>
          </w:tcPr>
          <w:p w14:paraId="28872F11">
            <w:pPr>
              <w:jc w:val="center"/>
              <w:rPr>
                <w:rFonts w:hint="eastAsia" w:ascii="宋体" w:hAnsi="宋体" w:eastAsia="宋体" w:cs="宋体"/>
                <w:i w:val="0"/>
                <w:iCs w:val="0"/>
                <w:color w:val="000000"/>
                <w:sz w:val="20"/>
                <w:szCs w:val="20"/>
                <w:u w:val="none"/>
              </w:rPr>
            </w:pPr>
          </w:p>
        </w:tc>
        <w:tc>
          <w:tcPr>
            <w:tcW w:w="1154" w:type="dxa"/>
            <w:tcBorders>
              <w:top w:val="single" w:color="auto" w:sz="4" w:space="0"/>
              <w:left w:val="nil"/>
              <w:bottom w:val="single" w:color="000000" w:sz="8" w:space="0"/>
              <w:right w:val="single" w:color="000000" w:sz="8" w:space="0"/>
            </w:tcBorders>
            <w:shd w:val="clear" w:color="auto" w:fill="auto"/>
            <w:noWrap/>
            <w:vAlign w:val="center"/>
          </w:tcPr>
          <w:p w14:paraId="094B7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20,787.65</w:t>
            </w:r>
          </w:p>
        </w:tc>
        <w:tc>
          <w:tcPr>
            <w:tcW w:w="1450" w:type="dxa"/>
            <w:tcBorders>
              <w:top w:val="single" w:color="auto" w:sz="4" w:space="0"/>
              <w:left w:val="nil"/>
              <w:bottom w:val="single" w:color="000000" w:sz="8" w:space="0"/>
              <w:right w:val="single" w:color="000000" w:sz="8" w:space="0"/>
            </w:tcBorders>
            <w:shd w:val="clear" w:color="auto" w:fill="auto"/>
            <w:noWrap/>
            <w:vAlign w:val="center"/>
          </w:tcPr>
          <w:p w14:paraId="0441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40,382.62</w:t>
            </w:r>
          </w:p>
        </w:tc>
      </w:tr>
      <w:tr w14:paraId="6FF9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62" w:type="dxa"/>
            <w:tcBorders>
              <w:top w:val="nil"/>
              <w:left w:val="single" w:color="000000" w:sz="8" w:space="0"/>
              <w:bottom w:val="single" w:color="000000" w:sz="8" w:space="0"/>
              <w:right w:val="single" w:color="000000" w:sz="8" w:space="0"/>
            </w:tcBorders>
            <w:shd w:val="clear" w:color="auto" w:fill="DDEBF7"/>
            <w:noWrap/>
            <w:vAlign w:val="center"/>
          </w:tcPr>
          <w:p w14:paraId="34658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基本支出-公用经费-咨询服务费等</w:t>
            </w:r>
          </w:p>
        </w:tc>
        <w:tc>
          <w:tcPr>
            <w:tcW w:w="1255" w:type="dxa"/>
            <w:tcBorders>
              <w:top w:val="nil"/>
              <w:left w:val="nil"/>
              <w:bottom w:val="single" w:color="000000" w:sz="8" w:space="0"/>
              <w:right w:val="single" w:color="000000" w:sz="8" w:space="0"/>
            </w:tcBorders>
            <w:shd w:val="clear" w:color="auto" w:fill="DDEBF7"/>
            <w:noWrap/>
            <w:vAlign w:val="center"/>
          </w:tcPr>
          <w:p w14:paraId="72F96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3,997.38</w:t>
            </w:r>
          </w:p>
        </w:tc>
        <w:tc>
          <w:tcPr>
            <w:tcW w:w="1764" w:type="dxa"/>
            <w:tcBorders>
              <w:top w:val="nil"/>
              <w:left w:val="nil"/>
              <w:bottom w:val="single" w:color="000000" w:sz="8" w:space="0"/>
              <w:right w:val="single" w:color="000000" w:sz="8" w:space="0"/>
            </w:tcBorders>
            <w:shd w:val="clear" w:color="auto" w:fill="DDEBF7"/>
            <w:noWrap/>
            <w:vAlign w:val="center"/>
          </w:tcPr>
          <w:p w14:paraId="7B2A45F7">
            <w:pPr>
              <w:jc w:val="center"/>
              <w:rPr>
                <w:rFonts w:hint="eastAsia" w:ascii="宋体" w:hAnsi="宋体" w:eastAsia="宋体" w:cs="宋体"/>
                <w:i w:val="0"/>
                <w:iCs w:val="0"/>
                <w:color w:val="000000"/>
                <w:sz w:val="20"/>
                <w:szCs w:val="20"/>
                <w:u w:val="none"/>
              </w:rPr>
            </w:pPr>
          </w:p>
        </w:tc>
        <w:tc>
          <w:tcPr>
            <w:tcW w:w="1253" w:type="dxa"/>
            <w:tcBorders>
              <w:top w:val="nil"/>
              <w:left w:val="nil"/>
              <w:bottom w:val="single" w:color="000000" w:sz="8" w:space="0"/>
              <w:right w:val="single" w:color="000000" w:sz="8" w:space="0"/>
            </w:tcBorders>
            <w:shd w:val="clear" w:color="auto" w:fill="DDEBF7"/>
            <w:noWrap/>
            <w:vAlign w:val="center"/>
          </w:tcPr>
          <w:p w14:paraId="082EA1C8">
            <w:pPr>
              <w:jc w:val="center"/>
              <w:rPr>
                <w:rFonts w:hint="eastAsia" w:ascii="宋体" w:hAnsi="宋体" w:eastAsia="宋体" w:cs="宋体"/>
                <w:i w:val="0"/>
                <w:iCs w:val="0"/>
                <w:color w:val="000000"/>
                <w:sz w:val="20"/>
                <w:szCs w:val="20"/>
                <w:u w:val="none"/>
                <w:lang w:eastAsia="zh-CN"/>
              </w:rPr>
            </w:pPr>
          </w:p>
        </w:tc>
        <w:tc>
          <w:tcPr>
            <w:tcW w:w="1154" w:type="dxa"/>
            <w:tcBorders>
              <w:top w:val="nil"/>
              <w:left w:val="nil"/>
              <w:bottom w:val="single" w:color="000000" w:sz="8" w:space="0"/>
              <w:right w:val="single" w:color="000000" w:sz="8" w:space="0"/>
            </w:tcBorders>
            <w:shd w:val="clear" w:color="auto" w:fill="DDEBF7"/>
            <w:noWrap/>
            <w:vAlign w:val="center"/>
          </w:tcPr>
          <w:p w14:paraId="22CB11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7,489.00</w:t>
            </w:r>
          </w:p>
        </w:tc>
        <w:tc>
          <w:tcPr>
            <w:tcW w:w="1450" w:type="dxa"/>
            <w:tcBorders>
              <w:top w:val="nil"/>
              <w:left w:val="nil"/>
              <w:bottom w:val="single" w:color="000000" w:sz="8" w:space="0"/>
              <w:right w:val="single" w:color="000000" w:sz="8" w:space="0"/>
            </w:tcBorders>
            <w:shd w:val="clear" w:color="auto" w:fill="DDEBF7"/>
            <w:noWrap/>
            <w:vAlign w:val="center"/>
          </w:tcPr>
          <w:p w14:paraId="7873901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11,486.38</w:t>
            </w:r>
          </w:p>
        </w:tc>
      </w:tr>
      <w:tr w14:paraId="59DB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962" w:type="dxa"/>
            <w:tcBorders>
              <w:top w:val="nil"/>
              <w:left w:val="single" w:color="000000" w:sz="8" w:space="0"/>
              <w:bottom w:val="single" w:color="000000" w:sz="8" w:space="0"/>
              <w:right w:val="single" w:color="000000" w:sz="8" w:space="0"/>
            </w:tcBorders>
            <w:shd w:val="clear" w:color="auto" w:fill="auto"/>
            <w:noWrap/>
            <w:vAlign w:val="center"/>
          </w:tcPr>
          <w:p w14:paraId="1B17D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55" w:type="dxa"/>
            <w:tcBorders>
              <w:top w:val="nil"/>
              <w:left w:val="nil"/>
              <w:bottom w:val="single" w:color="000000" w:sz="8" w:space="0"/>
              <w:right w:val="single" w:color="000000" w:sz="8" w:space="0"/>
            </w:tcBorders>
            <w:shd w:val="clear" w:color="auto" w:fill="auto"/>
            <w:noWrap/>
            <w:vAlign w:val="center"/>
          </w:tcPr>
          <w:p w14:paraId="6C797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819,000.96</w:t>
            </w:r>
          </w:p>
        </w:tc>
        <w:tc>
          <w:tcPr>
            <w:tcW w:w="1764" w:type="dxa"/>
            <w:tcBorders>
              <w:top w:val="nil"/>
              <w:left w:val="nil"/>
              <w:bottom w:val="single" w:color="000000" w:sz="8" w:space="0"/>
              <w:right w:val="single" w:color="000000" w:sz="8" w:space="0"/>
            </w:tcBorders>
            <w:shd w:val="clear" w:color="auto" w:fill="auto"/>
            <w:noWrap/>
            <w:vAlign w:val="center"/>
          </w:tcPr>
          <w:p w14:paraId="41683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97,864.10</w:t>
            </w:r>
          </w:p>
        </w:tc>
        <w:tc>
          <w:tcPr>
            <w:tcW w:w="1253" w:type="dxa"/>
            <w:tcBorders>
              <w:top w:val="nil"/>
              <w:left w:val="nil"/>
              <w:bottom w:val="single" w:color="000000" w:sz="8" w:space="0"/>
              <w:right w:val="single" w:color="000000" w:sz="8" w:space="0"/>
            </w:tcBorders>
            <w:shd w:val="clear" w:color="auto" w:fill="auto"/>
            <w:noWrap/>
            <w:vAlign w:val="center"/>
          </w:tcPr>
          <w:p w14:paraId="1BE02AA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50,341.18</w:t>
            </w:r>
          </w:p>
        </w:tc>
        <w:tc>
          <w:tcPr>
            <w:tcW w:w="1154" w:type="dxa"/>
            <w:tcBorders>
              <w:top w:val="nil"/>
              <w:left w:val="nil"/>
              <w:bottom w:val="single" w:color="000000" w:sz="8" w:space="0"/>
              <w:right w:val="single" w:color="000000" w:sz="8" w:space="0"/>
            </w:tcBorders>
            <w:shd w:val="clear" w:color="auto" w:fill="auto"/>
            <w:noWrap/>
            <w:vAlign w:val="center"/>
          </w:tcPr>
          <w:p w14:paraId="5B0CC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56,091.62</w:t>
            </w:r>
          </w:p>
        </w:tc>
        <w:tc>
          <w:tcPr>
            <w:tcW w:w="1450" w:type="dxa"/>
            <w:tcBorders>
              <w:top w:val="nil"/>
              <w:left w:val="nil"/>
              <w:bottom w:val="single" w:color="000000" w:sz="8" w:space="0"/>
              <w:right w:val="single" w:color="000000" w:sz="8" w:space="0"/>
            </w:tcBorders>
            <w:shd w:val="clear" w:color="auto" w:fill="auto"/>
            <w:noWrap/>
            <w:vAlign w:val="center"/>
          </w:tcPr>
          <w:p w14:paraId="01CC0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726,887.30</w:t>
            </w:r>
          </w:p>
        </w:tc>
      </w:tr>
    </w:tbl>
    <w:p w14:paraId="07A46EE1">
      <w:pPr>
        <w:widowControl w:val="0"/>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注：办公室修缮</w:t>
      </w:r>
      <w:r>
        <w:rPr>
          <w:rFonts w:hint="eastAsia" w:ascii="仿宋" w:hAnsi="仿宋" w:eastAsia="仿宋" w:cs="仿宋"/>
          <w:b w:val="0"/>
          <w:bCs w:val="0"/>
          <w:sz w:val="32"/>
          <w:szCs w:val="32"/>
          <w:lang w:val="en-US" w:eastAsia="zh-CN"/>
        </w:rPr>
        <w:t>60.42万元，其中53.27万元予以费用化，7.15万元予以资本化。</w:t>
      </w:r>
    </w:p>
    <w:tbl>
      <w:tblPr>
        <w:tblStyle w:val="11"/>
        <w:tblW w:w="88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1"/>
        <w:gridCol w:w="1256"/>
        <w:gridCol w:w="1500"/>
        <w:gridCol w:w="1463"/>
        <w:gridCol w:w="1331"/>
        <w:gridCol w:w="1291"/>
      </w:tblGrid>
      <w:tr w14:paraId="5789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blHeader/>
        </w:trPr>
        <w:tc>
          <w:tcPr>
            <w:tcW w:w="1981"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045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项目支出明细</w:t>
            </w:r>
          </w:p>
        </w:tc>
        <w:tc>
          <w:tcPr>
            <w:tcW w:w="1256" w:type="dxa"/>
            <w:tcBorders>
              <w:top w:val="single" w:color="000000" w:sz="8" w:space="0"/>
              <w:left w:val="nil"/>
              <w:bottom w:val="single" w:color="000000" w:sz="8" w:space="0"/>
              <w:right w:val="single" w:color="000000" w:sz="8" w:space="0"/>
            </w:tcBorders>
            <w:shd w:val="clear" w:color="auto" w:fill="DDEBF7"/>
            <w:noWrap/>
            <w:vAlign w:val="center"/>
          </w:tcPr>
          <w:p w14:paraId="25CA6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账套金额</w:t>
            </w:r>
          </w:p>
        </w:tc>
        <w:tc>
          <w:tcPr>
            <w:tcW w:w="1500" w:type="dxa"/>
            <w:tcBorders>
              <w:top w:val="single" w:color="000000" w:sz="8" w:space="0"/>
              <w:left w:val="nil"/>
              <w:bottom w:val="single" w:color="000000" w:sz="8" w:space="0"/>
              <w:right w:val="single" w:color="000000" w:sz="8" w:space="0"/>
            </w:tcBorders>
            <w:shd w:val="clear" w:color="auto" w:fill="DDEBF7"/>
            <w:noWrap/>
            <w:vAlign w:val="center"/>
          </w:tcPr>
          <w:p w14:paraId="6E2E1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从项目支出调至基本支出－人员经费（－）</w:t>
            </w:r>
          </w:p>
        </w:tc>
        <w:tc>
          <w:tcPr>
            <w:tcW w:w="1463" w:type="dxa"/>
            <w:tcBorders>
              <w:top w:val="single" w:color="000000" w:sz="8" w:space="0"/>
              <w:left w:val="nil"/>
              <w:bottom w:val="single" w:color="000000" w:sz="8" w:space="0"/>
              <w:right w:val="single" w:color="000000" w:sz="8" w:space="0"/>
            </w:tcBorders>
            <w:shd w:val="clear" w:color="auto" w:fill="DDEBF7"/>
            <w:noWrap/>
            <w:vAlign w:val="center"/>
          </w:tcPr>
          <w:p w14:paraId="4450E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从项目支出调至基本支出－公用经费（－）</w:t>
            </w:r>
          </w:p>
        </w:tc>
        <w:tc>
          <w:tcPr>
            <w:tcW w:w="1331" w:type="dxa"/>
            <w:tcBorders>
              <w:top w:val="single" w:color="000000" w:sz="8" w:space="0"/>
              <w:left w:val="nil"/>
              <w:bottom w:val="single" w:color="000000" w:sz="8" w:space="0"/>
              <w:right w:val="single" w:color="000000" w:sz="8" w:space="0"/>
            </w:tcBorders>
            <w:shd w:val="clear" w:color="auto" w:fill="DDEBF7"/>
            <w:noWrap/>
            <w:vAlign w:val="center"/>
          </w:tcPr>
          <w:p w14:paraId="77445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从基本支出－公用经费调入（+）</w:t>
            </w:r>
          </w:p>
        </w:tc>
        <w:tc>
          <w:tcPr>
            <w:tcW w:w="1291" w:type="dxa"/>
            <w:tcBorders>
              <w:top w:val="single" w:color="000000" w:sz="8" w:space="0"/>
              <w:left w:val="nil"/>
              <w:bottom w:val="single" w:color="000000" w:sz="8" w:space="0"/>
              <w:right w:val="single" w:color="000000" w:sz="8" w:space="0"/>
            </w:tcBorders>
            <w:shd w:val="clear" w:color="auto" w:fill="DDEBF7"/>
            <w:noWrap/>
            <w:vAlign w:val="center"/>
          </w:tcPr>
          <w:p w14:paraId="237FC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重分类数（元）</w:t>
            </w:r>
          </w:p>
        </w:tc>
      </w:tr>
      <w:tr w14:paraId="3F08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981" w:type="dxa"/>
            <w:tcBorders>
              <w:top w:val="nil"/>
              <w:left w:val="single" w:color="000000" w:sz="8" w:space="0"/>
              <w:bottom w:val="single" w:color="000000" w:sz="8" w:space="0"/>
              <w:right w:val="single" w:color="000000" w:sz="8" w:space="0"/>
            </w:tcBorders>
            <w:shd w:val="clear" w:color="auto" w:fill="auto"/>
            <w:noWrap/>
            <w:vAlign w:val="center"/>
          </w:tcPr>
          <w:p w14:paraId="263F7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项目支出－办公用品及耗材</w:t>
            </w:r>
          </w:p>
        </w:tc>
        <w:tc>
          <w:tcPr>
            <w:tcW w:w="1256" w:type="dxa"/>
            <w:tcBorders>
              <w:top w:val="nil"/>
              <w:left w:val="nil"/>
              <w:bottom w:val="single" w:color="000000" w:sz="8" w:space="0"/>
              <w:right w:val="single" w:color="000000" w:sz="8" w:space="0"/>
            </w:tcBorders>
            <w:shd w:val="clear" w:color="auto" w:fill="auto"/>
            <w:noWrap/>
            <w:vAlign w:val="center"/>
          </w:tcPr>
          <w:p w14:paraId="08D85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2,214.03</w:t>
            </w:r>
          </w:p>
        </w:tc>
        <w:tc>
          <w:tcPr>
            <w:tcW w:w="1500" w:type="dxa"/>
            <w:tcBorders>
              <w:top w:val="nil"/>
              <w:left w:val="nil"/>
              <w:bottom w:val="single" w:color="000000" w:sz="8" w:space="0"/>
              <w:right w:val="single" w:color="000000" w:sz="8" w:space="0"/>
            </w:tcBorders>
            <w:shd w:val="clear" w:color="auto" w:fill="auto"/>
            <w:noWrap/>
            <w:vAlign w:val="center"/>
          </w:tcPr>
          <w:p w14:paraId="7005473D">
            <w:pPr>
              <w:jc w:val="center"/>
              <w:rPr>
                <w:rFonts w:hint="eastAsia" w:ascii="宋体" w:hAnsi="宋体" w:eastAsia="宋体" w:cs="宋体"/>
                <w:i w:val="0"/>
                <w:iCs w:val="0"/>
                <w:color w:val="000000"/>
                <w:sz w:val="20"/>
                <w:szCs w:val="20"/>
                <w:u w:val="none"/>
              </w:rPr>
            </w:pPr>
          </w:p>
        </w:tc>
        <w:tc>
          <w:tcPr>
            <w:tcW w:w="1463" w:type="dxa"/>
            <w:tcBorders>
              <w:top w:val="nil"/>
              <w:left w:val="nil"/>
              <w:bottom w:val="single" w:color="000000" w:sz="8" w:space="0"/>
              <w:right w:val="single" w:color="000000" w:sz="8" w:space="0"/>
            </w:tcBorders>
            <w:shd w:val="clear" w:color="auto" w:fill="auto"/>
            <w:noWrap/>
            <w:vAlign w:val="center"/>
          </w:tcPr>
          <w:p w14:paraId="490781B9">
            <w:pPr>
              <w:jc w:val="center"/>
              <w:rPr>
                <w:rFonts w:hint="eastAsia" w:ascii="宋体" w:hAnsi="宋体" w:eastAsia="宋体" w:cs="宋体"/>
                <w:i w:val="0"/>
                <w:iCs w:val="0"/>
                <w:color w:val="000000"/>
                <w:sz w:val="20"/>
                <w:szCs w:val="20"/>
                <w:u w:val="none"/>
              </w:rPr>
            </w:pPr>
          </w:p>
        </w:tc>
        <w:tc>
          <w:tcPr>
            <w:tcW w:w="1331" w:type="dxa"/>
            <w:tcBorders>
              <w:top w:val="nil"/>
              <w:left w:val="nil"/>
              <w:bottom w:val="single" w:color="000000" w:sz="8" w:space="0"/>
              <w:right w:val="single" w:color="000000" w:sz="8" w:space="0"/>
            </w:tcBorders>
            <w:shd w:val="clear" w:color="auto" w:fill="auto"/>
            <w:noWrap/>
            <w:vAlign w:val="center"/>
          </w:tcPr>
          <w:p w14:paraId="3AEA9A06">
            <w:pPr>
              <w:jc w:val="center"/>
              <w:rPr>
                <w:rFonts w:hint="eastAsia" w:ascii="宋体" w:hAnsi="宋体" w:eastAsia="宋体" w:cs="宋体"/>
                <w:i w:val="0"/>
                <w:iCs w:val="0"/>
                <w:color w:val="000000"/>
                <w:sz w:val="20"/>
                <w:szCs w:val="20"/>
                <w:u w:val="none"/>
              </w:rPr>
            </w:pPr>
          </w:p>
        </w:tc>
        <w:tc>
          <w:tcPr>
            <w:tcW w:w="1291" w:type="dxa"/>
            <w:tcBorders>
              <w:top w:val="nil"/>
              <w:left w:val="nil"/>
              <w:bottom w:val="single" w:color="000000" w:sz="8" w:space="0"/>
              <w:right w:val="single" w:color="000000" w:sz="8" w:space="0"/>
            </w:tcBorders>
            <w:shd w:val="clear" w:color="auto" w:fill="auto"/>
            <w:noWrap/>
            <w:vAlign w:val="center"/>
          </w:tcPr>
          <w:p w14:paraId="6090E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2,214.03</w:t>
            </w:r>
          </w:p>
        </w:tc>
      </w:tr>
      <w:tr w14:paraId="259B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981" w:type="dxa"/>
            <w:tcBorders>
              <w:top w:val="nil"/>
              <w:left w:val="single" w:color="000000" w:sz="8" w:space="0"/>
              <w:bottom w:val="single" w:color="000000" w:sz="8" w:space="0"/>
              <w:right w:val="single" w:color="000000" w:sz="8" w:space="0"/>
            </w:tcBorders>
            <w:shd w:val="clear" w:color="auto" w:fill="DDEBF7"/>
            <w:noWrap/>
            <w:vAlign w:val="center"/>
          </w:tcPr>
          <w:p w14:paraId="2F0E2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项目支出-文宣及打印</w:t>
            </w:r>
          </w:p>
        </w:tc>
        <w:tc>
          <w:tcPr>
            <w:tcW w:w="1256" w:type="dxa"/>
            <w:tcBorders>
              <w:top w:val="nil"/>
              <w:left w:val="nil"/>
              <w:bottom w:val="single" w:color="000000" w:sz="8" w:space="0"/>
              <w:right w:val="single" w:color="000000" w:sz="8" w:space="0"/>
            </w:tcBorders>
            <w:shd w:val="clear" w:color="auto" w:fill="DDEBF7"/>
            <w:noWrap/>
            <w:vAlign w:val="center"/>
          </w:tcPr>
          <w:p w14:paraId="62F8F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4,370.50</w:t>
            </w:r>
          </w:p>
        </w:tc>
        <w:tc>
          <w:tcPr>
            <w:tcW w:w="1500" w:type="dxa"/>
            <w:tcBorders>
              <w:top w:val="nil"/>
              <w:left w:val="nil"/>
              <w:bottom w:val="single" w:color="000000" w:sz="8" w:space="0"/>
              <w:right w:val="single" w:color="000000" w:sz="8" w:space="0"/>
            </w:tcBorders>
            <w:shd w:val="clear" w:color="auto" w:fill="DDEBF7"/>
            <w:noWrap/>
            <w:vAlign w:val="center"/>
          </w:tcPr>
          <w:p w14:paraId="6D5BF8DF">
            <w:pPr>
              <w:jc w:val="center"/>
              <w:rPr>
                <w:rFonts w:hint="eastAsia" w:ascii="宋体" w:hAnsi="宋体" w:eastAsia="宋体" w:cs="宋体"/>
                <w:i w:val="0"/>
                <w:iCs w:val="0"/>
                <w:color w:val="000000"/>
                <w:sz w:val="20"/>
                <w:szCs w:val="20"/>
                <w:u w:val="none"/>
              </w:rPr>
            </w:pPr>
          </w:p>
        </w:tc>
        <w:tc>
          <w:tcPr>
            <w:tcW w:w="1463" w:type="dxa"/>
            <w:tcBorders>
              <w:top w:val="nil"/>
              <w:left w:val="nil"/>
              <w:bottom w:val="single" w:color="000000" w:sz="8" w:space="0"/>
              <w:right w:val="single" w:color="000000" w:sz="8" w:space="0"/>
            </w:tcBorders>
            <w:shd w:val="clear" w:color="auto" w:fill="DDEBF7"/>
            <w:noWrap/>
            <w:vAlign w:val="center"/>
          </w:tcPr>
          <w:p w14:paraId="1D7DD277">
            <w:pPr>
              <w:jc w:val="center"/>
              <w:rPr>
                <w:rFonts w:hint="eastAsia" w:ascii="宋体" w:hAnsi="宋体" w:eastAsia="宋体" w:cs="宋体"/>
                <w:i w:val="0"/>
                <w:iCs w:val="0"/>
                <w:color w:val="000000"/>
                <w:sz w:val="20"/>
                <w:szCs w:val="20"/>
                <w:u w:val="none"/>
              </w:rPr>
            </w:pPr>
          </w:p>
        </w:tc>
        <w:tc>
          <w:tcPr>
            <w:tcW w:w="1331" w:type="dxa"/>
            <w:tcBorders>
              <w:top w:val="nil"/>
              <w:left w:val="nil"/>
              <w:bottom w:val="single" w:color="000000" w:sz="8" w:space="0"/>
              <w:right w:val="single" w:color="000000" w:sz="8" w:space="0"/>
            </w:tcBorders>
            <w:shd w:val="clear" w:color="auto" w:fill="DDEBF7"/>
            <w:noWrap/>
            <w:vAlign w:val="center"/>
          </w:tcPr>
          <w:p w14:paraId="75554EBC">
            <w:pPr>
              <w:jc w:val="center"/>
              <w:rPr>
                <w:rFonts w:hint="eastAsia" w:ascii="宋体" w:hAnsi="宋体" w:eastAsia="宋体" w:cs="宋体"/>
                <w:i w:val="0"/>
                <w:iCs w:val="0"/>
                <w:color w:val="000000"/>
                <w:sz w:val="20"/>
                <w:szCs w:val="20"/>
                <w:u w:val="none"/>
              </w:rPr>
            </w:pPr>
          </w:p>
        </w:tc>
        <w:tc>
          <w:tcPr>
            <w:tcW w:w="1291" w:type="dxa"/>
            <w:tcBorders>
              <w:top w:val="nil"/>
              <w:left w:val="nil"/>
              <w:bottom w:val="single" w:color="000000" w:sz="8" w:space="0"/>
              <w:right w:val="single" w:color="000000" w:sz="8" w:space="0"/>
            </w:tcBorders>
            <w:shd w:val="clear" w:color="auto" w:fill="DDEBF7"/>
            <w:noWrap/>
            <w:vAlign w:val="center"/>
          </w:tcPr>
          <w:p w14:paraId="42FFA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4,370.50</w:t>
            </w:r>
          </w:p>
        </w:tc>
      </w:tr>
      <w:tr w14:paraId="762F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981" w:type="dxa"/>
            <w:tcBorders>
              <w:top w:val="nil"/>
              <w:left w:val="single" w:color="000000" w:sz="8" w:space="0"/>
              <w:bottom w:val="single" w:color="000000" w:sz="8" w:space="0"/>
              <w:right w:val="single" w:color="000000" w:sz="8" w:space="0"/>
            </w:tcBorders>
            <w:shd w:val="clear" w:color="auto" w:fill="auto"/>
            <w:noWrap/>
            <w:vAlign w:val="center"/>
          </w:tcPr>
          <w:p w14:paraId="6A487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项目支出－拨付经费</w:t>
            </w:r>
          </w:p>
        </w:tc>
        <w:tc>
          <w:tcPr>
            <w:tcW w:w="1256" w:type="dxa"/>
            <w:tcBorders>
              <w:top w:val="nil"/>
              <w:left w:val="nil"/>
              <w:bottom w:val="single" w:color="000000" w:sz="8" w:space="0"/>
              <w:right w:val="single" w:color="000000" w:sz="8" w:space="0"/>
            </w:tcBorders>
            <w:shd w:val="clear" w:color="auto" w:fill="auto"/>
            <w:noWrap/>
            <w:vAlign w:val="center"/>
          </w:tcPr>
          <w:p w14:paraId="7FCC8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20,000.00</w:t>
            </w:r>
          </w:p>
        </w:tc>
        <w:tc>
          <w:tcPr>
            <w:tcW w:w="1500" w:type="dxa"/>
            <w:tcBorders>
              <w:top w:val="nil"/>
              <w:left w:val="nil"/>
              <w:bottom w:val="single" w:color="000000" w:sz="8" w:space="0"/>
              <w:right w:val="single" w:color="000000" w:sz="8" w:space="0"/>
            </w:tcBorders>
            <w:shd w:val="clear" w:color="auto" w:fill="auto"/>
            <w:noWrap/>
            <w:vAlign w:val="center"/>
          </w:tcPr>
          <w:p w14:paraId="2C4A66A5">
            <w:pPr>
              <w:jc w:val="center"/>
              <w:rPr>
                <w:rFonts w:hint="eastAsia" w:ascii="宋体" w:hAnsi="宋体" w:eastAsia="宋体" w:cs="宋体"/>
                <w:i w:val="0"/>
                <w:iCs w:val="0"/>
                <w:color w:val="000000"/>
                <w:sz w:val="20"/>
                <w:szCs w:val="20"/>
                <w:u w:val="none"/>
              </w:rPr>
            </w:pPr>
          </w:p>
        </w:tc>
        <w:tc>
          <w:tcPr>
            <w:tcW w:w="1463" w:type="dxa"/>
            <w:tcBorders>
              <w:top w:val="nil"/>
              <w:left w:val="nil"/>
              <w:bottom w:val="single" w:color="000000" w:sz="8" w:space="0"/>
              <w:right w:val="single" w:color="000000" w:sz="8" w:space="0"/>
            </w:tcBorders>
            <w:shd w:val="clear" w:color="auto" w:fill="auto"/>
            <w:noWrap/>
            <w:vAlign w:val="center"/>
          </w:tcPr>
          <w:p w14:paraId="60EBC5C8">
            <w:pPr>
              <w:jc w:val="center"/>
              <w:rPr>
                <w:rFonts w:hint="eastAsia" w:ascii="宋体" w:hAnsi="宋体" w:eastAsia="宋体" w:cs="宋体"/>
                <w:i w:val="0"/>
                <w:iCs w:val="0"/>
                <w:color w:val="000000"/>
                <w:sz w:val="20"/>
                <w:szCs w:val="20"/>
                <w:u w:val="none"/>
              </w:rPr>
            </w:pPr>
          </w:p>
        </w:tc>
        <w:tc>
          <w:tcPr>
            <w:tcW w:w="1331" w:type="dxa"/>
            <w:tcBorders>
              <w:top w:val="nil"/>
              <w:left w:val="nil"/>
              <w:bottom w:val="single" w:color="000000" w:sz="8" w:space="0"/>
              <w:right w:val="single" w:color="000000" w:sz="8" w:space="0"/>
            </w:tcBorders>
            <w:shd w:val="clear" w:color="auto" w:fill="auto"/>
            <w:noWrap/>
            <w:vAlign w:val="center"/>
          </w:tcPr>
          <w:p w14:paraId="1DB834E8">
            <w:pPr>
              <w:jc w:val="center"/>
              <w:rPr>
                <w:rFonts w:hint="eastAsia" w:ascii="宋体" w:hAnsi="宋体" w:eastAsia="宋体" w:cs="宋体"/>
                <w:i w:val="0"/>
                <w:iCs w:val="0"/>
                <w:color w:val="000000"/>
                <w:sz w:val="20"/>
                <w:szCs w:val="20"/>
                <w:u w:val="none"/>
              </w:rPr>
            </w:pPr>
          </w:p>
        </w:tc>
        <w:tc>
          <w:tcPr>
            <w:tcW w:w="1291" w:type="dxa"/>
            <w:tcBorders>
              <w:top w:val="nil"/>
              <w:left w:val="nil"/>
              <w:bottom w:val="single" w:color="000000" w:sz="8" w:space="0"/>
              <w:right w:val="single" w:color="000000" w:sz="8" w:space="0"/>
            </w:tcBorders>
            <w:shd w:val="clear" w:color="auto" w:fill="auto"/>
            <w:noWrap/>
            <w:vAlign w:val="center"/>
          </w:tcPr>
          <w:p w14:paraId="0954A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20,000.00</w:t>
            </w:r>
          </w:p>
        </w:tc>
      </w:tr>
      <w:tr w14:paraId="3754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981" w:type="dxa"/>
            <w:tcBorders>
              <w:top w:val="nil"/>
              <w:left w:val="single" w:color="000000" w:sz="8" w:space="0"/>
              <w:bottom w:val="single" w:color="000000" w:sz="8" w:space="0"/>
              <w:right w:val="single" w:color="000000" w:sz="8" w:space="0"/>
            </w:tcBorders>
            <w:shd w:val="clear" w:color="auto" w:fill="DDEBF7"/>
            <w:noWrap/>
            <w:vAlign w:val="center"/>
          </w:tcPr>
          <w:p w14:paraId="3B6F4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项目支出-公车</w:t>
            </w:r>
          </w:p>
        </w:tc>
        <w:tc>
          <w:tcPr>
            <w:tcW w:w="1256" w:type="dxa"/>
            <w:tcBorders>
              <w:top w:val="nil"/>
              <w:left w:val="nil"/>
              <w:bottom w:val="single" w:color="000000" w:sz="8" w:space="0"/>
              <w:right w:val="single" w:color="000000" w:sz="8" w:space="0"/>
            </w:tcBorders>
            <w:shd w:val="clear" w:color="auto" w:fill="DDEBF7"/>
            <w:noWrap/>
            <w:vAlign w:val="center"/>
          </w:tcPr>
          <w:p w14:paraId="2CE59BA3">
            <w:pPr>
              <w:jc w:val="center"/>
              <w:rPr>
                <w:rFonts w:hint="eastAsia" w:ascii="宋体" w:hAnsi="宋体" w:eastAsia="宋体" w:cs="宋体"/>
                <w:i w:val="0"/>
                <w:iCs w:val="0"/>
                <w:color w:val="000000"/>
                <w:sz w:val="20"/>
                <w:szCs w:val="20"/>
                <w:u w:val="none"/>
              </w:rPr>
            </w:pPr>
          </w:p>
        </w:tc>
        <w:tc>
          <w:tcPr>
            <w:tcW w:w="1500" w:type="dxa"/>
            <w:tcBorders>
              <w:top w:val="nil"/>
              <w:left w:val="nil"/>
              <w:bottom w:val="single" w:color="000000" w:sz="8" w:space="0"/>
              <w:right w:val="single" w:color="000000" w:sz="8" w:space="0"/>
            </w:tcBorders>
            <w:shd w:val="clear" w:color="auto" w:fill="DDEBF7"/>
            <w:noWrap/>
            <w:vAlign w:val="center"/>
          </w:tcPr>
          <w:p w14:paraId="78736293">
            <w:pPr>
              <w:jc w:val="center"/>
              <w:rPr>
                <w:rFonts w:hint="eastAsia" w:ascii="宋体" w:hAnsi="宋体" w:eastAsia="宋体" w:cs="宋体"/>
                <w:i w:val="0"/>
                <w:iCs w:val="0"/>
                <w:color w:val="000000"/>
                <w:sz w:val="20"/>
                <w:szCs w:val="20"/>
                <w:u w:val="none"/>
              </w:rPr>
            </w:pPr>
          </w:p>
        </w:tc>
        <w:tc>
          <w:tcPr>
            <w:tcW w:w="1463" w:type="dxa"/>
            <w:tcBorders>
              <w:top w:val="nil"/>
              <w:left w:val="nil"/>
              <w:bottom w:val="single" w:color="000000" w:sz="8" w:space="0"/>
              <w:right w:val="single" w:color="000000" w:sz="8" w:space="0"/>
            </w:tcBorders>
            <w:shd w:val="clear" w:color="auto" w:fill="DDEBF7"/>
            <w:noWrap/>
            <w:vAlign w:val="center"/>
          </w:tcPr>
          <w:p w14:paraId="326FEA82">
            <w:pPr>
              <w:jc w:val="center"/>
              <w:rPr>
                <w:rFonts w:hint="eastAsia" w:ascii="宋体" w:hAnsi="宋体" w:eastAsia="宋体" w:cs="宋体"/>
                <w:i w:val="0"/>
                <w:iCs w:val="0"/>
                <w:color w:val="000000"/>
                <w:sz w:val="20"/>
                <w:szCs w:val="20"/>
                <w:u w:val="none"/>
              </w:rPr>
            </w:pPr>
          </w:p>
        </w:tc>
        <w:tc>
          <w:tcPr>
            <w:tcW w:w="1331" w:type="dxa"/>
            <w:tcBorders>
              <w:top w:val="nil"/>
              <w:left w:val="nil"/>
              <w:bottom w:val="single" w:color="000000" w:sz="8" w:space="0"/>
              <w:right w:val="single" w:color="000000" w:sz="8" w:space="0"/>
            </w:tcBorders>
            <w:shd w:val="clear" w:color="auto" w:fill="DDEBF7"/>
            <w:noWrap/>
            <w:vAlign w:val="center"/>
          </w:tcPr>
          <w:p w14:paraId="26C67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291" w:type="dxa"/>
            <w:tcBorders>
              <w:top w:val="nil"/>
              <w:left w:val="nil"/>
              <w:bottom w:val="single" w:color="000000" w:sz="8" w:space="0"/>
              <w:right w:val="single" w:color="000000" w:sz="8" w:space="0"/>
            </w:tcBorders>
            <w:shd w:val="clear" w:color="auto" w:fill="DDEBF7"/>
            <w:noWrap/>
            <w:vAlign w:val="center"/>
          </w:tcPr>
          <w:p w14:paraId="3C98F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w:t>
            </w:r>
          </w:p>
        </w:tc>
      </w:tr>
      <w:tr w14:paraId="09BB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981" w:type="dxa"/>
            <w:tcBorders>
              <w:top w:val="nil"/>
              <w:left w:val="single" w:color="000000" w:sz="8" w:space="0"/>
              <w:bottom w:val="single" w:color="000000" w:sz="8" w:space="0"/>
              <w:right w:val="single" w:color="000000" w:sz="8" w:space="0"/>
            </w:tcBorders>
            <w:shd w:val="clear" w:color="auto" w:fill="auto"/>
            <w:noWrap/>
            <w:vAlign w:val="center"/>
          </w:tcPr>
          <w:p w14:paraId="68DB9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基本支出－公用经费－办公用品及耗材</w:t>
            </w:r>
          </w:p>
        </w:tc>
        <w:tc>
          <w:tcPr>
            <w:tcW w:w="1256" w:type="dxa"/>
            <w:tcBorders>
              <w:top w:val="nil"/>
              <w:left w:val="nil"/>
              <w:bottom w:val="single" w:color="000000" w:sz="8" w:space="0"/>
              <w:right w:val="single" w:color="000000" w:sz="8" w:space="0"/>
            </w:tcBorders>
            <w:shd w:val="clear" w:color="auto" w:fill="auto"/>
            <w:noWrap/>
            <w:vAlign w:val="center"/>
          </w:tcPr>
          <w:p w14:paraId="6658D99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20,787.65</w:t>
            </w:r>
          </w:p>
        </w:tc>
        <w:tc>
          <w:tcPr>
            <w:tcW w:w="1500" w:type="dxa"/>
            <w:tcBorders>
              <w:top w:val="nil"/>
              <w:left w:val="nil"/>
              <w:bottom w:val="single" w:color="000000" w:sz="8" w:space="0"/>
              <w:right w:val="single" w:color="000000" w:sz="8" w:space="0"/>
            </w:tcBorders>
            <w:shd w:val="clear" w:color="auto" w:fill="auto"/>
            <w:noWrap/>
            <w:vAlign w:val="center"/>
          </w:tcPr>
          <w:p w14:paraId="787C880A">
            <w:pPr>
              <w:jc w:val="center"/>
              <w:rPr>
                <w:rFonts w:hint="eastAsia" w:ascii="宋体" w:hAnsi="宋体" w:eastAsia="宋体" w:cs="宋体"/>
                <w:i w:val="0"/>
                <w:iCs w:val="0"/>
                <w:color w:val="000000"/>
                <w:sz w:val="20"/>
                <w:szCs w:val="20"/>
                <w:u w:val="none"/>
              </w:rPr>
            </w:pPr>
          </w:p>
        </w:tc>
        <w:tc>
          <w:tcPr>
            <w:tcW w:w="1463" w:type="dxa"/>
            <w:tcBorders>
              <w:top w:val="nil"/>
              <w:left w:val="nil"/>
              <w:bottom w:val="single" w:color="000000" w:sz="8" w:space="0"/>
              <w:right w:val="single" w:color="000000" w:sz="8" w:space="0"/>
            </w:tcBorders>
            <w:shd w:val="clear" w:color="auto" w:fill="auto"/>
            <w:noWrap/>
            <w:vAlign w:val="center"/>
          </w:tcPr>
          <w:p w14:paraId="71CD1C1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20,787.65</w:t>
            </w:r>
          </w:p>
        </w:tc>
        <w:tc>
          <w:tcPr>
            <w:tcW w:w="1331" w:type="dxa"/>
            <w:tcBorders>
              <w:top w:val="nil"/>
              <w:left w:val="nil"/>
              <w:bottom w:val="single" w:color="000000" w:sz="8" w:space="0"/>
              <w:right w:val="single" w:color="000000" w:sz="8" w:space="0"/>
            </w:tcBorders>
            <w:shd w:val="clear" w:color="auto" w:fill="auto"/>
            <w:noWrap/>
            <w:vAlign w:val="center"/>
          </w:tcPr>
          <w:p w14:paraId="06A4E8CC">
            <w:pPr>
              <w:jc w:val="center"/>
              <w:rPr>
                <w:rFonts w:hint="eastAsia" w:ascii="宋体" w:hAnsi="宋体" w:eastAsia="宋体" w:cs="宋体"/>
                <w:i w:val="0"/>
                <w:iCs w:val="0"/>
                <w:color w:val="000000"/>
                <w:sz w:val="20"/>
                <w:szCs w:val="20"/>
                <w:u w:val="none"/>
              </w:rPr>
            </w:pPr>
          </w:p>
        </w:tc>
        <w:tc>
          <w:tcPr>
            <w:tcW w:w="1291" w:type="dxa"/>
            <w:tcBorders>
              <w:top w:val="nil"/>
              <w:left w:val="nil"/>
              <w:bottom w:val="single" w:color="000000" w:sz="8" w:space="0"/>
              <w:right w:val="single" w:color="000000" w:sz="8" w:space="0"/>
            </w:tcBorders>
            <w:shd w:val="clear" w:color="auto" w:fill="auto"/>
            <w:noWrap/>
            <w:vAlign w:val="center"/>
          </w:tcPr>
          <w:p w14:paraId="62F67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567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981" w:type="dxa"/>
            <w:tcBorders>
              <w:top w:val="nil"/>
              <w:left w:val="single" w:color="000000" w:sz="8" w:space="0"/>
              <w:bottom w:val="single" w:color="000000" w:sz="8" w:space="0"/>
              <w:right w:val="single" w:color="000000" w:sz="8" w:space="0"/>
            </w:tcBorders>
            <w:shd w:val="clear" w:color="auto" w:fill="DDEBF7"/>
            <w:noWrap/>
            <w:vAlign w:val="center"/>
          </w:tcPr>
          <w:p w14:paraId="088BD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基本支出-公用经费-咨询服务费</w:t>
            </w:r>
          </w:p>
        </w:tc>
        <w:tc>
          <w:tcPr>
            <w:tcW w:w="1256" w:type="dxa"/>
            <w:tcBorders>
              <w:top w:val="nil"/>
              <w:left w:val="nil"/>
              <w:bottom w:val="single" w:color="000000" w:sz="8" w:space="0"/>
              <w:right w:val="single" w:color="000000" w:sz="8" w:space="0"/>
            </w:tcBorders>
            <w:shd w:val="clear" w:color="auto" w:fill="DDEBF7"/>
            <w:noWrap/>
            <w:vAlign w:val="center"/>
          </w:tcPr>
          <w:p w14:paraId="4B29B36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7,489.00</w:t>
            </w:r>
          </w:p>
        </w:tc>
        <w:tc>
          <w:tcPr>
            <w:tcW w:w="1500" w:type="dxa"/>
            <w:tcBorders>
              <w:top w:val="nil"/>
              <w:left w:val="nil"/>
              <w:bottom w:val="single" w:color="000000" w:sz="8" w:space="0"/>
              <w:right w:val="single" w:color="000000" w:sz="8" w:space="0"/>
            </w:tcBorders>
            <w:shd w:val="clear" w:color="auto" w:fill="DDEBF7"/>
            <w:noWrap/>
            <w:vAlign w:val="center"/>
          </w:tcPr>
          <w:p w14:paraId="18D6600D">
            <w:pPr>
              <w:jc w:val="center"/>
              <w:rPr>
                <w:rFonts w:hint="eastAsia" w:ascii="宋体" w:hAnsi="宋体" w:eastAsia="宋体" w:cs="宋体"/>
                <w:i w:val="0"/>
                <w:iCs w:val="0"/>
                <w:color w:val="000000"/>
                <w:kern w:val="0"/>
                <w:sz w:val="20"/>
                <w:szCs w:val="20"/>
                <w:u w:val="none"/>
                <w:lang w:val="en-US" w:eastAsia="zh-CN" w:bidi="ar"/>
              </w:rPr>
            </w:pPr>
          </w:p>
        </w:tc>
        <w:tc>
          <w:tcPr>
            <w:tcW w:w="1463" w:type="dxa"/>
            <w:tcBorders>
              <w:top w:val="nil"/>
              <w:left w:val="nil"/>
              <w:bottom w:val="single" w:color="000000" w:sz="8" w:space="0"/>
              <w:right w:val="single" w:color="000000" w:sz="8" w:space="0"/>
            </w:tcBorders>
            <w:shd w:val="clear" w:color="auto" w:fill="DDEBF7"/>
            <w:noWrap/>
            <w:vAlign w:val="center"/>
          </w:tcPr>
          <w:p w14:paraId="415F84A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7,489.00</w:t>
            </w:r>
          </w:p>
        </w:tc>
        <w:tc>
          <w:tcPr>
            <w:tcW w:w="1331" w:type="dxa"/>
            <w:tcBorders>
              <w:top w:val="nil"/>
              <w:left w:val="nil"/>
              <w:bottom w:val="single" w:color="000000" w:sz="8" w:space="0"/>
              <w:right w:val="single" w:color="000000" w:sz="8" w:space="0"/>
            </w:tcBorders>
            <w:shd w:val="clear" w:color="auto" w:fill="DDEBF7"/>
            <w:noWrap/>
            <w:vAlign w:val="center"/>
          </w:tcPr>
          <w:p w14:paraId="7E9A25EB">
            <w:pPr>
              <w:jc w:val="center"/>
              <w:rPr>
                <w:rFonts w:hint="eastAsia" w:ascii="宋体" w:hAnsi="宋体" w:eastAsia="宋体" w:cs="宋体"/>
                <w:i w:val="0"/>
                <w:iCs w:val="0"/>
                <w:color w:val="000000"/>
                <w:kern w:val="0"/>
                <w:sz w:val="20"/>
                <w:szCs w:val="20"/>
                <w:u w:val="none"/>
                <w:lang w:val="en-US" w:eastAsia="zh-CN" w:bidi="ar"/>
              </w:rPr>
            </w:pPr>
          </w:p>
        </w:tc>
        <w:tc>
          <w:tcPr>
            <w:tcW w:w="1291" w:type="dxa"/>
            <w:tcBorders>
              <w:top w:val="nil"/>
              <w:left w:val="nil"/>
              <w:bottom w:val="single" w:color="000000" w:sz="8" w:space="0"/>
              <w:right w:val="single" w:color="000000" w:sz="8" w:space="0"/>
            </w:tcBorders>
            <w:shd w:val="clear" w:color="auto" w:fill="DEEBF6" w:themeFill="accent1" w:themeFillTint="32"/>
            <w:noWrap/>
            <w:vAlign w:val="center"/>
          </w:tcPr>
          <w:p w14:paraId="13F63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14:paraId="2198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981" w:type="dxa"/>
            <w:tcBorders>
              <w:top w:val="nil"/>
              <w:left w:val="single" w:color="000000" w:sz="8" w:space="0"/>
              <w:bottom w:val="single" w:color="000000" w:sz="8" w:space="0"/>
              <w:right w:val="single" w:color="000000" w:sz="8" w:space="0"/>
            </w:tcBorders>
            <w:shd w:val="clear" w:color="auto" w:fill="auto"/>
            <w:noWrap/>
            <w:vAlign w:val="center"/>
          </w:tcPr>
          <w:p w14:paraId="65715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项目支出－活动经费</w:t>
            </w:r>
          </w:p>
        </w:tc>
        <w:tc>
          <w:tcPr>
            <w:tcW w:w="1256" w:type="dxa"/>
            <w:tcBorders>
              <w:top w:val="nil"/>
              <w:left w:val="nil"/>
              <w:bottom w:val="single" w:color="000000" w:sz="8" w:space="0"/>
              <w:right w:val="single" w:color="000000" w:sz="8" w:space="0"/>
            </w:tcBorders>
            <w:shd w:val="clear" w:color="auto" w:fill="auto"/>
            <w:noWrap/>
            <w:vAlign w:val="center"/>
          </w:tcPr>
          <w:p w14:paraId="2BC97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290,822.00</w:t>
            </w:r>
          </w:p>
        </w:tc>
        <w:tc>
          <w:tcPr>
            <w:tcW w:w="1500" w:type="dxa"/>
            <w:tcBorders>
              <w:top w:val="nil"/>
              <w:left w:val="nil"/>
              <w:bottom w:val="single" w:color="000000" w:sz="8" w:space="0"/>
              <w:right w:val="single" w:color="000000" w:sz="8" w:space="0"/>
            </w:tcBorders>
            <w:shd w:val="clear" w:color="auto" w:fill="auto"/>
            <w:noWrap/>
            <w:vAlign w:val="center"/>
          </w:tcPr>
          <w:p w14:paraId="475456ED">
            <w:pPr>
              <w:jc w:val="center"/>
              <w:rPr>
                <w:rFonts w:hint="eastAsia" w:ascii="宋体" w:hAnsi="宋体" w:eastAsia="宋体" w:cs="宋体"/>
                <w:i w:val="0"/>
                <w:iCs w:val="0"/>
                <w:color w:val="000000"/>
                <w:sz w:val="20"/>
                <w:szCs w:val="20"/>
                <w:u w:val="none"/>
              </w:rPr>
            </w:pPr>
          </w:p>
        </w:tc>
        <w:tc>
          <w:tcPr>
            <w:tcW w:w="1463" w:type="dxa"/>
            <w:tcBorders>
              <w:top w:val="nil"/>
              <w:left w:val="nil"/>
              <w:bottom w:val="single" w:color="000000" w:sz="8" w:space="0"/>
              <w:right w:val="single" w:color="000000" w:sz="8" w:space="0"/>
            </w:tcBorders>
            <w:shd w:val="clear" w:color="auto" w:fill="auto"/>
            <w:noWrap/>
            <w:vAlign w:val="center"/>
          </w:tcPr>
          <w:p w14:paraId="56F67D15">
            <w:pPr>
              <w:jc w:val="center"/>
              <w:rPr>
                <w:rFonts w:hint="eastAsia" w:ascii="宋体" w:hAnsi="宋体" w:eastAsia="宋体" w:cs="宋体"/>
                <w:i w:val="0"/>
                <w:iCs w:val="0"/>
                <w:color w:val="000000"/>
                <w:sz w:val="20"/>
                <w:szCs w:val="20"/>
                <w:u w:val="none"/>
              </w:rPr>
            </w:pPr>
          </w:p>
        </w:tc>
        <w:tc>
          <w:tcPr>
            <w:tcW w:w="1331" w:type="dxa"/>
            <w:tcBorders>
              <w:top w:val="nil"/>
              <w:left w:val="nil"/>
              <w:bottom w:val="single" w:color="000000" w:sz="8" w:space="0"/>
              <w:right w:val="single" w:color="000000" w:sz="8" w:space="0"/>
            </w:tcBorders>
            <w:shd w:val="clear" w:color="auto" w:fill="auto"/>
            <w:noWrap/>
            <w:vAlign w:val="center"/>
          </w:tcPr>
          <w:p w14:paraId="4CE64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38,390.10</w:t>
            </w:r>
          </w:p>
        </w:tc>
        <w:tc>
          <w:tcPr>
            <w:tcW w:w="1291" w:type="dxa"/>
            <w:tcBorders>
              <w:top w:val="nil"/>
              <w:left w:val="nil"/>
              <w:bottom w:val="single" w:color="000000" w:sz="8" w:space="0"/>
              <w:right w:val="single" w:color="000000" w:sz="8" w:space="0"/>
            </w:tcBorders>
            <w:shd w:val="clear" w:color="auto" w:fill="auto"/>
            <w:noWrap/>
            <w:vAlign w:val="center"/>
          </w:tcPr>
          <w:p w14:paraId="149E9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329,212.10</w:t>
            </w:r>
          </w:p>
        </w:tc>
      </w:tr>
      <w:tr w14:paraId="3AAF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981"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1BEFB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项目支出－餐费</w:t>
            </w:r>
          </w:p>
        </w:tc>
        <w:tc>
          <w:tcPr>
            <w:tcW w:w="1256" w:type="dxa"/>
            <w:tcBorders>
              <w:top w:val="nil"/>
              <w:left w:val="nil"/>
              <w:bottom w:val="single" w:color="000000" w:sz="8" w:space="0"/>
              <w:right w:val="single" w:color="000000" w:sz="8" w:space="0"/>
            </w:tcBorders>
            <w:shd w:val="clear" w:color="auto" w:fill="DEEBF6" w:themeFill="accent1" w:themeFillTint="32"/>
            <w:noWrap/>
            <w:vAlign w:val="center"/>
          </w:tcPr>
          <w:p w14:paraId="55C1E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133,797.12</w:t>
            </w:r>
          </w:p>
        </w:tc>
        <w:tc>
          <w:tcPr>
            <w:tcW w:w="1500" w:type="dxa"/>
            <w:tcBorders>
              <w:top w:val="nil"/>
              <w:left w:val="nil"/>
              <w:bottom w:val="single" w:color="000000" w:sz="8" w:space="0"/>
              <w:right w:val="single" w:color="000000" w:sz="8" w:space="0"/>
            </w:tcBorders>
            <w:shd w:val="clear" w:color="auto" w:fill="DEEBF6" w:themeFill="accent1" w:themeFillTint="32"/>
            <w:noWrap/>
            <w:vAlign w:val="center"/>
          </w:tcPr>
          <w:p w14:paraId="7E732583">
            <w:pPr>
              <w:jc w:val="center"/>
              <w:rPr>
                <w:rFonts w:hint="eastAsia" w:ascii="宋体" w:hAnsi="宋体" w:eastAsia="宋体" w:cs="宋体"/>
                <w:i w:val="0"/>
                <w:iCs w:val="0"/>
                <w:color w:val="000000"/>
                <w:sz w:val="20"/>
                <w:szCs w:val="20"/>
                <w:u w:val="none"/>
              </w:rPr>
            </w:pPr>
          </w:p>
        </w:tc>
        <w:tc>
          <w:tcPr>
            <w:tcW w:w="1463" w:type="dxa"/>
            <w:tcBorders>
              <w:top w:val="nil"/>
              <w:left w:val="nil"/>
              <w:bottom w:val="single" w:color="000000" w:sz="8" w:space="0"/>
              <w:right w:val="single" w:color="000000" w:sz="8" w:space="0"/>
            </w:tcBorders>
            <w:shd w:val="clear" w:color="auto" w:fill="DEEBF6" w:themeFill="accent1" w:themeFillTint="32"/>
            <w:noWrap/>
            <w:vAlign w:val="center"/>
          </w:tcPr>
          <w:p w14:paraId="7905C46D">
            <w:pPr>
              <w:jc w:val="center"/>
              <w:rPr>
                <w:rFonts w:hint="eastAsia" w:ascii="宋体" w:hAnsi="宋体" w:eastAsia="宋体" w:cs="宋体"/>
                <w:i w:val="0"/>
                <w:iCs w:val="0"/>
                <w:color w:val="000000"/>
                <w:sz w:val="20"/>
                <w:szCs w:val="20"/>
                <w:u w:val="none"/>
              </w:rPr>
            </w:pPr>
          </w:p>
        </w:tc>
        <w:tc>
          <w:tcPr>
            <w:tcW w:w="1331" w:type="dxa"/>
            <w:tcBorders>
              <w:top w:val="nil"/>
              <w:left w:val="nil"/>
              <w:bottom w:val="single" w:color="000000" w:sz="8" w:space="0"/>
              <w:right w:val="single" w:color="000000" w:sz="8" w:space="0"/>
            </w:tcBorders>
            <w:shd w:val="clear" w:color="auto" w:fill="DEEBF6" w:themeFill="accent1" w:themeFillTint="32"/>
            <w:noWrap/>
            <w:vAlign w:val="center"/>
          </w:tcPr>
          <w:p w14:paraId="106A8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11,051.08</w:t>
            </w:r>
          </w:p>
        </w:tc>
        <w:tc>
          <w:tcPr>
            <w:tcW w:w="1291" w:type="dxa"/>
            <w:tcBorders>
              <w:top w:val="nil"/>
              <w:left w:val="nil"/>
              <w:bottom w:val="single" w:color="000000" w:sz="8" w:space="0"/>
              <w:right w:val="single" w:color="000000" w:sz="8" w:space="0"/>
            </w:tcBorders>
            <w:shd w:val="clear" w:color="auto" w:fill="DEEBF6" w:themeFill="accent1" w:themeFillTint="32"/>
            <w:noWrap/>
            <w:vAlign w:val="center"/>
          </w:tcPr>
          <w:p w14:paraId="46768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144,848.20</w:t>
            </w:r>
          </w:p>
        </w:tc>
      </w:tr>
      <w:tr w14:paraId="7003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981" w:type="dxa"/>
            <w:tcBorders>
              <w:top w:val="nil"/>
              <w:left w:val="single" w:color="000000" w:sz="8" w:space="0"/>
              <w:bottom w:val="single" w:color="000000" w:sz="8" w:space="0"/>
              <w:right w:val="single" w:color="000000" w:sz="8" w:space="0"/>
            </w:tcBorders>
            <w:shd w:val="clear" w:color="auto" w:fill="auto"/>
            <w:noWrap/>
            <w:vAlign w:val="center"/>
          </w:tcPr>
          <w:p w14:paraId="186B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基本支出－人员经费</w:t>
            </w:r>
          </w:p>
        </w:tc>
        <w:tc>
          <w:tcPr>
            <w:tcW w:w="1256" w:type="dxa"/>
            <w:tcBorders>
              <w:top w:val="nil"/>
              <w:left w:val="nil"/>
              <w:bottom w:val="single" w:color="000000" w:sz="8" w:space="0"/>
              <w:right w:val="single" w:color="000000" w:sz="8" w:space="0"/>
            </w:tcBorders>
            <w:shd w:val="clear" w:color="auto" w:fill="auto"/>
            <w:noWrap/>
            <w:vAlign w:val="center"/>
          </w:tcPr>
          <w:p w14:paraId="2F7D1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100,770.00</w:t>
            </w:r>
          </w:p>
        </w:tc>
        <w:tc>
          <w:tcPr>
            <w:tcW w:w="1500" w:type="dxa"/>
            <w:tcBorders>
              <w:top w:val="nil"/>
              <w:left w:val="nil"/>
              <w:bottom w:val="single" w:color="000000" w:sz="8" w:space="0"/>
              <w:right w:val="single" w:color="000000" w:sz="8" w:space="0"/>
            </w:tcBorders>
            <w:shd w:val="clear" w:color="auto" w:fill="auto"/>
            <w:noWrap/>
            <w:vAlign w:val="center"/>
          </w:tcPr>
          <w:p w14:paraId="6AF4EC5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100,770.00</w:t>
            </w:r>
          </w:p>
        </w:tc>
        <w:tc>
          <w:tcPr>
            <w:tcW w:w="1463" w:type="dxa"/>
            <w:tcBorders>
              <w:top w:val="nil"/>
              <w:left w:val="nil"/>
              <w:bottom w:val="single" w:color="000000" w:sz="8" w:space="0"/>
              <w:right w:val="single" w:color="000000" w:sz="8" w:space="0"/>
            </w:tcBorders>
            <w:shd w:val="clear" w:color="auto" w:fill="auto"/>
            <w:noWrap/>
            <w:vAlign w:val="center"/>
          </w:tcPr>
          <w:p w14:paraId="752D93AF">
            <w:pPr>
              <w:jc w:val="center"/>
              <w:rPr>
                <w:rFonts w:hint="eastAsia" w:ascii="宋体" w:hAnsi="宋体" w:eastAsia="宋体" w:cs="宋体"/>
                <w:i w:val="0"/>
                <w:iCs w:val="0"/>
                <w:color w:val="000000"/>
                <w:sz w:val="20"/>
                <w:szCs w:val="20"/>
                <w:u w:val="none"/>
              </w:rPr>
            </w:pPr>
          </w:p>
        </w:tc>
        <w:tc>
          <w:tcPr>
            <w:tcW w:w="1331" w:type="dxa"/>
            <w:tcBorders>
              <w:top w:val="nil"/>
              <w:left w:val="nil"/>
              <w:bottom w:val="single" w:color="000000" w:sz="8" w:space="0"/>
              <w:right w:val="single" w:color="000000" w:sz="8" w:space="0"/>
            </w:tcBorders>
            <w:shd w:val="clear" w:color="auto" w:fill="auto"/>
            <w:noWrap/>
            <w:vAlign w:val="center"/>
          </w:tcPr>
          <w:p w14:paraId="2A707204">
            <w:pPr>
              <w:jc w:val="center"/>
              <w:rPr>
                <w:rFonts w:hint="eastAsia" w:ascii="宋体" w:hAnsi="宋体" w:eastAsia="宋体" w:cs="宋体"/>
                <w:i w:val="0"/>
                <w:iCs w:val="0"/>
                <w:color w:val="000000"/>
                <w:sz w:val="20"/>
                <w:szCs w:val="20"/>
                <w:u w:val="none"/>
              </w:rPr>
            </w:pPr>
          </w:p>
        </w:tc>
        <w:tc>
          <w:tcPr>
            <w:tcW w:w="1291" w:type="dxa"/>
            <w:tcBorders>
              <w:top w:val="nil"/>
              <w:left w:val="nil"/>
              <w:bottom w:val="single" w:color="000000" w:sz="8" w:space="0"/>
              <w:right w:val="single" w:color="000000" w:sz="8" w:space="0"/>
            </w:tcBorders>
            <w:shd w:val="clear" w:color="auto" w:fill="auto"/>
            <w:noWrap/>
            <w:vAlign w:val="center"/>
          </w:tcPr>
          <w:p w14:paraId="49317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582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981"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1713E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基本支出－公用经费－餐费</w:t>
            </w:r>
          </w:p>
        </w:tc>
        <w:tc>
          <w:tcPr>
            <w:tcW w:w="1256" w:type="dxa"/>
            <w:tcBorders>
              <w:top w:val="nil"/>
              <w:left w:val="nil"/>
              <w:bottom w:val="single" w:color="000000" w:sz="8" w:space="0"/>
              <w:right w:val="single" w:color="000000" w:sz="8" w:space="0"/>
            </w:tcBorders>
            <w:shd w:val="clear" w:color="auto" w:fill="DEEBF6" w:themeFill="accent1" w:themeFillTint="32"/>
            <w:noWrap/>
            <w:vAlign w:val="center"/>
          </w:tcPr>
          <w:p w14:paraId="36654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27,814.97</w:t>
            </w:r>
          </w:p>
        </w:tc>
        <w:tc>
          <w:tcPr>
            <w:tcW w:w="1500" w:type="dxa"/>
            <w:tcBorders>
              <w:top w:val="nil"/>
              <w:left w:val="nil"/>
              <w:bottom w:val="single" w:color="000000" w:sz="8" w:space="0"/>
              <w:right w:val="single" w:color="000000" w:sz="8" w:space="0"/>
            </w:tcBorders>
            <w:shd w:val="clear" w:color="auto" w:fill="DEEBF6" w:themeFill="accent1" w:themeFillTint="32"/>
            <w:noWrap/>
            <w:vAlign w:val="center"/>
          </w:tcPr>
          <w:p w14:paraId="42603324">
            <w:pPr>
              <w:jc w:val="center"/>
              <w:rPr>
                <w:rFonts w:hint="eastAsia" w:ascii="宋体" w:hAnsi="宋体" w:eastAsia="宋体" w:cs="宋体"/>
                <w:i w:val="0"/>
                <w:iCs w:val="0"/>
                <w:color w:val="000000"/>
                <w:sz w:val="20"/>
                <w:szCs w:val="20"/>
                <w:u w:val="none"/>
              </w:rPr>
            </w:pPr>
          </w:p>
        </w:tc>
        <w:tc>
          <w:tcPr>
            <w:tcW w:w="1463" w:type="dxa"/>
            <w:tcBorders>
              <w:top w:val="nil"/>
              <w:left w:val="nil"/>
              <w:bottom w:val="single" w:color="000000" w:sz="8" w:space="0"/>
              <w:right w:val="single" w:color="000000" w:sz="8" w:space="0"/>
            </w:tcBorders>
            <w:shd w:val="clear" w:color="auto" w:fill="DEEBF6" w:themeFill="accent1" w:themeFillTint="32"/>
            <w:noWrap/>
            <w:vAlign w:val="center"/>
          </w:tcPr>
          <w:p w14:paraId="07C5A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27,814.97</w:t>
            </w:r>
          </w:p>
        </w:tc>
        <w:tc>
          <w:tcPr>
            <w:tcW w:w="1331" w:type="dxa"/>
            <w:tcBorders>
              <w:top w:val="nil"/>
              <w:left w:val="nil"/>
              <w:bottom w:val="single" w:color="000000" w:sz="8" w:space="0"/>
              <w:right w:val="single" w:color="000000" w:sz="8" w:space="0"/>
            </w:tcBorders>
            <w:shd w:val="clear" w:color="auto" w:fill="DEEBF6" w:themeFill="accent1" w:themeFillTint="32"/>
            <w:noWrap/>
            <w:vAlign w:val="center"/>
          </w:tcPr>
          <w:p w14:paraId="31399915">
            <w:pPr>
              <w:jc w:val="center"/>
              <w:rPr>
                <w:rFonts w:hint="eastAsia" w:ascii="宋体" w:hAnsi="宋体" w:eastAsia="宋体" w:cs="宋体"/>
                <w:i w:val="0"/>
                <w:iCs w:val="0"/>
                <w:color w:val="000000"/>
                <w:sz w:val="20"/>
                <w:szCs w:val="20"/>
                <w:u w:val="none"/>
              </w:rPr>
            </w:pPr>
          </w:p>
        </w:tc>
        <w:tc>
          <w:tcPr>
            <w:tcW w:w="1291" w:type="dxa"/>
            <w:tcBorders>
              <w:top w:val="nil"/>
              <w:left w:val="nil"/>
              <w:bottom w:val="single" w:color="000000" w:sz="8" w:space="0"/>
              <w:right w:val="single" w:color="000000" w:sz="8" w:space="0"/>
            </w:tcBorders>
            <w:shd w:val="clear" w:color="auto" w:fill="DEEBF6" w:themeFill="accent1" w:themeFillTint="32"/>
            <w:noWrap/>
            <w:vAlign w:val="center"/>
          </w:tcPr>
          <w:p w14:paraId="06137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DE6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981" w:type="dxa"/>
            <w:tcBorders>
              <w:top w:val="nil"/>
              <w:left w:val="single" w:color="000000" w:sz="8" w:space="0"/>
              <w:bottom w:val="single" w:color="000000" w:sz="8" w:space="0"/>
              <w:right w:val="single" w:color="000000" w:sz="8" w:space="0"/>
            </w:tcBorders>
            <w:shd w:val="clear" w:color="auto" w:fill="auto"/>
            <w:noWrap/>
            <w:vAlign w:val="center"/>
          </w:tcPr>
          <w:p w14:paraId="33244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56" w:type="dxa"/>
            <w:tcBorders>
              <w:top w:val="nil"/>
              <w:left w:val="nil"/>
              <w:bottom w:val="single" w:color="000000" w:sz="8" w:space="0"/>
              <w:right w:val="single" w:color="000000" w:sz="8" w:space="0"/>
            </w:tcBorders>
            <w:shd w:val="clear" w:color="auto" w:fill="auto"/>
            <w:noWrap/>
            <w:vAlign w:val="center"/>
          </w:tcPr>
          <w:p w14:paraId="38470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608,065.27</w:t>
            </w:r>
          </w:p>
        </w:tc>
        <w:tc>
          <w:tcPr>
            <w:tcW w:w="1500" w:type="dxa"/>
            <w:tcBorders>
              <w:top w:val="nil"/>
              <w:left w:val="nil"/>
              <w:bottom w:val="single" w:color="000000" w:sz="8" w:space="0"/>
              <w:right w:val="single" w:color="000000" w:sz="8" w:space="0"/>
            </w:tcBorders>
            <w:shd w:val="clear" w:color="auto" w:fill="auto"/>
            <w:noWrap/>
            <w:vAlign w:val="center"/>
          </w:tcPr>
          <w:p w14:paraId="0B09492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100,770.00</w:t>
            </w:r>
          </w:p>
        </w:tc>
        <w:tc>
          <w:tcPr>
            <w:tcW w:w="1463" w:type="dxa"/>
            <w:tcBorders>
              <w:top w:val="nil"/>
              <w:left w:val="nil"/>
              <w:bottom w:val="single" w:color="000000" w:sz="8" w:space="0"/>
              <w:right w:val="single" w:color="000000" w:sz="8" w:space="0"/>
            </w:tcBorders>
            <w:shd w:val="clear" w:color="auto" w:fill="auto"/>
            <w:noWrap/>
            <w:vAlign w:val="center"/>
          </w:tcPr>
          <w:p w14:paraId="73A33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56,091.62</w:t>
            </w:r>
          </w:p>
        </w:tc>
        <w:tc>
          <w:tcPr>
            <w:tcW w:w="1331" w:type="dxa"/>
            <w:tcBorders>
              <w:top w:val="nil"/>
              <w:left w:val="nil"/>
              <w:bottom w:val="single" w:color="000000" w:sz="8" w:space="0"/>
              <w:right w:val="single" w:color="000000" w:sz="8" w:space="0"/>
            </w:tcBorders>
            <w:shd w:val="clear" w:color="auto" w:fill="auto"/>
            <w:noWrap/>
            <w:vAlign w:val="center"/>
          </w:tcPr>
          <w:p w14:paraId="41A5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50,341.18</w:t>
            </w:r>
          </w:p>
        </w:tc>
        <w:tc>
          <w:tcPr>
            <w:tcW w:w="1291" w:type="dxa"/>
            <w:tcBorders>
              <w:top w:val="nil"/>
              <w:left w:val="nil"/>
              <w:bottom w:val="single" w:color="000000" w:sz="8" w:space="0"/>
              <w:right w:val="single" w:color="000000" w:sz="8" w:space="0"/>
            </w:tcBorders>
            <w:shd w:val="clear" w:color="auto" w:fill="auto"/>
            <w:noWrap/>
            <w:vAlign w:val="center"/>
          </w:tcPr>
          <w:p w14:paraId="367F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501,544.83</w:t>
            </w:r>
          </w:p>
        </w:tc>
      </w:tr>
    </w:tbl>
    <w:p w14:paraId="3FB72A6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2.基本支出</w:t>
      </w:r>
    </w:p>
    <w:p w14:paraId="3C4503E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bookmarkStart w:id="109" w:name="_Toc13920"/>
      <w:bookmarkStart w:id="110" w:name="_Toc19209"/>
      <w:bookmarkStart w:id="111" w:name="_Toc6466"/>
      <w:r>
        <w:rPr>
          <w:rFonts w:hint="eastAsia" w:ascii="仿宋" w:hAnsi="仿宋" w:eastAsia="仿宋" w:cs="仿宋"/>
          <w:sz w:val="32"/>
          <w:szCs w:val="32"/>
          <w:lang w:eastAsia="zh-CN" w:bidi="ar"/>
        </w:rPr>
        <w:t>区委巡察办</w:t>
      </w:r>
      <w:r>
        <w:rPr>
          <w:rFonts w:hint="eastAsia" w:ascii="仿宋" w:hAnsi="仿宋" w:eastAsia="仿宋" w:cs="仿宋"/>
          <w:sz w:val="32"/>
          <w:szCs w:val="32"/>
          <w:lang w:bidi="ar"/>
        </w:rPr>
        <w:t>2024年度基本支出调整后预算数</w:t>
      </w:r>
      <w:r>
        <w:rPr>
          <w:rFonts w:hint="eastAsia" w:ascii="仿宋" w:hAnsi="仿宋" w:eastAsia="仿宋" w:cs="仿宋"/>
          <w:sz w:val="32"/>
          <w:szCs w:val="32"/>
          <w:lang w:val="en-US" w:eastAsia="zh-CN" w:bidi="ar"/>
        </w:rPr>
        <w:t>83.40</w:t>
      </w:r>
      <w:r>
        <w:rPr>
          <w:rFonts w:hint="eastAsia" w:ascii="仿宋" w:hAnsi="仿宋" w:eastAsia="仿宋" w:cs="仿宋"/>
          <w:sz w:val="32"/>
          <w:szCs w:val="32"/>
          <w:lang w:bidi="ar"/>
        </w:rPr>
        <w:t>万元，调整后支出</w:t>
      </w:r>
      <w:r>
        <w:rPr>
          <w:rFonts w:hint="eastAsia" w:ascii="仿宋" w:hAnsi="仿宋" w:eastAsia="仿宋" w:cs="仿宋"/>
          <w:sz w:val="32"/>
          <w:szCs w:val="32"/>
          <w:lang w:val="en-US" w:eastAsia="zh-CN" w:bidi="ar"/>
        </w:rPr>
        <w:t>92.55</w:t>
      </w:r>
      <w:r>
        <w:rPr>
          <w:rFonts w:hint="eastAsia" w:ascii="仿宋" w:hAnsi="仿宋" w:eastAsia="仿宋" w:cs="仿宋"/>
          <w:sz w:val="32"/>
          <w:szCs w:val="32"/>
          <w:lang w:bidi="ar"/>
        </w:rPr>
        <w:t>万元，实际执行率</w:t>
      </w:r>
      <w:r>
        <w:rPr>
          <w:rFonts w:hint="eastAsia" w:ascii="仿宋" w:hAnsi="仿宋" w:eastAsia="仿宋" w:cs="仿宋"/>
          <w:sz w:val="32"/>
          <w:szCs w:val="32"/>
          <w:lang w:val="en-US" w:eastAsia="zh-CN" w:bidi="ar"/>
        </w:rPr>
        <w:t>110.97</w:t>
      </w:r>
      <w:r>
        <w:rPr>
          <w:rFonts w:hint="eastAsia" w:ascii="仿宋" w:hAnsi="仿宋" w:eastAsia="仿宋" w:cs="仿宋"/>
          <w:sz w:val="32"/>
          <w:szCs w:val="32"/>
          <w:lang w:bidi="ar"/>
        </w:rPr>
        <w:t>%，年末超支</w:t>
      </w:r>
      <w:r>
        <w:rPr>
          <w:rFonts w:hint="eastAsia" w:ascii="仿宋" w:hAnsi="仿宋" w:eastAsia="仿宋" w:cs="仿宋"/>
          <w:sz w:val="32"/>
          <w:szCs w:val="32"/>
          <w:lang w:val="en-US" w:eastAsia="zh-CN" w:bidi="ar"/>
        </w:rPr>
        <w:t>9.15</w:t>
      </w:r>
      <w:r>
        <w:rPr>
          <w:rFonts w:hint="eastAsia" w:ascii="仿宋" w:hAnsi="仿宋" w:eastAsia="仿宋" w:cs="仿宋"/>
          <w:sz w:val="32"/>
          <w:szCs w:val="32"/>
          <w:lang w:bidi="ar"/>
        </w:rPr>
        <w:t>万元。具体明细见下表：</w:t>
      </w:r>
      <w:bookmarkEnd w:id="109"/>
      <w:bookmarkEnd w:id="110"/>
      <w:bookmarkEnd w:id="111"/>
    </w:p>
    <w:tbl>
      <w:tblPr>
        <w:tblStyle w:val="11"/>
        <w:tblW w:w="8838" w:type="dxa"/>
        <w:tblInd w:w="93" w:type="dxa"/>
        <w:tblLayout w:type="fixed"/>
        <w:tblCellMar>
          <w:top w:w="0" w:type="dxa"/>
          <w:left w:w="108" w:type="dxa"/>
          <w:bottom w:w="0" w:type="dxa"/>
          <w:right w:w="108" w:type="dxa"/>
        </w:tblCellMar>
      </w:tblPr>
      <w:tblGrid>
        <w:gridCol w:w="486"/>
        <w:gridCol w:w="2006"/>
        <w:gridCol w:w="1533"/>
        <w:gridCol w:w="1335"/>
        <w:gridCol w:w="1187"/>
        <w:gridCol w:w="1145"/>
        <w:gridCol w:w="1146"/>
      </w:tblGrid>
      <w:tr w14:paraId="1E891B17">
        <w:tblPrEx>
          <w:tblCellMar>
            <w:top w:w="0" w:type="dxa"/>
            <w:left w:w="108" w:type="dxa"/>
            <w:bottom w:w="0" w:type="dxa"/>
            <w:right w:w="108" w:type="dxa"/>
          </w:tblCellMar>
        </w:tblPrEx>
        <w:trPr>
          <w:trHeight w:val="332" w:hRule="atLeast"/>
          <w:tblHeader/>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14:paraId="3EB2B4B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序号</w:t>
            </w:r>
          </w:p>
        </w:tc>
        <w:tc>
          <w:tcPr>
            <w:tcW w:w="2006" w:type="dxa"/>
            <w:vMerge w:val="restart"/>
            <w:tcBorders>
              <w:top w:val="single" w:color="000000" w:sz="4" w:space="0"/>
              <w:left w:val="single" w:color="000000" w:sz="4" w:space="0"/>
              <w:bottom w:val="single" w:color="000000" w:sz="4" w:space="0"/>
              <w:right w:val="single" w:color="000000" w:sz="4" w:space="0"/>
            </w:tcBorders>
            <w:vAlign w:val="center"/>
          </w:tcPr>
          <w:p w14:paraId="68CBB27C">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项目</w:t>
            </w:r>
          </w:p>
        </w:tc>
        <w:tc>
          <w:tcPr>
            <w:tcW w:w="1533" w:type="dxa"/>
            <w:vMerge w:val="restart"/>
            <w:tcBorders>
              <w:top w:val="single" w:color="000000" w:sz="4" w:space="0"/>
              <w:left w:val="single" w:color="000000" w:sz="4" w:space="0"/>
              <w:bottom w:val="single" w:color="000000" w:sz="4" w:space="0"/>
              <w:right w:val="single" w:color="000000" w:sz="4" w:space="0"/>
            </w:tcBorders>
            <w:vAlign w:val="center"/>
          </w:tcPr>
          <w:p w14:paraId="698B2F5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调整后全年预算</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1BA4E75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决算报表数</w:t>
            </w:r>
          </w:p>
        </w:tc>
        <w:tc>
          <w:tcPr>
            <w:tcW w:w="1187" w:type="dxa"/>
            <w:vMerge w:val="restart"/>
            <w:tcBorders>
              <w:top w:val="single" w:color="000000" w:sz="4" w:space="0"/>
              <w:left w:val="single" w:color="000000" w:sz="4" w:space="0"/>
              <w:bottom w:val="single" w:color="000000" w:sz="4" w:space="0"/>
              <w:right w:val="single" w:color="000000" w:sz="4" w:space="0"/>
            </w:tcBorders>
            <w:vAlign w:val="center"/>
          </w:tcPr>
          <w:p w14:paraId="15DD0CDE">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重分类数</w:t>
            </w:r>
          </w:p>
        </w:tc>
        <w:tc>
          <w:tcPr>
            <w:tcW w:w="229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C4357B8">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调整后支出较预算增+（减－）</w:t>
            </w:r>
          </w:p>
        </w:tc>
      </w:tr>
      <w:tr w14:paraId="4387BF32">
        <w:tblPrEx>
          <w:tblCellMar>
            <w:top w:w="0" w:type="dxa"/>
            <w:left w:w="108" w:type="dxa"/>
            <w:bottom w:w="0" w:type="dxa"/>
            <w:right w:w="108" w:type="dxa"/>
          </w:tblCellMar>
        </w:tblPrEx>
        <w:trPr>
          <w:trHeight w:val="332"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0CE114C1">
            <w:pPr>
              <w:jc w:val="center"/>
              <w:textAlignment w:val="center"/>
              <w:outlineLvl w:val="9"/>
              <w:rPr>
                <w:rFonts w:hint="eastAsia" w:ascii="宋体" w:hAnsi="宋体" w:eastAsia="宋体" w:cs="宋体"/>
                <w:color w:val="000000"/>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14:paraId="31E5E9F6">
            <w:pPr>
              <w:jc w:val="center"/>
              <w:textAlignment w:val="center"/>
              <w:outlineLvl w:val="9"/>
              <w:rPr>
                <w:rFonts w:hint="eastAsia" w:ascii="宋体" w:hAnsi="宋体" w:eastAsia="宋体" w:cs="宋体"/>
                <w:color w:val="000000"/>
                <w:sz w:val="21"/>
                <w:szCs w:val="21"/>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5C4D3E89">
            <w:pPr>
              <w:jc w:val="center"/>
              <w:textAlignment w:val="center"/>
              <w:outlineLvl w:val="9"/>
              <w:rPr>
                <w:rFonts w:hint="eastAsia"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1A64E224">
            <w:pPr>
              <w:jc w:val="center"/>
              <w:textAlignment w:val="center"/>
              <w:outlineLvl w:val="9"/>
              <w:rPr>
                <w:rFonts w:hint="eastAsia" w:ascii="宋体" w:hAnsi="宋体" w:eastAsia="宋体" w:cs="宋体"/>
                <w:color w:val="000000"/>
                <w:sz w:val="21"/>
                <w:szCs w:val="21"/>
              </w:rPr>
            </w:pPr>
          </w:p>
        </w:tc>
        <w:tc>
          <w:tcPr>
            <w:tcW w:w="1187" w:type="dxa"/>
            <w:vMerge w:val="continue"/>
            <w:tcBorders>
              <w:top w:val="single" w:color="000000" w:sz="4" w:space="0"/>
              <w:left w:val="single" w:color="000000" w:sz="4" w:space="0"/>
              <w:bottom w:val="single" w:color="000000" w:sz="4" w:space="0"/>
              <w:right w:val="single" w:color="000000" w:sz="4" w:space="0"/>
            </w:tcBorders>
            <w:vAlign w:val="center"/>
          </w:tcPr>
          <w:p w14:paraId="755C6056">
            <w:pPr>
              <w:jc w:val="center"/>
              <w:textAlignment w:val="center"/>
              <w:outlineLvl w:val="9"/>
              <w:rPr>
                <w:rFonts w:hint="eastAsia" w:ascii="宋体" w:hAnsi="宋体" w:eastAsia="宋体" w:cs="宋体"/>
                <w:color w:val="000000"/>
                <w:sz w:val="21"/>
                <w:szCs w:val="21"/>
              </w:rPr>
            </w:pPr>
          </w:p>
        </w:tc>
        <w:tc>
          <w:tcPr>
            <w:tcW w:w="229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E8C2D8">
            <w:pPr>
              <w:jc w:val="center"/>
              <w:textAlignment w:val="center"/>
              <w:outlineLvl w:val="9"/>
              <w:rPr>
                <w:rFonts w:hint="eastAsia" w:ascii="宋体" w:hAnsi="宋体" w:eastAsia="宋体" w:cs="宋体"/>
                <w:color w:val="000000"/>
                <w:sz w:val="21"/>
                <w:szCs w:val="21"/>
              </w:rPr>
            </w:pPr>
          </w:p>
        </w:tc>
      </w:tr>
      <w:tr w14:paraId="417B68C0">
        <w:tblPrEx>
          <w:tblCellMar>
            <w:top w:w="0" w:type="dxa"/>
            <w:left w:w="108" w:type="dxa"/>
            <w:bottom w:w="0" w:type="dxa"/>
            <w:right w:w="108" w:type="dxa"/>
          </w:tblCellMar>
        </w:tblPrEx>
        <w:trPr>
          <w:trHeight w:val="300"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49BEBC34">
            <w:pPr>
              <w:jc w:val="center"/>
              <w:rPr>
                <w:rFonts w:hint="eastAsia" w:ascii="宋体" w:hAnsi="宋体" w:eastAsia="宋体" w:cs="宋体"/>
                <w:color w:val="000000"/>
                <w:sz w:val="21"/>
                <w:szCs w:val="21"/>
              </w:rPr>
            </w:pPr>
          </w:p>
        </w:tc>
        <w:tc>
          <w:tcPr>
            <w:tcW w:w="2006" w:type="dxa"/>
            <w:vMerge w:val="continue"/>
            <w:tcBorders>
              <w:top w:val="single" w:color="000000" w:sz="4" w:space="0"/>
              <w:left w:val="single" w:color="000000" w:sz="4" w:space="0"/>
              <w:bottom w:val="single" w:color="000000" w:sz="4" w:space="0"/>
              <w:right w:val="single" w:color="000000" w:sz="4" w:space="0"/>
            </w:tcBorders>
            <w:vAlign w:val="center"/>
          </w:tcPr>
          <w:p w14:paraId="3546E4F8">
            <w:pPr>
              <w:jc w:val="center"/>
              <w:rPr>
                <w:rFonts w:hint="eastAsia" w:ascii="宋体" w:hAnsi="宋体" w:eastAsia="宋体" w:cs="宋体"/>
                <w:color w:val="000000"/>
                <w:sz w:val="21"/>
                <w:szCs w:val="21"/>
              </w:rPr>
            </w:pPr>
          </w:p>
        </w:tc>
        <w:tc>
          <w:tcPr>
            <w:tcW w:w="1533" w:type="dxa"/>
            <w:vMerge w:val="continue"/>
            <w:tcBorders>
              <w:top w:val="single" w:color="000000" w:sz="4" w:space="0"/>
              <w:left w:val="single" w:color="000000" w:sz="4" w:space="0"/>
              <w:bottom w:val="single" w:color="000000" w:sz="4" w:space="0"/>
              <w:right w:val="single" w:color="000000" w:sz="4" w:space="0"/>
            </w:tcBorders>
            <w:vAlign w:val="center"/>
          </w:tcPr>
          <w:p w14:paraId="7BCABBE8">
            <w:pPr>
              <w:jc w:val="center"/>
              <w:rPr>
                <w:rFonts w:hint="eastAsia" w:ascii="宋体" w:hAnsi="宋体" w:eastAsia="宋体" w:cs="宋体"/>
                <w:color w:val="000000"/>
                <w:sz w:val="21"/>
                <w:szCs w:val="21"/>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2B97ADDE">
            <w:pPr>
              <w:jc w:val="center"/>
              <w:rPr>
                <w:rFonts w:hint="eastAsia" w:ascii="宋体" w:hAnsi="宋体" w:eastAsia="宋体" w:cs="宋体"/>
                <w:color w:val="000000"/>
                <w:sz w:val="21"/>
                <w:szCs w:val="21"/>
              </w:rPr>
            </w:pPr>
          </w:p>
        </w:tc>
        <w:tc>
          <w:tcPr>
            <w:tcW w:w="1187" w:type="dxa"/>
            <w:vMerge w:val="continue"/>
            <w:tcBorders>
              <w:top w:val="single" w:color="000000" w:sz="4" w:space="0"/>
              <w:left w:val="single" w:color="000000" w:sz="4" w:space="0"/>
              <w:bottom w:val="single" w:color="000000" w:sz="4" w:space="0"/>
              <w:right w:val="single" w:color="000000" w:sz="4" w:space="0"/>
            </w:tcBorders>
            <w:vAlign w:val="center"/>
          </w:tcPr>
          <w:p w14:paraId="1655FF70">
            <w:pPr>
              <w:jc w:val="center"/>
              <w:rPr>
                <w:rFonts w:hint="eastAsia" w:ascii="宋体" w:hAnsi="宋体" w:eastAsia="宋体" w:cs="宋体"/>
                <w:color w:val="000000"/>
                <w:sz w:val="21"/>
                <w:szCs w:val="21"/>
              </w:rPr>
            </w:pPr>
          </w:p>
        </w:tc>
        <w:tc>
          <w:tcPr>
            <w:tcW w:w="1145" w:type="dxa"/>
            <w:tcBorders>
              <w:top w:val="single" w:color="000000" w:sz="4" w:space="0"/>
              <w:left w:val="single" w:color="000000" w:sz="4" w:space="0"/>
              <w:bottom w:val="single" w:color="000000" w:sz="4" w:space="0"/>
              <w:right w:val="single" w:color="000000" w:sz="4" w:space="0"/>
            </w:tcBorders>
            <w:vAlign w:val="center"/>
          </w:tcPr>
          <w:p w14:paraId="7C351DF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金额</w:t>
            </w:r>
          </w:p>
        </w:tc>
        <w:tc>
          <w:tcPr>
            <w:tcW w:w="1146" w:type="dxa"/>
            <w:tcBorders>
              <w:top w:val="single" w:color="000000" w:sz="4" w:space="0"/>
              <w:left w:val="single" w:color="000000" w:sz="4" w:space="0"/>
              <w:bottom w:val="single" w:color="000000" w:sz="4" w:space="0"/>
              <w:right w:val="single" w:color="000000" w:sz="4" w:space="0"/>
            </w:tcBorders>
            <w:vAlign w:val="center"/>
          </w:tcPr>
          <w:p w14:paraId="1CCB620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比例</w:t>
            </w:r>
          </w:p>
        </w:tc>
      </w:tr>
      <w:tr w14:paraId="7A30F6B3">
        <w:tblPrEx>
          <w:tblCellMar>
            <w:top w:w="0" w:type="dxa"/>
            <w:left w:w="108" w:type="dxa"/>
            <w:bottom w:w="0" w:type="dxa"/>
            <w:right w:w="108" w:type="dxa"/>
          </w:tblCellMar>
        </w:tblPrEx>
        <w:trPr>
          <w:trHeight w:val="440" w:hRule="atLeast"/>
        </w:trPr>
        <w:tc>
          <w:tcPr>
            <w:tcW w:w="486" w:type="dxa"/>
            <w:tcBorders>
              <w:top w:val="single" w:color="000000" w:sz="4" w:space="0"/>
              <w:left w:val="single" w:color="000000" w:sz="4" w:space="0"/>
              <w:bottom w:val="single" w:color="auto" w:sz="4" w:space="0"/>
              <w:right w:val="single" w:color="000000" w:sz="4" w:space="0"/>
            </w:tcBorders>
            <w:vAlign w:val="center"/>
          </w:tcPr>
          <w:p w14:paraId="366E63EB">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006" w:type="dxa"/>
            <w:tcBorders>
              <w:top w:val="single" w:color="000000" w:sz="4" w:space="0"/>
              <w:left w:val="single" w:color="000000" w:sz="4" w:space="0"/>
              <w:bottom w:val="single" w:color="auto" w:sz="4" w:space="0"/>
              <w:right w:val="single" w:color="000000" w:sz="4" w:space="0"/>
            </w:tcBorders>
            <w:vAlign w:val="center"/>
          </w:tcPr>
          <w:p w14:paraId="43FC03DD">
            <w:pPr>
              <w:keepNext w:val="0"/>
              <w:keepLines w:val="0"/>
              <w:widowControl/>
              <w:suppressLineNumbers w:val="0"/>
              <w:jc w:val="both"/>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基本支出－人员经费</w:t>
            </w:r>
          </w:p>
        </w:tc>
        <w:tc>
          <w:tcPr>
            <w:tcW w:w="1533" w:type="dxa"/>
            <w:tcBorders>
              <w:top w:val="single" w:color="000000" w:sz="4" w:space="0"/>
              <w:left w:val="single" w:color="000000" w:sz="4" w:space="0"/>
              <w:bottom w:val="single" w:color="auto" w:sz="4" w:space="0"/>
              <w:right w:val="single" w:color="000000" w:sz="4" w:space="0"/>
            </w:tcBorders>
            <w:vAlign w:val="center"/>
          </w:tcPr>
          <w:p w14:paraId="362D18CA">
            <w:pPr>
              <w:jc w:val="center"/>
              <w:rPr>
                <w:rFonts w:hint="default" w:ascii="宋体" w:hAnsi="宋体" w:eastAsia="宋体" w:cs="宋体"/>
                <w:color w:val="000000"/>
                <w:sz w:val="21"/>
                <w:szCs w:val="21"/>
                <w:lang w:val="en-US"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7B1CDF9C">
            <w:pPr>
              <w:jc w:val="center"/>
              <w:rPr>
                <w:rFonts w:hint="default" w:ascii="宋体" w:hAnsi="宋体" w:eastAsia="宋体" w:cs="宋体"/>
                <w:color w:val="000000"/>
                <w:sz w:val="21"/>
                <w:szCs w:val="21"/>
                <w:lang w:val="en-US" w:eastAsia="zh-CN"/>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9B3F188">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19.86</w:t>
            </w:r>
          </w:p>
        </w:tc>
        <w:tc>
          <w:tcPr>
            <w:tcW w:w="1145" w:type="dxa"/>
            <w:tcBorders>
              <w:top w:val="single" w:color="000000" w:sz="4" w:space="0"/>
              <w:left w:val="single" w:color="000000" w:sz="4" w:space="0"/>
              <w:bottom w:val="single" w:color="000000" w:sz="4" w:space="0"/>
              <w:right w:val="single" w:color="000000" w:sz="4" w:space="0"/>
            </w:tcBorders>
            <w:vAlign w:val="center"/>
          </w:tcPr>
          <w:p w14:paraId="4745CE2A">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19.86</w:t>
            </w:r>
          </w:p>
        </w:tc>
        <w:tc>
          <w:tcPr>
            <w:tcW w:w="1146" w:type="dxa"/>
            <w:tcBorders>
              <w:top w:val="single" w:color="000000" w:sz="4" w:space="0"/>
              <w:left w:val="single" w:color="000000" w:sz="4" w:space="0"/>
              <w:bottom w:val="single" w:color="000000" w:sz="4" w:space="0"/>
              <w:right w:val="single" w:color="000000" w:sz="4" w:space="0"/>
            </w:tcBorders>
            <w:vAlign w:val="center"/>
          </w:tcPr>
          <w:p w14:paraId="5C030057">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100.00%</w:t>
            </w:r>
          </w:p>
        </w:tc>
      </w:tr>
      <w:tr w14:paraId="7E8C2CA9">
        <w:tblPrEx>
          <w:tblCellMar>
            <w:top w:w="0" w:type="dxa"/>
            <w:left w:w="108" w:type="dxa"/>
            <w:bottom w:w="0" w:type="dxa"/>
            <w:right w:w="108" w:type="dxa"/>
          </w:tblCellMar>
        </w:tblPrEx>
        <w:trPr>
          <w:trHeight w:val="440" w:hRule="atLeast"/>
        </w:trPr>
        <w:tc>
          <w:tcPr>
            <w:tcW w:w="486" w:type="dxa"/>
            <w:tcBorders>
              <w:top w:val="single" w:color="auto" w:sz="4" w:space="0"/>
              <w:left w:val="single" w:color="auto" w:sz="4" w:space="0"/>
              <w:bottom w:val="single" w:color="auto" w:sz="4" w:space="0"/>
              <w:right w:val="single" w:color="000000" w:sz="4" w:space="0"/>
            </w:tcBorders>
            <w:vAlign w:val="center"/>
          </w:tcPr>
          <w:p w14:paraId="43751CD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006" w:type="dxa"/>
            <w:tcBorders>
              <w:top w:val="single" w:color="auto" w:sz="4" w:space="0"/>
              <w:left w:val="nil"/>
              <w:bottom w:val="single" w:color="auto" w:sz="4" w:space="0"/>
              <w:right w:val="nil"/>
            </w:tcBorders>
            <w:noWrap/>
            <w:vAlign w:val="center"/>
          </w:tcPr>
          <w:p w14:paraId="7EE0995A">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基本支出－公用经费</w:t>
            </w:r>
          </w:p>
        </w:tc>
        <w:tc>
          <w:tcPr>
            <w:tcW w:w="1533" w:type="dxa"/>
            <w:tcBorders>
              <w:top w:val="single" w:color="auto" w:sz="4" w:space="0"/>
              <w:left w:val="single" w:color="000000" w:sz="4" w:space="0"/>
              <w:bottom w:val="single" w:color="auto" w:sz="4" w:space="0"/>
              <w:right w:val="single" w:color="auto" w:sz="4" w:space="0"/>
            </w:tcBorders>
            <w:vAlign w:val="center"/>
          </w:tcPr>
          <w:p w14:paraId="096820D0">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83.40</w:t>
            </w:r>
          </w:p>
        </w:tc>
        <w:tc>
          <w:tcPr>
            <w:tcW w:w="1335" w:type="dxa"/>
            <w:tcBorders>
              <w:top w:val="single" w:color="000000" w:sz="4" w:space="0"/>
              <w:left w:val="single" w:color="auto" w:sz="4" w:space="0"/>
              <w:bottom w:val="single" w:color="000000" w:sz="4" w:space="0"/>
              <w:right w:val="single" w:color="000000" w:sz="4" w:space="0"/>
            </w:tcBorders>
            <w:vAlign w:val="center"/>
          </w:tcPr>
          <w:p w14:paraId="7ABF7CA3">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83.44</w:t>
            </w:r>
          </w:p>
        </w:tc>
        <w:tc>
          <w:tcPr>
            <w:tcW w:w="1187" w:type="dxa"/>
            <w:tcBorders>
              <w:top w:val="single" w:color="000000" w:sz="4" w:space="0"/>
              <w:left w:val="single" w:color="000000" w:sz="4" w:space="0"/>
              <w:bottom w:val="single" w:color="000000" w:sz="4" w:space="0"/>
              <w:right w:val="single" w:color="000000" w:sz="4" w:space="0"/>
            </w:tcBorders>
            <w:vAlign w:val="center"/>
          </w:tcPr>
          <w:p w14:paraId="48A27160">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72.69</w:t>
            </w:r>
          </w:p>
        </w:tc>
        <w:tc>
          <w:tcPr>
            <w:tcW w:w="1145" w:type="dxa"/>
            <w:tcBorders>
              <w:top w:val="single" w:color="000000" w:sz="4" w:space="0"/>
              <w:left w:val="single" w:color="000000" w:sz="4" w:space="0"/>
              <w:bottom w:val="single" w:color="000000" w:sz="4" w:space="0"/>
              <w:right w:val="single" w:color="000000" w:sz="4" w:space="0"/>
            </w:tcBorders>
            <w:vAlign w:val="center"/>
          </w:tcPr>
          <w:p w14:paraId="1AE4400D">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-10.71</w:t>
            </w:r>
          </w:p>
        </w:tc>
        <w:tc>
          <w:tcPr>
            <w:tcW w:w="1146" w:type="dxa"/>
            <w:tcBorders>
              <w:top w:val="single" w:color="000000" w:sz="4" w:space="0"/>
              <w:left w:val="single" w:color="000000" w:sz="4" w:space="0"/>
              <w:bottom w:val="single" w:color="000000" w:sz="4" w:space="0"/>
              <w:right w:val="single" w:color="000000" w:sz="4" w:space="0"/>
            </w:tcBorders>
            <w:vAlign w:val="center"/>
          </w:tcPr>
          <w:p w14:paraId="4179F3D6">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-12.84%</w:t>
            </w:r>
          </w:p>
        </w:tc>
      </w:tr>
      <w:tr w14:paraId="06F19154">
        <w:tblPrEx>
          <w:tblCellMar>
            <w:top w:w="0" w:type="dxa"/>
            <w:left w:w="108" w:type="dxa"/>
            <w:bottom w:w="0" w:type="dxa"/>
            <w:right w:w="108" w:type="dxa"/>
          </w:tblCellMar>
        </w:tblPrEx>
        <w:trPr>
          <w:trHeight w:val="440" w:hRule="atLeast"/>
        </w:trPr>
        <w:tc>
          <w:tcPr>
            <w:tcW w:w="2492" w:type="dxa"/>
            <w:gridSpan w:val="2"/>
            <w:tcBorders>
              <w:top w:val="single" w:color="auto" w:sz="4" w:space="0"/>
              <w:left w:val="single" w:color="000000" w:sz="4" w:space="0"/>
              <w:bottom w:val="single" w:color="000000" w:sz="4" w:space="0"/>
              <w:right w:val="single" w:color="000000" w:sz="4" w:space="0"/>
            </w:tcBorders>
            <w:vAlign w:val="center"/>
          </w:tcPr>
          <w:p w14:paraId="1FC354D9">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合 计</w:t>
            </w:r>
          </w:p>
        </w:tc>
        <w:tc>
          <w:tcPr>
            <w:tcW w:w="1533" w:type="dxa"/>
            <w:tcBorders>
              <w:top w:val="single" w:color="auto" w:sz="4" w:space="0"/>
              <w:left w:val="single" w:color="000000" w:sz="4" w:space="0"/>
              <w:bottom w:val="single" w:color="000000" w:sz="4" w:space="0"/>
              <w:right w:val="single" w:color="000000" w:sz="4" w:space="0"/>
            </w:tcBorders>
            <w:vAlign w:val="center"/>
          </w:tcPr>
          <w:p w14:paraId="239AD629">
            <w:pPr>
              <w:keepNext w:val="0"/>
              <w:keepLines w:val="0"/>
              <w:widowControl/>
              <w:suppressLineNumbers w:val="0"/>
              <w:jc w:val="center"/>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83.40</w:t>
            </w:r>
          </w:p>
        </w:tc>
        <w:tc>
          <w:tcPr>
            <w:tcW w:w="1335" w:type="dxa"/>
            <w:tcBorders>
              <w:top w:val="single" w:color="000000" w:sz="4" w:space="0"/>
              <w:left w:val="single" w:color="000000" w:sz="4" w:space="0"/>
              <w:bottom w:val="single" w:color="000000" w:sz="4" w:space="0"/>
              <w:right w:val="single" w:color="000000" w:sz="4" w:space="0"/>
            </w:tcBorders>
            <w:vAlign w:val="center"/>
          </w:tcPr>
          <w:p w14:paraId="0616A7C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83.44</w:t>
            </w:r>
          </w:p>
        </w:tc>
        <w:tc>
          <w:tcPr>
            <w:tcW w:w="1187" w:type="dxa"/>
            <w:tcBorders>
              <w:top w:val="single" w:color="000000" w:sz="4" w:space="0"/>
              <w:left w:val="single" w:color="000000" w:sz="4" w:space="0"/>
              <w:bottom w:val="single" w:color="000000" w:sz="4" w:space="0"/>
              <w:right w:val="single" w:color="000000" w:sz="4" w:space="0"/>
            </w:tcBorders>
            <w:vAlign w:val="center"/>
          </w:tcPr>
          <w:p w14:paraId="4645B719">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92.55</w:t>
            </w:r>
          </w:p>
        </w:tc>
        <w:tc>
          <w:tcPr>
            <w:tcW w:w="1145" w:type="dxa"/>
            <w:tcBorders>
              <w:top w:val="single" w:color="000000" w:sz="4" w:space="0"/>
              <w:left w:val="single" w:color="000000" w:sz="4" w:space="0"/>
              <w:bottom w:val="single" w:color="000000" w:sz="4" w:space="0"/>
              <w:right w:val="single" w:color="000000" w:sz="4" w:space="0"/>
            </w:tcBorders>
            <w:vAlign w:val="center"/>
          </w:tcPr>
          <w:p w14:paraId="7B8E127E">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9.15</w:t>
            </w:r>
          </w:p>
        </w:tc>
        <w:tc>
          <w:tcPr>
            <w:tcW w:w="1146" w:type="dxa"/>
            <w:tcBorders>
              <w:top w:val="single" w:color="000000" w:sz="4" w:space="0"/>
              <w:left w:val="single" w:color="000000" w:sz="4" w:space="0"/>
              <w:bottom w:val="single" w:color="000000" w:sz="4" w:space="0"/>
              <w:right w:val="single" w:color="000000" w:sz="4" w:space="0"/>
            </w:tcBorders>
            <w:vAlign w:val="center"/>
          </w:tcPr>
          <w:p w14:paraId="146878D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10.97%</w:t>
            </w:r>
          </w:p>
        </w:tc>
      </w:tr>
    </w:tbl>
    <w:p w14:paraId="7C60EB3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eastAsia="zh-CN" w:bidi="ar"/>
        </w:rPr>
      </w:pPr>
      <w:bookmarkStart w:id="112" w:name="_Toc22894"/>
      <w:bookmarkStart w:id="113" w:name="_Toc9060"/>
      <w:bookmarkStart w:id="114" w:name="_Toc21727"/>
      <w:bookmarkStart w:id="115" w:name="_Toc20915"/>
      <w:r>
        <w:rPr>
          <w:rFonts w:hint="eastAsia" w:ascii="仿宋" w:hAnsi="仿宋" w:eastAsia="仿宋" w:cs="仿宋"/>
          <w:sz w:val="32"/>
          <w:szCs w:val="32"/>
          <w:lang w:bidi="ar"/>
        </w:rPr>
        <w:t>从上表可以看出：2024年度</w:t>
      </w:r>
      <w:r>
        <w:rPr>
          <w:rFonts w:hint="eastAsia" w:ascii="仿宋" w:hAnsi="仿宋" w:eastAsia="仿宋" w:cs="仿宋"/>
          <w:sz w:val="32"/>
          <w:szCs w:val="32"/>
          <w:lang w:eastAsia="zh-CN" w:bidi="ar"/>
        </w:rPr>
        <w:t>区委巡察办</w:t>
      </w:r>
      <w:r>
        <w:rPr>
          <w:rFonts w:hint="eastAsia" w:ascii="仿宋" w:hAnsi="仿宋" w:eastAsia="仿宋" w:cs="仿宋"/>
          <w:sz w:val="32"/>
          <w:szCs w:val="32"/>
          <w:lang w:bidi="ar"/>
        </w:rPr>
        <w:t>基本支出中</w:t>
      </w:r>
      <w:r>
        <w:rPr>
          <w:rFonts w:hint="eastAsia" w:ascii="仿宋" w:hAnsi="仿宋" w:eastAsia="仿宋" w:cs="仿宋"/>
          <w:sz w:val="32"/>
          <w:szCs w:val="32"/>
          <w:lang w:eastAsia="zh-CN" w:bidi="ar"/>
        </w:rPr>
        <w:t>人员经费</w:t>
      </w:r>
      <w:r>
        <w:rPr>
          <w:rFonts w:hint="eastAsia" w:ascii="仿宋" w:hAnsi="仿宋" w:eastAsia="仿宋" w:cs="仿宋"/>
          <w:sz w:val="32"/>
          <w:szCs w:val="32"/>
          <w:lang w:bidi="ar"/>
        </w:rPr>
        <w:t>较预算超支占比最高，超支额</w:t>
      </w:r>
      <w:r>
        <w:rPr>
          <w:rFonts w:hint="eastAsia" w:ascii="仿宋" w:hAnsi="仿宋" w:eastAsia="仿宋" w:cs="仿宋"/>
          <w:sz w:val="32"/>
          <w:szCs w:val="32"/>
          <w:lang w:val="en-US" w:eastAsia="zh-CN" w:bidi="ar"/>
        </w:rPr>
        <w:t>19.86</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主要为巡察补助，</w:t>
      </w:r>
      <w:r>
        <w:rPr>
          <w:rFonts w:hint="eastAsia" w:ascii="仿宋" w:hAnsi="仿宋" w:eastAsia="仿宋" w:cs="仿宋"/>
          <w:sz w:val="32"/>
          <w:szCs w:val="32"/>
          <w:lang w:bidi="ar"/>
        </w:rPr>
        <w:t>超支率</w:t>
      </w:r>
      <w:r>
        <w:rPr>
          <w:rFonts w:hint="eastAsia" w:ascii="仿宋" w:hAnsi="仿宋" w:eastAsia="仿宋" w:cs="仿宋"/>
          <w:sz w:val="32"/>
          <w:szCs w:val="32"/>
          <w:lang w:val="en-US" w:eastAsia="zh-CN" w:bidi="ar"/>
        </w:rPr>
        <w:t>100.00</w:t>
      </w:r>
      <w:r>
        <w:rPr>
          <w:rFonts w:hint="eastAsia" w:ascii="仿宋" w:hAnsi="仿宋" w:eastAsia="仿宋" w:cs="仿宋"/>
          <w:sz w:val="32"/>
          <w:szCs w:val="32"/>
          <w:lang w:bidi="ar"/>
        </w:rPr>
        <w:t>%。</w:t>
      </w:r>
      <w:bookmarkEnd w:id="112"/>
      <w:bookmarkEnd w:id="113"/>
      <w:bookmarkEnd w:id="114"/>
      <w:bookmarkEnd w:id="115"/>
    </w:p>
    <w:p w14:paraId="3AC379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项目支出</w:t>
      </w:r>
    </w:p>
    <w:p w14:paraId="326CEAF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16" w:name="_Toc13330"/>
      <w:bookmarkStart w:id="117" w:name="_Toc23021"/>
      <w:bookmarkStart w:id="118" w:name="_Toc18079"/>
      <w:r>
        <w:rPr>
          <w:rFonts w:hint="eastAsia" w:ascii="仿宋" w:hAnsi="仿宋" w:eastAsia="仿宋" w:cs="仿宋"/>
          <w:sz w:val="32"/>
          <w:szCs w:val="32"/>
          <w:lang w:eastAsia="zh-CN" w:bidi="ar"/>
        </w:rPr>
        <w:t>区委巡察办</w:t>
      </w:r>
      <w:r>
        <w:rPr>
          <w:rFonts w:hint="eastAsia" w:ascii="仿宋" w:hAnsi="仿宋" w:eastAsia="仿宋" w:cs="仿宋"/>
          <w:sz w:val="32"/>
          <w:szCs w:val="32"/>
          <w:lang w:bidi="ar"/>
        </w:rPr>
        <w:t>2024年度项目支出主要用于</w:t>
      </w:r>
      <w:r>
        <w:rPr>
          <w:rFonts w:hint="eastAsia" w:ascii="仿宋" w:hAnsi="仿宋" w:eastAsia="仿宋" w:cs="仿宋"/>
          <w:sz w:val="32"/>
          <w:szCs w:val="32"/>
          <w:lang w:eastAsia="zh-CN" w:bidi="ar"/>
        </w:rPr>
        <w:t>市委、区委巡察</w:t>
      </w:r>
      <w:r>
        <w:rPr>
          <w:rFonts w:hint="eastAsia" w:ascii="仿宋" w:hAnsi="仿宋" w:eastAsia="仿宋" w:cs="仿宋"/>
          <w:sz w:val="32"/>
          <w:szCs w:val="32"/>
          <w:lang w:bidi="ar"/>
        </w:rPr>
        <w:t>等项目运转，调整后预算数</w:t>
      </w:r>
      <w:r>
        <w:rPr>
          <w:rFonts w:hint="eastAsia" w:ascii="仿宋" w:hAnsi="仿宋" w:eastAsia="仿宋" w:cs="仿宋"/>
          <w:sz w:val="32"/>
          <w:szCs w:val="32"/>
          <w:lang w:val="en-US" w:eastAsia="zh-CN" w:bidi="ar"/>
        </w:rPr>
        <w:t>62.72</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后支出</w:t>
      </w:r>
      <w:r>
        <w:rPr>
          <w:rFonts w:hint="eastAsia" w:ascii="仿宋" w:hAnsi="仿宋" w:eastAsia="仿宋" w:cs="仿宋"/>
          <w:sz w:val="32"/>
          <w:szCs w:val="32"/>
          <w:lang w:val="en-US" w:eastAsia="zh-CN" w:bidi="ar"/>
        </w:rPr>
        <w:t>50.15</w:t>
      </w:r>
      <w:r>
        <w:rPr>
          <w:rFonts w:hint="eastAsia" w:ascii="仿宋" w:hAnsi="仿宋" w:eastAsia="仿宋" w:cs="仿宋"/>
          <w:sz w:val="32"/>
          <w:szCs w:val="32"/>
          <w:lang w:bidi="ar"/>
        </w:rPr>
        <w:t>万元，实际执行率</w:t>
      </w:r>
      <w:r>
        <w:rPr>
          <w:rFonts w:hint="eastAsia" w:ascii="仿宋" w:hAnsi="仿宋" w:eastAsia="仿宋" w:cs="仿宋"/>
          <w:sz w:val="32"/>
          <w:szCs w:val="32"/>
          <w:lang w:val="en-US" w:eastAsia="zh-CN" w:bidi="ar"/>
        </w:rPr>
        <w:t>79.97</w:t>
      </w:r>
      <w:r>
        <w:rPr>
          <w:rFonts w:hint="eastAsia" w:ascii="仿宋" w:hAnsi="仿宋" w:eastAsia="仿宋" w:cs="仿宋"/>
          <w:sz w:val="32"/>
          <w:szCs w:val="32"/>
          <w:lang w:bidi="ar"/>
        </w:rPr>
        <w:t>%。</w:t>
      </w:r>
      <w:bookmarkEnd w:id="116"/>
      <w:bookmarkEnd w:id="117"/>
      <w:bookmarkEnd w:id="118"/>
    </w:p>
    <w:p w14:paraId="6F8AFA6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bookmarkStart w:id="119" w:name="_Toc3410"/>
      <w:bookmarkStart w:id="120" w:name="_Toc14624"/>
      <w:bookmarkStart w:id="121" w:name="_Toc25295"/>
      <w:bookmarkStart w:id="122" w:name="_Toc13759"/>
      <w:r>
        <w:rPr>
          <w:rFonts w:hint="eastAsia" w:ascii="仿宋" w:hAnsi="仿宋" w:eastAsia="仿宋" w:cs="仿宋"/>
          <w:b/>
          <w:bCs/>
          <w:sz w:val="32"/>
          <w:szCs w:val="32"/>
          <w:lang w:val="en-US" w:eastAsia="zh-CN" w:bidi="ar-SA"/>
        </w:rPr>
        <w:t>4.“三公”经费</w:t>
      </w:r>
      <w:r>
        <w:rPr>
          <w:rFonts w:hint="eastAsia" w:ascii="仿宋" w:hAnsi="仿宋" w:eastAsia="仿宋" w:cs="仿宋"/>
          <w:b/>
          <w:bCs/>
          <w:sz w:val="32"/>
          <w:szCs w:val="32"/>
          <w:lang w:eastAsia="zh-CN"/>
        </w:rPr>
        <w:t>重分类数据</w:t>
      </w:r>
      <w:r>
        <w:rPr>
          <w:rFonts w:hint="eastAsia" w:ascii="仿宋" w:hAnsi="仿宋" w:eastAsia="仿宋" w:cs="仿宋"/>
          <w:b/>
          <w:bCs/>
          <w:sz w:val="32"/>
          <w:szCs w:val="32"/>
        </w:rPr>
        <w:t>汇总及分析</w:t>
      </w:r>
      <w:bookmarkEnd w:id="119"/>
      <w:bookmarkEnd w:id="120"/>
      <w:bookmarkEnd w:id="121"/>
    </w:p>
    <w:p w14:paraId="6EB92E5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23" w:name="_Toc30643"/>
      <w:bookmarkStart w:id="124" w:name="_Toc16105"/>
      <w:bookmarkStart w:id="125" w:name="_Toc7255"/>
      <w:r>
        <w:rPr>
          <w:rFonts w:hint="eastAsia" w:ascii="仿宋" w:hAnsi="仿宋" w:eastAsia="仿宋" w:cs="仿宋"/>
          <w:sz w:val="32"/>
          <w:szCs w:val="32"/>
          <w:lang w:eastAsia="zh-CN" w:bidi="ar"/>
        </w:rPr>
        <w:t>区委巡察办</w:t>
      </w:r>
      <w:r>
        <w:rPr>
          <w:rFonts w:hint="eastAsia" w:ascii="仿宋" w:hAnsi="仿宋" w:eastAsia="仿宋" w:cs="仿宋"/>
          <w:sz w:val="32"/>
          <w:szCs w:val="32"/>
          <w:lang w:bidi="ar"/>
        </w:rPr>
        <w:t>2024年“三公”经费</w:t>
      </w:r>
      <w:r>
        <w:rPr>
          <w:rFonts w:hint="eastAsia" w:ascii="仿宋" w:hAnsi="仿宋" w:eastAsia="仿宋" w:cs="仿宋"/>
          <w:sz w:val="32"/>
          <w:szCs w:val="32"/>
          <w:lang w:eastAsia="zh-CN" w:bidi="ar"/>
        </w:rPr>
        <w:t>重分类数为</w:t>
      </w:r>
      <w:r>
        <w:rPr>
          <w:rFonts w:hint="eastAsia" w:ascii="仿宋" w:hAnsi="仿宋" w:eastAsia="仿宋" w:cs="仿宋"/>
          <w:sz w:val="32"/>
          <w:szCs w:val="32"/>
          <w:lang w:val="en-US" w:eastAsia="zh-CN" w:bidi="ar"/>
        </w:rPr>
        <w:t>0.09</w:t>
      </w:r>
      <w:r>
        <w:rPr>
          <w:rFonts w:hint="eastAsia" w:ascii="仿宋" w:hAnsi="仿宋" w:eastAsia="仿宋" w:cs="仿宋"/>
          <w:sz w:val="32"/>
          <w:szCs w:val="32"/>
          <w:lang w:bidi="ar"/>
        </w:rPr>
        <w:t>万元，其中：因公出国（境）费0</w:t>
      </w:r>
      <w:r>
        <w:rPr>
          <w:rFonts w:hint="eastAsia" w:ascii="仿宋" w:hAnsi="仿宋" w:eastAsia="仿宋" w:cs="仿宋"/>
          <w:sz w:val="32"/>
          <w:szCs w:val="32"/>
          <w:lang w:val="en-US" w:eastAsia="zh-CN" w:bidi="ar"/>
        </w:rPr>
        <w:t>.00</w:t>
      </w:r>
      <w:r>
        <w:rPr>
          <w:rFonts w:hint="eastAsia" w:ascii="仿宋" w:hAnsi="仿宋" w:eastAsia="仿宋" w:cs="仿宋"/>
          <w:sz w:val="32"/>
          <w:szCs w:val="32"/>
          <w:lang w:bidi="ar"/>
        </w:rPr>
        <w:t>万元，公务用车购置及运行维护</w:t>
      </w:r>
      <w:bookmarkEnd w:id="122"/>
      <w:bookmarkEnd w:id="123"/>
      <w:bookmarkEnd w:id="124"/>
      <w:bookmarkEnd w:id="125"/>
      <w:r>
        <w:rPr>
          <w:rFonts w:hint="eastAsia" w:ascii="仿宋" w:hAnsi="仿宋" w:eastAsia="仿宋" w:cs="仿宋"/>
          <w:sz w:val="32"/>
          <w:szCs w:val="32"/>
          <w:lang w:val="en-US" w:eastAsia="zh-CN" w:bidi="ar"/>
        </w:rPr>
        <w:t>0.09</w:t>
      </w:r>
      <w:r>
        <w:rPr>
          <w:rFonts w:hint="eastAsia" w:ascii="仿宋" w:hAnsi="仿宋" w:eastAsia="仿宋" w:cs="仿宋"/>
          <w:sz w:val="32"/>
          <w:szCs w:val="32"/>
          <w:lang w:bidi="ar"/>
        </w:rPr>
        <w:t>万元，公务接待费</w:t>
      </w:r>
      <w:r>
        <w:rPr>
          <w:rFonts w:hint="eastAsia" w:ascii="仿宋" w:hAnsi="仿宋" w:eastAsia="仿宋" w:cs="仿宋"/>
          <w:sz w:val="32"/>
          <w:szCs w:val="32"/>
          <w:lang w:val="en-US" w:eastAsia="zh-CN" w:bidi="ar"/>
        </w:rPr>
        <w:t>0.00</w:t>
      </w:r>
      <w:r>
        <w:rPr>
          <w:rFonts w:hint="eastAsia" w:ascii="仿宋" w:hAnsi="仿宋" w:eastAsia="仿宋" w:cs="仿宋"/>
          <w:sz w:val="32"/>
          <w:szCs w:val="32"/>
          <w:lang w:bidi="ar"/>
        </w:rPr>
        <w:t>万元。具体明细见下表：</w:t>
      </w:r>
    </w:p>
    <w:tbl>
      <w:tblPr>
        <w:tblStyle w:val="21"/>
        <w:tblW w:w="89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083"/>
        <w:gridCol w:w="1300"/>
        <w:gridCol w:w="1484"/>
        <w:gridCol w:w="1500"/>
        <w:gridCol w:w="1512"/>
        <w:gridCol w:w="981"/>
        <w:gridCol w:w="1052"/>
      </w:tblGrid>
      <w:tr w14:paraId="2E3E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26" w:hRule="atLeast"/>
          <w:tblHeader/>
        </w:trPr>
        <w:tc>
          <w:tcPr>
            <w:tcW w:w="1083" w:type="dxa"/>
            <w:vMerge w:val="restart"/>
            <w:tcBorders>
              <w:bottom w:val="nil"/>
            </w:tcBorders>
            <w:vAlign w:val="center"/>
          </w:tcPr>
          <w:p w14:paraId="5B2D6BF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项目</w:t>
            </w:r>
          </w:p>
        </w:tc>
        <w:tc>
          <w:tcPr>
            <w:tcW w:w="1300" w:type="dxa"/>
            <w:vMerge w:val="restart"/>
            <w:tcBorders>
              <w:bottom w:val="nil"/>
            </w:tcBorders>
            <w:vAlign w:val="center"/>
          </w:tcPr>
          <w:p w14:paraId="57486B4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2023年决数</w:t>
            </w:r>
          </w:p>
          <w:p w14:paraId="14F2242B">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484" w:type="dxa"/>
            <w:vMerge w:val="restart"/>
            <w:tcBorders>
              <w:bottom w:val="nil"/>
            </w:tcBorders>
            <w:vAlign w:val="center"/>
          </w:tcPr>
          <w:p w14:paraId="0D6D44D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2024年预算数</w:t>
            </w:r>
          </w:p>
          <w:p w14:paraId="4B02A26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500" w:type="dxa"/>
            <w:vMerge w:val="restart"/>
            <w:tcBorders>
              <w:bottom w:val="nil"/>
            </w:tcBorders>
            <w:vAlign w:val="center"/>
          </w:tcPr>
          <w:p w14:paraId="26A9C09F">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2024年决算数</w:t>
            </w:r>
          </w:p>
          <w:p w14:paraId="53FC0F21">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1512" w:type="dxa"/>
            <w:vMerge w:val="restart"/>
            <w:tcBorders>
              <w:bottom w:val="nil"/>
            </w:tcBorders>
            <w:vAlign w:val="center"/>
          </w:tcPr>
          <w:p w14:paraId="4C6996B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2024年重分数</w:t>
            </w:r>
          </w:p>
          <w:p w14:paraId="78AE0BD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（万元）</w:t>
            </w:r>
          </w:p>
        </w:tc>
        <w:tc>
          <w:tcPr>
            <w:tcW w:w="2033" w:type="dxa"/>
            <w:gridSpan w:val="2"/>
            <w:vAlign w:val="center"/>
          </w:tcPr>
          <w:p w14:paraId="11EBB01B">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2024年支出较全年预算增+（减－）</w:t>
            </w:r>
          </w:p>
        </w:tc>
      </w:tr>
      <w:tr w14:paraId="34A68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61" w:hRule="atLeast"/>
          <w:tblHeader/>
        </w:trPr>
        <w:tc>
          <w:tcPr>
            <w:tcW w:w="1083" w:type="dxa"/>
            <w:vMerge w:val="continue"/>
            <w:tcBorders>
              <w:top w:val="nil"/>
            </w:tcBorders>
            <w:vAlign w:val="center"/>
          </w:tcPr>
          <w:p w14:paraId="06B00C4B">
            <w:pPr>
              <w:jc w:val="center"/>
              <w:textAlignment w:val="center"/>
              <w:outlineLvl w:val="9"/>
              <w:rPr>
                <w:rFonts w:hint="eastAsia" w:ascii="宋体" w:hAnsi="宋体" w:eastAsia="宋体" w:cs="宋体"/>
                <w:color w:val="000000"/>
                <w:sz w:val="21"/>
                <w:szCs w:val="21"/>
                <w:lang w:eastAsia="zh-CN" w:bidi="ar"/>
              </w:rPr>
            </w:pPr>
          </w:p>
        </w:tc>
        <w:tc>
          <w:tcPr>
            <w:tcW w:w="1300" w:type="dxa"/>
            <w:vMerge w:val="continue"/>
            <w:tcBorders>
              <w:top w:val="nil"/>
            </w:tcBorders>
            <w:vAlign w:val="center"/>
          </w:tcPr>
          <w:p w14:paraId="19FEFEE6">
            <w:pPr>
              <w:jc w:val="center"/>
              <w:textAlignment w:val="center"/>
              <w:outlineLvl w:val="9"/>
              <w:rPr>
                <w:rFonts w:hint="eastAsia" w:ascii="宋体" w:hAnsi="宋体" w:eastAsia="宋体" w:cs="宋体"/>
                <w:color w:val="000000"/>
                <w:sz w:val="21"/>
                <w:szCs w:val="21"/>
                <w:lang w:eastAsia="zh-CN" w:bidi="ar"/>
              </w:rPr>
            </w:pPr>
          </w:p>
        </w:tc>
        <w:tc>
          <w:tcPr>
            <w:tcW w:w="1484" w:type="dxa"/>
            <w:vMerge w:val="continue"/>
            <w:tcBorders>
              <w:top w:val="nil"/>
            </w:tcBorders>
            <w:vAlign w:val="center"/>
          </w:tcPr>
          <w:p w14:paraId="457CFC75">
            <w:pPr>
              <w:jc w:val="center"/>
              <w:textAlignment w:val="center"/>
              <w:outlineLvl w:val="9"/>
              <w:rPr>
                <w:rFonts w:hint="eastAsia" w:ascii="宋体" w:hAnsi="宋体" w:eastAsia="宋体" w:cs="宋体"/>
                <w:color w:val="000000"/>
                <w:sz w:val="21"/>
                <w:szCs w:val="21"/>
                <w:lang w:eastAsia="zh-CN" w:bidi="ar"/>
              </w:rPr>
            </w:pPr>
          </w:p>
        </w:tc>
        <w:tc>
          <w:tcPr>
            <w:tcW w:w="1500" w:type="dxa"/>
            <w:vMerge w:val="continue"/>
            <w:tcBorders>
              <w:top w:val="nil"/>
            </w:tcBorders>
            <w:vAlign w:val="center"/>
          </w:tcPr>
          <w:p w14:paraId="71FB3816">
            <w:pPr>
              <w:jc w:val="center"/>
              <w:textAlignment w:val="center"/>
              <w:outlineLvl w:val="9"/>
              <w:rPr>
                <w:rFonts w:hint="eastAsia" w:ascii="宋体" w:hAnsi="宋体" w:eastAsia="宋体" w:cs="宋体"/>
                <w:color w:val="000000"/>
                <w:sz w:val="21"/>
                <w:szCs w:val="21"/>
                <w:lang w:eastAsia="zh-CN" w:bidi="ar"/>
              </w:rPr>
            </w:pPr>
          </w:p>
        </w:tc>
        <w:tc>
          <w:tcPr>
            <w:tcW w:w="1512" w:type="dxa"/>
            <w:vMerge w:val="continue"/>
            <w:tcBorders>
              <w:top w:val="nil"/>
            </w:tcBorders>
            <w:vAlign w:val="center"/>
          </w:tcPr>
          <w:p w14:paraId="08F0B7B1">
            <w:pPr>
              <w:jc w:val="center"/>
              <w:textAlignment w:val="center"/>
              <w:outlineLvl w:val="9"/>
              <w:rPr>
                <w:rFonts w:hint="eastAsia" w:ascii="宋体" w:hAnsi="宋体" w:eastAsia="宋体" w:cs="宋体"/>
                <w:color w:val="000000"/>
                <w:sz w:val="21"/>
                <w:szCs w:val="21"/>
                <w:lang w:eastAsia="zh-CN" w:bidi="ar"/>
              </w:rPr>
            </w:pPr>
          </w:p>
        </w:tc>
        <w:tc>
          <w:tcPr>
            <w:tcW w:w="981" w:type="dxa"/>
            <w:vAlign w:val="center"/>
          </w:tcPr>
          <w:p w14:paraId="26E6F285">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金额</w:t>
            </w:r>
          </w:p>
        </w:tc>
        <w:tc>
          <w:tcPr>
            <w:tcW w:w="1052" w:type="dxa"/>
            <w:vAlign w:val="center"/>
          </w:tcPr>
          <w:p w14:paraId="7D849F53">
            <w:pPr>
              <w:jc w:val="center"/>
              <w:textAlignment w:val="center"/>
              <w:outlineLvl w:val="9"/>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占比</w:t>
            </w:r>
          </w:p>
        </w:tc>
      </w:tr>
      <w:tr w14:paraId="1FFE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31954EBF">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公务用车</w:t>
            </w:r>
            <w:r>
              <w:rPr>
                <w:rFonts w:hint="eastAsia" w:ascii="宋体" w:hAnsi="宋体" w:eastAsia="宋体" w:cs="宋体"/>
                <w:color w:val="000000"/>
                <w:sz w:val="21"/>
                <w:szCs w:val="21"/>
                <w:lang w:eastAsia="zh-CN" w:bidi="ar"/>
              </w:rPr>
              <w:t>购置及</w:t>
            </w:r>
            <w:r>
              <w:rPr>
                <w:rFonts w:hint="eastAsia" w:ascii="宋体" w:hAnsi="宋体" w:eastAsia="宋体" w:cs="宋体"/>
                <w:color w:val="000000"/>
                <w:sz w:val="21"/>
                <w:szCs w:val="21"/>
                <w:lang w:bidi="ar"/>
              </w:rPr>
              <w:t>运行维护费</w:t>
            </w:r>
          </w:p>
        </w:tc>
        <w:tc>
          <w:tcPr>
            <w:tcW w:w="1300" w:type="dxa"/>
            <w:vAlign w:val="center"/>
          </w:tcPr>
          <w:p w14:paraId="77B1B908">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0.00</w:t>
            </w:r>
          </w:p>
        </w:tc>
        <w:tc>
          <w:tcPr>
            <w:tcW w:w="1484" w:type="dxa"/>
            <w:vAlign w:val="center"/>
          </w:tcPr>
          <w:p w14:paraId="6B9FC89C">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0.00</w:t>
            </w:r>
          </w:p>
        </w:tc>
        <w:tc>
          <w:tcPr>
            <w:tcW w:w="1500" w:type="dxa"/>
            <w:vAlign w:val="center"/>
          </w:tcPr>
          <w:p w14:paraId="38A07366">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0.00</w:t>
            </w:r>
          </w:p>
        </w:tc>
        <w:tc>
          <w:tcPr>
            <w:tcW w:w="1512" w:type="dxa"/>
            <w:vAlign w:val="center"/>
          </w:tcPr>
          <w:p w14:paraId="3B17374F">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0.09</w:t>
            </w:r>
          </w:p>
        </w:tc>
        <w:tc>
          <w:tcPr>
            <w:tcW w:w="981" w:type="dxa"/>
            <w:vAlign w:val="center"/>
          </w:tcPr>
          <w:p w14:paraId="4A415239">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0.09</w:t>
            </w:r>
          </w:p>
        </w:tc>
        <w:tc>
          <w:tcPr>
            <w:tcW w:w="1052" w:type="dxa"/>
            <w:vAlign w:val="center"/>
          </w:tcPr>
          <w:p w14:paraId="18DFADD1">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100.00%</w:t>
            </w:r>
          </w:p>
        </w:tc>
      </w:tr>
      <w:tr w14:paraId="3194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266039F6">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合计</w:t>
            </w:r>
          </w:p>
        </w:tc>
        <w:tc>
          <w:tcPr>
            <w:tcW w:w="1300" w:type="dxa"/>
            <w:vAlign w:val="center"/>
          </w:tcPr>
          <w:p w14:paraId="06B4F60D">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0.00</w:t>
            </w:r>
          </w:p>
        </w:tc>
        <w:tc>
          <w:tcPr>
            <w:tcW w:w="1484" w:type="dxa"/>
            <w:vAlign w:val="center"/>
          </w:tcPr>
          <w:p w14:paraId="2A7E17F2">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0.00</w:t>
            </w:r>
          </w:p>
        </w:tc>
        <w:tc>
          <w:tcPr>
            <w:tcW w:w="1500" w:type="dxa"/>
            <w:vAlign w:val="center"/>
          </w:tcPr>
          <w:p w14:paraId="3876A1C8">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0.00</w:t>
            </w:r>
          </w:p>
        </w:tc>
        <w:tc>
          <w:tcPr>
            <w:tcW w:w="1512" w:type="dxa"/>
            <w:vAlign w:val="center"/>
          </w:tcPr>
          <w:p w14:paraId="79160A8A">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0.09</w:t>
            </w:r>
          </w:p>
        </w:tc>
        <w:tc>
          <w:tcPr>
            <w:tcW w:w="981" w:type="dxa"/>
            <w:vAlign w:val="center"/>
          </w:tcPr>
          <w:p w14:paraId="0AA95A80">
            <w:pPr>
              <w:jc w:val="center"/>
              <w:textAlignment w:val="center"/>
              <w:outlineLvl w:val="9"/>
              <w:rPr>
                <w:rFonts w:hint="default"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0.09</w:t>
            </w:r>
          </w:p>
        </w:tc>
        <w:tc>
          <w:tcPr>
            <w:tcW w:w="1052" w:type="dxa"/>
            <w:vAlign w:val="center"/>
          </w:tcPr>
          <w:p w14:paraId="69D42F93">
            <w:pPr>
              <w:jc w:val="center"/>
              <w:textAlignment w:val="center"/>
              <w:outlineLvl w:val="9"/>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100.00%</w:t>
            </w:r>
          </w:p>
        </w:tc>
      </w:tr>
    </w:tbl>
    <w:p w14:paraId="15639D5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26" w:name="_Toc27827"/>
      <w:bookmarkStart w:id="127" w:name="_Toc19587"/>
      <w:bookmarkStart w:id="128" w:name="_Toc2217"/>
      <w:bookmarkStart w:id="129" w:name="_Toc11161"/>
      <w:r>
        <w:rPr>
          <w:rFonts w:hint="eastAsia" w:ascii="仿宋" w:hAnsi="仿宋" w:eastAsia="仿宋" w:cs="仿宋"/>
          <w:sz w:val="32"/>
          <w:szCs w:val="32"/>
          <w:lang w:bidi="ar"/>
        </w:rPr>
        <w:t>从上表可以看出：2024年度</w:t>
      </w:r>
      <w:r>
        <w:rPr>
          <w:rFonts w:hint="eastAsia" w:ascii="仿宋" w:hAnsi="仿宋" w:eastAsia="仿宋" w:cs="仿宋"/>
          <w:sz w:val="32"/>
          <w:szCs w:val="32"/>
          <w:lang w:eastAsia="zh-CN" w:bidi="ar"/>
        </w:rPr>
        <w:t>区委巡察办</w:t>
      </w:r>
      <w:r>
        <w:rPr>
          <w:rFonts w:hint="eastAsia" w:ascii="仿宋" w:hAnsi="仿宋" w:eastAsia="仿宋" w:cs="仿宋"/>
          <w:sz w:val="32"/>
          <w:szCs w:val="32"/>
          <w:lang w:bidi="ar"/>
        </w:rPr>
        <w:t>“三公”经费</w:t>
      </w:r>
      <w:r>
        <w:rPr>
          <w:rFonts w:hint="eastAsia" w:ascii="仿宋" w:hAnsi="仿宋" w:eastAsia="仿宋" w:cs="仿宋"/>
          <w:sz w:val="32"/>
          <w:szCs w:val="32"/>
          <w:lang w:eastAsia="zh-CN" w:bidi="ar"/>
        </w:rPr>
        <w:t>重分类</w:t>
      </w:r>
      <w:r>
        <w:rPr>
          <w:rFonts w:hint="eastAsia" w:ascii="仿宋" w:hAnsi="仿宋" w:eastAsia="仿宋" w:cs="仿宋"/>
          <w:sz w:val="32"/>
          <w:szCs w:val="32"/>
          <w:lang w:bidi="ar"/>
        </w:rPr>
        <w:t>后支出</w:t>
      </w:r>
      <w:r>
        <w:rPr>
          <w:rFonts w:hint="eastAsia" w:ascii="仿宋" w:hAnsi="仿宋" w:eastAsia="仿宋" w:cs="仿宋"/>
          <w:sz w:val="32"/>
          <w:szCs w:val="32"/>
          <w:lang w:val="en-US" w:eastAsia="zh-CN" w:bidi="ar"/>
        </w:rPr>
        <w:t>0.09</w:t>
      </w:r>
      <w:r>
        <w:rPr>
          <w:rFonts w:hint="eastAsia" w:ascii="仿宋" w:hAnsi="仿宋" w:eastAsia="仿宋" w:cs="仿宋"/>
          <w:sz w:val="32"/>
          <w:szCs w:val="32"/>
          <w:lang w:bidi="ar"/>
        </w:rPr>
        <w:t>万元</w:t>
      </w:r>
      <w:r>
        <w:rPr>
          <w:rFonts w:hint="eastAsia" w:ascii="仿宋" w:hAnsi="仿宋" w:eastAsia="仿宋" w:cs="仿宋"/>
          <w:sz w:val="32"/>
          <w:szCs w:val="32"/>
          <w:lang w:val="en-US" w:eastAsia="zh-CN" w:bidi="ar"/>
        </w:rPr>
        <w:t>(为党建活动租车费）</w:t>
      </w:r>
      <w:r>
        <w:rPr>
          <w:rFonts w:hint="eastAsia" w:ascii="仿宋" w:hAnsi="仿宋" w:eastAsia="仿宋" w:cs="仿宋"/>
          <w:sz w:val="32"/>
          <w:szCs w:val="32"/>
          <w:lang w:bidi="ar"/>
        </w:rPr>
        <w:t>，较2023年增加</w:t>
      </w:r>
      <w:r>
        <w:rPr>
          <w:rFonts w:hint="eastAsia" w:ascii="仿宋" w:hAnsi="仿宋" w:eastAsia="仿宋" w:cs="仿宋"/>
          <w:sz w:val="32"/>
          <w:szCs w:val="32"/>
          <w:lang w:val="en-US" w:eastAsia="zh-CN" w:bidi="ar"/>
        </w:rPr>
        <w:t>0.09</w:t>
      </w:r>
      <w:r>
        <w:rPr>
          <w:rFonts w:hint="eastAsia" w:ascii="仿宋" w:hAnsi="仿宋" w:eastAsia="仿宋" w:cs="仿宋"/>
          <w:sz w:val="32"/>
          <w:szCs w:val="32"/>
          <w:lang w:bidi="ar"/>
        </w:rPr>
        <w:t>万元，</w:t>
      </w:r>
      <w:r>
        <w:rPr>
          <w:rFonts w:hint="eastAsia" w:ascii="仿宋" w:hAnsi="仿宋" w:eastAsia="仿宋" w:cs="仿宋"/>
          <w:sz w:val="32"/>
          <w:szCs w:val="32"/>
          <w:lang w:eastAsia="zh-CN" w:bidi="ar"/>
        </w:rPr>
        <w:t>超支</w:t>
      </w:r>
      <w:r>
        <w:rPr>
          <w:rFonts w:hint="eastAsia" w:ascii="仿宋" w:hAnsi="仿宋" w:eastAsia="仿宋" w:cs="仿宋"/>
          <w:sz w:val="32"/>
          <w:szCs w:val="32"/>
          <w:lang w:val="en-US" w:eastAsia="zh-CN" w:bidi="ar"/>
        </w:rPr>
        <w:t>100</w:t>
      </w:r>
      <w:r>
        <w:rPr>
          <w:rFonts w:hint="eastAsia" w:ascii="仿宋" w:hAnsi="仿宋" w:eastAsia="仿宋" w:cs="仿宋"/>
          <w:sz w:val="32"/>
          <w:szCs w:val="32"/>
          <w:lang w:bidi="ar"/>
        </w:rPr>
        <w:t>%。</w:t>
      </w:r>
      <w:bookmarkEnd w:id="126"/>
      <w:bookmarkEnd w:id="127"/>
      <w:bookmarkEnd w:id="128"/>
      <w:bookmarkEnd w:id="129"/>
    </w:p>
    <w:p w14:paraId="4EA29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会议费情况汇总</w:t>
      </w:r>
    </w:p>
    <w:p w14:paraId="63D5BC9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bidi="ar"/>
        </w:rPr>
      </w:pPr>
      <w:bookmarkStart w:id="130" w:name="_Toc27526"/>
      <w:bookmarkStart w:id="131" w:name="_Toc28513"/>
      <w:bookmarkStart w:id="132" w:name="_Toc28094"/>
      <w:r>
        <w:rPr>
          <w:rFonts w:hint="eastAsia" w:ascii="仿宋" w:hAnsi="仿宋" w:eastAsia="仿宋" w:cs="仿宋"/>
          <w:sz w:val="32"/>
          <w:szCs w:val="32"/>
          <w:lang w:eastAsia="zh-CN" w:bidi="ar"/>
        </w:rPr>
        <w:t>区委巡察办</w:t>
      </w:r>
      <w:r>
        <w:rPr>
          <w:rFonts w:hint="eastAsia" w:ascii="仿宋" w:hAnsi="仿宋" w:eastAsia="仿宋" w:cs="仿宋"/>
          <w:sz w:val="32"/>
          <w:szCs w:val="32"/>
          <w:lang w:bidi="ar"/>
        </w:rPr>
        <w:t>2024年</w:t>
      </w:r>
      <w:r>
        <w:rPr>
          <w:rFonts w:hint="eastAsia" w:ascii="仿宋" w:hAnsi="仿宋" w:eastAsia="仿宋" w:cs="仿宋"/>
          <w:sz w:val="32"/>
          <w:szCs w:val="32"/>
          <w:lang w:eastAsia="zh-CN" w:bidi="ar"/>
        </w:rPr>
        <w:t>无</w:t>
      </w:r>
      <w:r>
        <w:rPr>
          <w:rFonts w:hint="eastAsia" w:ascii="仿宋" w:hAnsi="仿宋" w:eastAsia="仿宋" w:cs="仿宋"/>
          <w:sz w:val="32"/>
          <w:szCs w:val="32"/>
          <w:lang w:bidi="ar"/>
        </w:rPr>
        <w:t>会议费</w:t>
      </w:r>
      <w:bookmarkEnd w:id="130"/>
      <w:bookmarkEnd w:id="131"/>
      <w:bookmarkEnd w:id="132"/>
      <w:r>
        <w:rPr>
          <w:rFonts w:hint="eastAsia" w:ascii="仿宋" w:hAnsi="仿宋" w:eastAsia="仿宋" w:cs="仿宋"/>
          <w:sz w:val="32"/>
          <w:szCs w:val="32"/>
          <w:lang w:eastAsia="zh-CN" w:bidi="ar"/>
        </w:rPr>
        <w:t>。</w:t>
      </w:r>
    </w:p>
    <w:p w14:paraId="75C502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6.</w:t>
      </w:r>
      <w:r>
        <w:rPr>
          <w:rFonts w:hint="eastAsia" w:ascii="仿宋" w:hAnsi="仿宋" w:eastAsia="仿宋" w:cs="仿宋"/>
          <w:b/>
          <w:bCs/>
          <w:sz w:val="32"/>
          <w:szCs w:val="32"/>
        </w:rPr>
        <w:t>办公经费情况汇总</w:t>
      </w:r>
    </w:p>
    <w:p w14:paraId="065344F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bidi="ar"/>
        </w:rPr>
      </w:pPr>
      <w:bookmarkStart w:id="133" w:name="_Toc5339"/>
      <w:bookmarkStart w:id="134" w:name="_Toc27189"/>
      <w:bookmarkStart w:id="135" w:name="_Toc13288"/>
      <w:r>
        <w:rPr>
          <w:rFonts w:hint="eastAsia" w:ascii="仿宋" w:hAnsi="仿宋" w:eastAsia="仿宋" w:cs="仿宋"/>
          <w:sz w:val="32"/>
          <w:szCs w:val="32"/>
          <w:lang w:eastAsia="zh-CN" w:bidi="ar"/>
        </w:rPr>
        <w:t>办公经费重分类数在“基本支出”和“项目支出”均有列支，</w:t>
      </w:r>
      <w:r>
        <w:rPr>
          <w:rFonts w:hint="eastAsia" w:ascii="仿宋" w:hAnsi="仿宋" w:eastAsia="仿宋" w:cs="仿宋"/>
          <w:sz w:val="32"/>
          <w:szCs w:val="32"/>
          <w:lang w:bidi="ar"/>
        </w:rPr>
        <w:t>具体明细见下表：</w:t>
      </w:r>
      <w:bookmarkEnd w:id="133"/>
      <w:bookmarkEnd w:id="134"/>
      <w:bookmarkEnd w:id="135"/>
    </w:p>
    <w:tbl>
      <w:tblPr>
        <w:tblStyle w:val="11"/>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2984"/>
        <w:gridCol w:w="2242"/>
        <w:gridCol w:w="2241"/>
      </w:tblGrid>
      <w:tr w14:paraId="2CAD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527E6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36" w:name="_Toc14135"/>
            <w:r>
              <w:rPr>
                <w:rFonts w:hint="eastAsia" w:ascii="宋体" w:hAnsi="宋体" w:eastAsia="宋体" w:cs="宋体"/>
                <w:i w:val="0"/>
                <w:iCs w:val="0"/>
                <w:color w:val="000000"/>
                <w:kern w:val="0"/>
                <w:sz w:val="22"/>
                <w:szCs w:val="22"/>
                <w:u w:val="none"/>
                <w:lang w:val="en-US" w:eastAsia="zh-CN" w:bidi="ar"/>
              </w:rPr>
              <w:t>序号</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DB46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办公经费明细</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CE6C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c>
          <w:tcPr>
            <w:tcW w:w="2241" w:type="dxa"/>
            <w:tcBorders>
              <w:top w:val="single" w:color="000000" w:sz="8" w:space="0"/>
              <w:left w:val="nil"/>
              <w:bottom w:val="single" w:color="000000" w:sz="8" w:space="0"/>
              <w:right w:val="single" w:color="000000" w:sz="8" w:space="0"/>
            </w:tcBorders>
            <w:shd w:val="clear" w:color="auto" w:fill="DDEBF7"/>
            <w:noWrap/>
            <w:vAlign w:val="center"/>
          </w:tcPr>
          <w:p w14:paraId="14AF0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597D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291E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46AAA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办公经费－办公用品及耗材</w:t>
            </w:r>
          </w:p>
        </w:tc>
        <w:tc>
          <w:tcPr>
            <w:tcW w:w="2242" w:type="dxa"/>
            <w:tcBorders>
              <w:top w:val="nil"/>
              <w:left w:val="nil"/>
              <w:bottom w:val="single" w:color="000000" w:sz="8" w:space="0"/>
              <w:right w:val="single" w:color="000000" w:sz="8" w:space="0"/>
            </w:tcBorders>
            <w:shd w:val="clear" w:color="auto" w:fill="auto"/>
            <w:noWrap/>
            <w:vAlign w:val="center"/>
          </w:tcPr>
          <w:p w14:paraId="1D49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2241" w:type="dxa"/>
            <w:tcBorders>
              <w:top w:val="nil"/>
              <w:left w:val="nil"/>
              <w:bottom w:val="single" w:color="000000" w:sz="8" w:space="0"/>
              <w:right w:val="single" w:color="000000" w:sz="8" w:space="0"/>
            </w:tcBorders>
            <w:shd w:val="clear" w:color="auto" w:fill="auto"/>
            <w:noWrap/>
            <w:vAlign w:val="center"/>
          </w:tcPr>
          <w:p w14:paraId="58AA2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r>
      <w:tr w14:paraId="18E3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FEA8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291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办公经费－报刊杂志</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7CA6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2241" w:type="dxa"/>
            <w:tcBorders>
              <w:top w:val="nil"/>
              <w:left w:val="nil"/>
              <w:bottom w:val="single" w:color="000000" w:sz="8" w:space="0"/>
              <w:right w:val="single" w:color="000000" w:sz="8" w:space="0"/>
            </w:tcBorders>
            <w:shd w:val="clear" w:color="auto" w:fill="DDEBF7"/>
            <w:noWrap/>
            <w:vAlign w:val="center"/>
          </w:tcPr>
          <w:p w14:paraId="100E3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25D6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06CC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5127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办公经费－咨询服务费</w:t>
            </w:r>
          </w:p>
        </w:tc>
        <w:tc>
          <w:tcPr>
            <w:tcW w:w="2242" w:type="dxa"/>
            <w:tcBorders>
              <w:top w:val="nil"/>
              <w:left w:val="nil"/>
              <w:bottom w:val="single" w:color="000000" w:sz="8" w:space="0"/>
              <w:right w:val="single" w:color="000000" w:sz="8" w:space="0"/>
            </w:tcBorders>
            <w:shd w:val="clear" w:color="auto" w:fill="auto"/>
            <w:noWrap/>
            <w:vAlign w:val="center"/>
          </w:tcPr>
          <w:p w14:paraId="13BA0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2241" w:type="dxa"/>
            <w:tcBorders>
              <w:top w:val="nil"/>
              <w:left w:val="nil"/>
              <w:bottom w:val="single" w:color="000000" w:sz="8" w:space="0"/>
              <w:right w:val="single" w:color="000000" w:sz="8" w:space="0"/>
            </w:tcBorders>
            <w:shd w:val="clear" w:color="auto" w:fill="auto"/>
            <w:noWrap/>
            <w:vAlign w:val="center"/>
          </w:tcPr>
          <w:p w14:paraId="084B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r>
      <w:tr w14:paraId="4553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B764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788B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办公经费－文宣及打印</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404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2241" w:type="dxa"/>
            <w:tcBorders>
              <w:top w:val="nil"/>
              <w:left w:val="nil"/>
              <w:bottom w:val="single" w:color="000000" w:sz="8" w:space="0"/>
              <w:right w:val="single" w:color="000000" w:sz="8" w:space="0"/>
            </w:tcBorders>
            <w:shd w:val="clear" w:color="auto" w:fill="DDEBF7"/>
            <w:noWrap/>
            <w:vAlign w:val="center"/>
          </w:tcPr>
          <w:p w14:paraId="77AA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r>
      <w:tr w14:paraId="5803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7EA16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201FE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办公经费－办公室修缮</w:t>
            </w:r>
          </w:p>
        </w:tc>
        <w:tc>
          <w:tcPr>
            <w:tcW w:w="2242" w:type="dxa"/>
            <w:tcBorders>
              <w:top w:val="nil"/>
              <w:left w:val="nil"/>
              <w:bottom w:val="single" w:color="000000" w:sz="8" w:space="0"/>
              <w:right w:val="single" w:color="000000" w:sz="8" w:space="0"/>
            </w:tcBorders>
            <w:shd w:val="clear" w:color="auto" w:fill="auto"/>
            <w:noWrap/>
            <w:vAlign w:val="center"/>
          </w:tcPr>
          <w:p w14:paraId="0C2E57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53.27</w:t>
            </w:r>
          </w:p>
        </w:tc>
        <w:tc>
          <w:tcPr>
            <w:tcW w:w="2241" w:type="dxa"/>
            <w:tcBorders>
              <w:top w:val="nil"/>
              <w:left w:val="nil"/>
              <w:bottom w:val="single" w:color="000000" w:sz="8" w:space="0"/>
              <w:right w:val="single" w:color="000000" w:sz="8" w:space="0"/>
            </w:tcBorders>
            <w:shd w:val="clear" w:color="auto" w:fill="auto"/>
            <w:noWrap/>
            <w:vAlign w:val="center"/>
          </w:tcPr>
          <w:p w14:paraId="7CBB3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90.10%</w:t>
            </w:r>
          </w:p>
        </w:tc>
      </w:tr>
      <w:tr w14:paraId="1B6D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58E5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56A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6EF26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2241" w:type="dxa"/>
            <w:tcBorders>
              <w:top w:val="nil"/>
              <w:left w:val="nil"/>
              <w:bottom w:val="single" w:color="000000" w:sz="8" w:space="0"/>
              <w:right w:val="single" w:color="000000" w:sz="8" w:space="0"/>
            </w:tcBorders>
            <w:shd w:val="clear" w:color="auto" w:fill="DDEBF7"/>
            <w:noWrap/>
            <w:vAlign w:val="center"/>
          </w:tcPr>
          <w:p w14:paraId="4AEBC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r>
      <w:tr w14:paraId="2D8A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3688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0510E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2" w:type="dxa"/>
            <w:tcBorders>
              <w:top w:val="nil"/>
              <w:left w:val="nil"/>
              <w:bottom w:val="single" w:color="000000" w:sz="8" w:space="0"/>
              <w:right w:val="single" w:color="000000" w:sz="8" w:space="0"/>
            </w:tcBorders>
            <w:shd w:val="clear" w:color="auto" w:fill="auto"/>
            <w:noWrap/>
            <w:vAlign w:val="center"/>
          </w:tcPr>
          <w:p w14:paraId="3480F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59.12</w:t>
            </w:r>
          </w:p>
        </w:tc>
        <w:tc>
          <w:tcPr>
            <w:tcW w:w="2241" w:type="dxa"/>
            <w:tcBorders>
              <w:top w:val="nil"/>
              <w:left w:val="nil"/>
              <w:bottom w:val="single" w:color="000000" w:sz="8" w:space="0"/>
              <w:right w:val="single" w:color="000000" w:sz="8" w:space="0"/>
            </w:tcBorders>
            <w:shd w:val="clear" w:color="auto" w:fill="auto"/>
            <w:noWrap/>
            <w:vAlign w:val="center"/>
          </w:tcPr>
          <w:p w14:paraId="32FFC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bookmarkEnd w:id="136"/>
    </w:tbl>
    <w:p w14:paraId="6EFEE7C9">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w:t>
      </w:r>
      <w:r>
        <w:rPr>
          <w:rFonts w:hint="eastAsia" w:ascii="仿宋" w:hAnsi="仿宋" w:eastAsia="仿宋" w:cs="仿宋"/>
          <w:b/>
          <w:bCs/>
          <w:sz w:val="32"/>
          <w:szCs w:val="32"/>
          <w:lang w:eastAsia="zh-CN"/>
        </w:rPr>
        <w:t>项目支出－以拨代支</w:t>
      </w:r>
      <w:r>
        <w:rPr>
          <w:rFonts w:hint="eastAsia" w:ascii="仿宋" w:hAnsi="仿宋" w:eastAsia="仿宋" w:cs="仿宋"/>
          <w:b/>
          <w:bCs/>
          <w:sz w:val="32"/>
          <w:szCs w:val="32"/>
        </w:rPr>
        <w:t>情况汇总</w:t>
      </w:r>
    </w:p>
    <w:tbl>
      <w:tblPr>
        <w:tblStyle w:val="11"/>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3"/>
        <w:gridCol w:w="4615"/>
        <w:gridCol w:w="1830"/>
        <w:gridCol w:w="1236"/>
      </w:tblGrid>
      <w:tr w14:paraId="13BC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blHeader/>
        </w:trPr>
        <w:tc>
          <w:tcPr>
            <w:tcW w:w="94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12103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137" w:name="_Toc4748"/>
            <w:r>
              <w:rPr>
                <w:rFonts w:hint="eastAsia" w:ascii="宋体" w:hAnsi="宋体" w:eastAsia="宋体" w:cs="宋体"/>
                <w:i w:val="0"/>
                <w:iCs w:val="0"/>
                <w:color w:val="000000"/>
                <w:kern w:val="0"/>
                <w:sz w:val="22"/>
                <w:szCs w:val="22"/>
                <w:u w:val="none"/>
                <w:lang w:val="en-US" w:eastAsia="zh-CN" w:bidi="ar"/>
              </w:rPr>
              <w:t>序号</w:t>
            </w:r>
          </w:p>
        </w:tc>
        <w:tc>
          <w:tcPr>
            <w:tcW w:w="4615"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2DAB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项目支出－拨付支出明细</w:t>
            </w:r>
          </w:p>
        </w:tc>
        <w:tc>
          <w:tcPr>
            <w:tcW w:w="1830" w:type="dxa"/>
            <w:tcBorders>
              <w:top w:val="single" w:color="000000" w:sz="8" w:space="0"/>
              <w:left w:val="nil"/>
              <w:bottom w:val="single" w:color="000000" w:sz="8" w:space="0"/>
              <w:right w:val="single" w:color="000000" w:sz="8" w:space="0"/>
            </w:tcBorders>
            <w:shd w:val="clear" w:color="auto" w:fill="DDEBF7"/>
            <w:noWrap/>
            <w:vAlign w:val="center"/>
          </w:tcPr>
          <w:p w14:paraId="65EB4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重分类数（万元）</w:t>
            </w:r>
          </w:p>
        </w:tc>
        <w:tc>
          <w:tcPr>
            <w:tcW w:w="1236" w:type="dxa"/>
            <w:tcBorders>
              <w:top w:val="single" w:color="000000" w:sz="8" w:space="0"/>
              <w:left w:val="nil"/>
              <w:bottom w:val="single" w:color="000000" w:sz="8" w:space="0"/>
              <w:right w:val="single" w:color="000000" w:sz="8" w:space="0"/>
            </w:tcBorders>
            <w:shd w:val="clear" w:color="auto" w:fill="DDEBF7"/>
            <w:noWrap/>
            <w:vAlign w:val="center"/>
          </w:tcPr>
          <w:p w14:paraId="4DFBB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r>
      <w:tr w14:paraId="2085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943" w:type="dxa"/>
            <w:tcBorders>
              <w:top w:val="nil"/>
              <w:left w:val="single" w:color="000000" w:sz="8" w:space="0"/>
              <w:bottom w:val="single" w:color="000000" w:sz="8" w:space="0"/>
              <w:right w:val="single" w:color="000000" w:sz="8" w:space="0"/>
            </w:tcBorders>
            <w:shd w:val="clear" w:color="auto" w:fill="auto"/>
            <w:noWrap/>
            <w:vAlign w:val="center"/>
          </w:tcPr>
          <w:p w14:paraId="137DA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5" w:type="dxa"/>
            <w:tcBorders>
              <w:top w:val="nil"/>
              <w:left w:val="single" w:color="000000" w:sz="8" w:space="0"/>
              <w:bottom w:val="single" w:color="000000" w:sz="8" w:space="0"/>
              <w:right w:val="single" w:color="000000" w:sz="8" w:space="0"/>
            </w:tcBorders>
            <w:shd w:val="clear" w:color="auto" w:fill="auto"/>
            <w:noWrap/>
            <w:vAlign w:val="center"/>
          </w:tcPr>
          <w:p w14:paraId="00931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拨付奇峰村环境工作经费</w:t>
            </w:r>
          </w:p>
        </w:tc>
        <w:tc>
          <w:tcPr>
            <w:tcW w:w="1830" w:type="dxa"/>
            <w:tcBorders>
              <w:top w:val="nil"/>
              <w:left w:val="nil"/>
              <w:bottom w:val="single" w:color="000000" w:sz="8" w:space="0"/>
              <w:right w:val="single" w:color="000000" w:sz="8" w:space="0"/>
            </w:tcBorders>
            <w:shd w:val="clear" w:color="auto" w:fill="auto"/>
            <w:noWrap/>
            <w:vAlign w:val="center"/>
          </w:tcPr>
          <w:p w14:paraId="711E72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236" w:type="dxa"/>
            <w:tcBorders>
              <w:top w:val="nil"/>
              <w:left w:val="nil"/>
              <w:bottom w:val="single" w:color="000000" w:sz="8" w:space="0"/>
              <w:right w:val="single" w:color="000000" w:sz="8" w:space="0"/>
            </w:tcBorders>
            <w:shd w:val="clear" w:color="auto" w:fill="auto"/>
            <w:noWrap/>
            <w:vAlign w:val="center"/>
          </w:tcPr>
          <w:p w14:paraId="257B6D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100.00%</w:t>
            </w:r>
          </w:p>
        </w:tc>
      </w:tr>
      <w:tr w14:paraId="2B50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943"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175C3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15" w:type="dxa"/>
            <w:tcBorders>
              <w:top w:val="nil"/>
              <w:left w:val="single" w:color="000000" w:sz="8" w:space="0"/>
              <w:bottom w:val="single" w:color="000000" w:sz="8" w:space="0"/>
              <w:right w:val="single" w:color="000000" w:sz="8" w:space="0"/>
            </w:tcBorders>
            <w:shd w:val="clear" w:color="auto" w:fill="DEEBF6" w:themeFill="accent1" w:themeFillTint="32"/>
            <w:noWrap/>
            <w:vAlign w:val="center"/>
          </w:tcPr>
          <w:p w14:paraId="364A9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30" w:type="dxa"/>
            <w:tcBorders>
              <w:top w:val="nil"/>
              <w:left w:val="nil"/>
              <w:bottom w:val="single" w:color="000000" w:sz="8" w:space="0"/>
              <w:right w:val="single" w:color="000000" w:sz="8" w:space="0"/>
            </w:tcBorders>
            <w:shd w:val="clear" w:color="auto" w:fill="DEEBF6" w:themeFill="accent1" w:themeFillTint="32"/>
            <w:noWrap/>
            <w:vAlign w:val="center"/>
          </w:tcPr>
          <w:p w14:paraId="411BF8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236" w:type="dxa"/>
            <w:tcBorders>
              <w:top w:val="nil"/>
              <w:left w:val="nil"/>
              <w:bottom w:val="single" w:color="000000" w:sz="8" w:space="0"/>
              <w:right w:val="single" w:color="000000" w:sz="8" w:space="0"/>
            </w:tcBorders>
            <w:shd w:val="clear" w:color="auto" w:fill="DEEBF6" w:themeFill="accent1" w:themeFillTint="32"/>
            <w:noWrap/>
            <w:vAlign w:val="center"/>
          </w:tcPr>
          <w:p w14:paraId="2B708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bl>
    <w:p w14:paraId="7D1D42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bookmarkStart w:id="138" w:name="_Toc20106"/>
      <w:r>
        <w:rPr>
          <w:rFonts w:hint="eastAsia" w:ascii="仿宋" w:hAnsi="仿宋" w:eastAsia="仿宋" w:cs="仿宋"/>
          <w:b w:val="0"/>
          <w:bCs w:val="0"/>
          <w:sz w:val="32"/>
          <w:szCs w:val="32"/>
          <w:lang w:val="en-US" w:eastAsia="zh-CN"/>
        </w:rPr>
        <w:t>注：12月4号凭证拨付奇峰村环境工作经费，仅依据《关于解决奇峰村工作经费困难一事》的报告，未提供相关会议审批记录；无审批流程；未明确资金数额、用途、报账要求和违约责任；在申请经费时或使用前，未明确本次资金支持所要达到的具体绩效目标，作为事后考核的依据。</w:t>
      </w:r>
    </w:p>
    <w:p w14:paraId="71862BD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8.新增财政性支出情况汇总</w:t>
      </w:r>
    </w:p>
    <w:p w14:paraId="1B35AD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无新增财政性支出。</w:t>
      </w:r>
    </w:p>
    <w:p w14:paraId="0E4A726E">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9" w:name="_Toc4678"/>
      <w:bookmarkStart w:id="140" w:name="_Toc5766"/>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）预算管理情况及分析</w:t>
      </w:r>
      <w:bookmarkEnd w:id="137"/>
      <w:bookmarkEnd w:id="138"/>
      <w:bookmarkEnd w:id="139"/>
      <w:bookmarkEnd w:id="140"/>
    </w:p>
    <w:p w14:paraId="59148B93">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1.预算管理情况</w:t>
      </w:r>
    </w:p>
    <w:p w14:paraId="043B674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（1）部门在预算管理方面建立的制度</w:t>
      </w:r>
    </w:p>
    <w:p w14:paraId="009DC5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提供了财务管理制度，其中结构包括管理方式，部门公共经费管理，部门</w:t>
      </w:r>
      <w:r>
        <w:rPr>
          <w:rFonts w:hint="eastAsia" w:ascii="仿宋" w:hAnsi="仿宋" w:eastAsia="仿宋" w:cs="仿宋"/>
          <w:sz w:val="32"/>
          <w:szCs w:val="32"/>
          <w:lang w:eastAsia="zh-CN"/>
        </w:rPr>
        <w:t>巡察</w:t>
      </w:r>
      <w:r>
        <w:rPr>
          <w:rFonts w:hint="eastAsia" w:ascii="仿宋" w:hAnsi="仿宋" w:eastAsia="仿宋" w:cs="仿宋"/>
          <w:sz w:val="32"/>
          <w:szCs w:val="32"/>
        </w:rPr>
        <w:t>经费管理及监督检查；内容包括资金审批权限、报销流程等。未提供其他管理制度。如：预算管理制度，内部控制制度，政府采购管理制度，国有资产管理制度，合同管理制度，专项资金管理办法，绩效管理制度，信息化管理制度，决算与财务报告制度，监督与审计制度等。</w:t>
      </w:r>
    </w:p>
    <w:p w14:paraId="743F7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预算执行监控的频率、方式和内容，提供的财务管理制度摘选内容列示如下：</w:t>
      </w:r>
      <w:r>
        <w:rPr>
          <w:rFonts w:hint="eastAsia" w:ascii="仿宋" w:hAnsi="仿宋" w:eastAsia="仿宋" w:cs="仿宋"/>
          <w:sz w:val="32"/>
          <w:szCs w:val="32"/>
        </w:rPr>
        <w:t>本办财务由分管财务的班子成员负责，经费开支应根据工作实际、报账金额等情况逐级申报审批，形成相互制约、相互监督的内部控制体系。报账金额低于1000元的经费开支，由会计审核签字后，报分管财务领导签字同意列支；1000-10000元（含1000元）经费开支，需由会计员审核签字后，报分管财务领导签字同意，再报单位主要负责人签批同意予以列支；10000元以上（含30000元）的经费开支，应经区委巡察办领导班子会议审议后，由单位主要负责人签批同意予以列支。</w:t>
      </w:r>
    </w:p>
    <w:p w14:paraId="10F9D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bidi="ar-SA"/>
        </w:rPr>
      </w:pPr>
      <w:r>
        <w:rPr>
          <w:rFonts w:hint="eastAsia" w:ascii="仿宋" w:hAnsi="仿宋" w:eastAsia="仿宋" w:cs="仿宋"/>
          <w:b/>
          <w:bCs/>
          <w:sz w:val="32"/>
          <w:szCs w:val="32"/>
        </w:rPr>
        <w:t>基本流程：</w:t>
      </w:r>
      <w:r>
        <w:rPr>
          <w:rFonts w:hint="eastAsia" w:ascii="仿宋" w:hAnsi="仿宋" w:eastAsia="仿宋" w:cs="仿宋"/>
          <w:sz w:val="32"/>
          <w:szCs w:val="32"/>
        </w:rPr>
        <w:t>①报账人按要求粘贴原始发票及附件；②经手人、证明人在发票上签名认可；③会计审核票据；④根据经费开支额度逐级申报审批；⑤出纳报账。</w:t>
      </w:r>
      <w:r>
        <w:rPr>
          <w:rFonts w:hint="eastAsia" w:ascii="仿宋" w:hAnsi="仿宋" w:eastAsia="仿宋" w:cs="仿宋"/>
          <w:sz w:val="32"/>
          <w:szCs w:val="32"/>
          <w:lang w:val="en-US" w:eastAsia="zh-CN" w:bidi="ar-SA"/>
        </w:rPr>
        <w:t>（3）预算管理相关的信息化工具。</w:t>
      </w:r>
    </w:p>
    <w:p w14:paraId="00347A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（3）预算管理相关的信息化工具</w:t>
      </w:r>
    </w:p>
    <w:p w14:paraId="5B432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使用财政预算一体化信息系统及金蝶核算云系统。</w:t>
      </w:r>
    </w:p>
    <w:p w14:paraId="6511D09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（4）预算信息公开情况</w:t>
      </w:r>
    </w:p>
    <w:p w14:paraId="2E0EC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在衡阳政府网上可以查到区委巡察办的2024年预算公开信息。</w:t>
      </w:r>
    </w:p>
    <w:p w14:paraId="2E6B8F91">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2.预算管理分析</w:t>
      </w:r>
    </w:p>
    <w:p w14:paraId="6F6F75D4">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（1）制度健全性</w:t>
      </w:r>
      <w:r>
        <w:rPr>
          <w:rFonts w:hint="eastAsia" w:ascii="仿宋" w:hAnsi="仿宋" w:eastAsia="仿宋" w:cs="仿宋"/>
          <w:sz w:val="32"/>
          <w:szCs w:val="32"/>
        </w:rPr>
        <w:t>：</w:t>
      </w:r>
    </w:p>
    <w:p w14:paraId="22084326">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财务管理制度未覆盖核算等关键环节，部分制度缺失。</w:t>
      </w:r>
    </w:p>
    <w:p w14:paraId="3204C978">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（2）执行有效性：</w:t>
      </w:r>
    </w:p>
    <w:p w14:paraId="731AE341">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FF"/>
          <w:sz w:val="32"/>
          <w:szCs w:val="32"/>
          <w:lang w:eastAsia="zh-CN"/>
        </w:rPr>
      </w:pPr>
      <w:r>
        <w:rPr>
          <w:rFonts w:hint="eastAsia" w:ascii="仿宋" w:hAnsi="仿宋" w:eastAsia="仿宋" w:cs="仿宋"/>
          <w:color w:val="auto"/>
          <w:sz w:val="32"/>
          <w:szCs w:val="32"/>
        </w:rPr>
        <w:t>基本事项按照财务管理制度有效执行。</w:t>
      </w:r>
      <w:r>
        <w:rPr>
          <w:rFonts w:hint="eastAsia" w:ascii="仿宋" w:hAnsi="仿宋" w:eastAsia="仿宋" w:cs="仿宋"/>
          <w:color w:val="auto"/>
          <w:sz w:val="32"/>
          <w:szCs w:val="32"/>
          <w:lang w:eastAsia="zh-CN"/>
        </w:rPr>
        <w:t>但</w:t>
      </w:r>
      <w:r>
        <w:rPr>
          <w:rFonts w:hint="eastAsia" w:ascii="仿宋" w:hAnsi="仿宋" w:eastAsia="仿宋" w:cs="仿宋"/>
          <w:color w:val="auto"/>
          <w:sz w:val="32"/>
          <w:szCs w:val="32"/>
        </w:rPr>
        <w:t>预算编制不够精细、准确，对全年</w:t>
      </w:r>
      <w:r>
        <w:rPr>
          <w:rFonts w:hint="eastAsia" w:ascii="仿宋" w:hAnsi="仿宋" w:eastAsia="仿宋" w:cs="仿宋"/>
          <w:color w:val="auto"/>
          <w:sz w:val="32"/>
          <w:szCs w:val="32"/>
          <w:lang w:eastAsia="zh-CN"/>
        </w:rPr>
        <w:t>基本支出</w:t>
      </w:r>
      <w:r>
        <w:rPr>
          <w:rFonts w:hint="eastAsia" w:ascii="仿宋" w:hAnsi="仿宋" w:eastAsia="仿宋" w:cs="仿宋"/>
          <w:color w:val="auto"/>
          <w:sz w:val="32"/>
          <w:szCs w:val="32"/>
        </w:rPr>
        <w:t>需求的预测存在偏差。</w:t>
      </w:r>
      <w:r>
        <w:rPr>
          <w:rFonts w:hint="eastAsia" w:ascii="仿宋" w:hAnsi="仿宋" w:eastAsia="仿宋" w:cs="仿宋"/>
          <w:color w:val="auto"/>
          <w:sz w:val="32"/>
          <w:szCs w:val="32"/>
          <w:lang w:eastAsia="zh-CN"/>
        </w:rPr>
        <w:t>如：</w:t>
      </w:r>
      <w:r>
        <w:rPr>
          <w:rFonts w:hint="eastAsia" w:ascii="仿宋" w:hAnsi="仿宋" w:eastAsia="仿宋" w:cs="仿宋"/>
          <w:color w:val="auto"/>
          <w:sz w:val="32"/>
          <w:szCs w:val="32"/>
        </w:rPr>
        <w:t>基本支出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人员经费科目有1</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634</w:t>
      </w:r>
      <w:r>
        <w:rPr>
          <w:rFonts w:hint="eastAsia" w:ascii="仿宋" w:hAnsi="仿宋" w:eastAsia="仿宋" w:cs="仿宋"/>
          <w:color w:val="auto"/>
          <w:sz w:val="32"/>
          <w:szCs w:val="32"/>
        </w:rPr>
        <w:t>.10元的实际支出</w:t>
      </w:r>
      <w:r>
        <w:rPr>
          <w:rFonts w:hint="eastAsia" w:ascii="仿宋" w:hAnsi="仿宋" w:eastAsia="仿宋" w:cs="仿宋"/>
          <w:color w:val="auto"/>
          <w:sz w:val="32"/>
          <w:szCs w:val="32"/>
          <w:lang w:eastAsia="zh-CN"/>
        </w:rPr>
        <w:t>列支在“基本支出－</w:t>
      </w:r>
      <w:r>
        <w:rPr>
          <w:rFonts w:hint="eastAsia" w:ascii="仿宋" w:hAnsi="仿宋" w:eastAsia="仿宋" w:cs="仿宋"/>
          <w:color w:val="auto"/>
          <w:sz w:val="32"/>
          <w:szCs w:val="32"/>
          <w:lang w:val="en-US" w:eastAsia="zh-CN"/>
        </w:rPr>
        <w:t>公用经费</w:t>
      </w:r>
      <w:r>
        <w:rPr>
          <w:rFonts w:hint="eastAsia" w:ascii="仿宋" w:hAnsi="仿宋" w:eastAsia="仿宋" w:cs="仿宋"/>
          <w:color w:val="auto"/>
          <w:sz w:val="32"/>
          <w:szCs w:val="32"/>
          <w:lang w:eastAsia="zh-CN"/>
        </w:rPr>
        <w:t>”和“项目支出”中。</w:t>
      </w:r>
    </w:p>
    <w:p w14:paraId="572C4C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监控预警能力：</w:t>
      </w:r>
    </w:p>
    <w:p w14:paraId="0E2E86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政府会计系统通过“指标</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hint="eastAsia" w:ascii="仿宋" w:hAnsi="仿宋" w:eastAsia="仿宋" w:cs="仿宋"/>
          <w:sz w:val="32"/>
          <w:szCs w:val="32"/>
          <w:lang w:eastAsia="zh-CN"/>
        </w:rPr>
        <w:t>－</w:t>
      </w:r>
      <w:r>
        <w:rPr>
          <w:rFonts w:hint="eastAsia" w:ascii="仿宋" w:hAnsi="仿宋" w:eastAsia="仿宋" w:cs="仿宋"/>
          <w:sz w:val="32"/>
          <w:szCs w:val="32"/>
        </w:rPr>
        <w:t>核算”一体化管理，实现了预算执行全流程监控。</w:t>
      </w:r>
    </w:p>
    <w:p w14:paraId="1B878D16">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（4）信息化支撑：</w:t>
      </w:r>
    </w:p>
    <w:p w14:paraId="3A3C56AA">
      <w:pPr>
        <w:keepNext w:val="0"/>
        <w:keepLines w:val="0"/>
        <w:pageBreakBefore w:val="0"/>
        <w:widowControl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实现预算编制、执行、核算、决算全流程线上化</w:t>
      </w:r>
      <w:r>
        <w:rPr>
          <w:rFonts w:hint="eastAsia" w:ascii="仿宋" w:hAnsi="仿宋" w:eastAsia="仿宋" w:cs="仿宋"/>
          <w:sz w:val="32"/>
          <w:szCs w:val="32"/>
          <w:lang w:eastAsia="zh-CN"/>
        </w:rPr>
        <w:t>，</w:t>
      </w:r>
      <w:r>
        <w:rPr>
          <w:rFonts w:hint="eastAsia" w:ascii="仿宋" w:hAnsi="仿宋" w:eastAsia="仿宋" w:cs="仿宋"/>
          <w:sz w:val="32"/>
          <w:szCs w:val="32"/>
        </w:rPr>
        <w:t>有效支撑了预算管理和监控。</w:t>
      </w:r>
    </w:p>
    <w:p w14:paraId="37D59126">
      <w:pPr>
        <w:keepNext w:val="0"/>
        <w:keepLines w:val="0"/>
        <w:pageBreakBefore w:val="0"/>
        <w:widowControl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（5）管理规范性：</w:t>
      </w:r>
    </w:p>
    <w:p w14:paraId="618257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部分会计核</w:t>
      </w:r>
      <w:r>
        <w:rPr>
          <w:rFonts w:hint="eastAsia" w:ascii="仿宋" w:hAnsi="仿宋" w:eastAsia="仿宋" w:cs="仿宋"/>
          <w:sz w:val="32"/>
          <w:szCs w:val="32"/>
          <w:lang w:eastAsia="zh-CN"/>
        </w:rPr>
        <w:t>算附件填列不完整，审批流程不严谨，未严格按照《区委巡察办财务管理制度》执行</w:t>
      </w:r>
      <w:r>
        <w:rPr>
          <w:rFonts w:hint="eastAsia" w:ascii="仿宋" w:hAnsi="仿宋" w:eastAsia="仿宋" w:cs="仿宋"/>
          <w:sz w:val="32"/>
          <w:szCs w:val="32"/>
        </w:rPr>
        <w:t>。详见</w:t>
      </w:r>
      <w:r>
        <w:rPr>
          <w:rFonts w:hint="eastAsia" w:ascii="仿宋" w:hAnsi="仿宋" w:eastAsia="仿宋" w:cs="仿宋"/>
          <w:sz w:val="32"/>
          <w:szCs w:val="32"/>
          <w:lang w:eastAsia="zh-CN"/>
        </w:rPr>
        <w:t>后附</w:t>
      </w:r>
      <w:r>
        <w:rPr>
          <w:rFonts w:hint="eastAsia" w:ascii="仿宋" w:hAnsi="仿宋" w:eastAsia="仿宋" w:cs="仿宋"/>
          <w:sz w:val="32"/>
          <w:szCs w:val="32"/>
        </w:rPr>
        <w:t>项目支出管理情况汇总及分析。</w:t>
      </w:r>
    </w:p>
    <w:p w14:paraId="6069BA5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41" w:name="_Toc2248"/>
      <w:bookmarkStart w:id="142" w:name="_Toc16977"/>
      <w:bookmarkStart w:id="143" w:name="_Toc4934"/>
      <w:bookmarkStart w:id="144" w:name="_Toc14560"/>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w:t>
      </w:r>
      <w:r>
        <w:rPr>
          <w:rFonts w:hint="eastAsia" w:ascii="楷体" w:hAnsi="楷体" w:eastAsia="楷体" w:cs="楷体"/>
          <w:b/>
          <w:bCs/>
          <w:sz w:val="32"/>
          <w:szCs w:val="32"/>
          <w:lang w:eastAsia="zh-CN"/>
        </w:rPr>
        <w:t>工资经费</w:t>
      </w:r>
      <w:r>
        <w:rPr>
          <w:rFonts w:hint="eastAsia" w:ascii="楷体" w:hAnsi="楷体" w:eastAsia="楷体" w:cs="楷体"/>
          <w:b/>
          <w:bCs/>
          <w:sz w:val="32"/>
          <w:szCs w:val="32"/>
        </w:rPr>
        <w:t>管理情况及分析</w:t>
      </w:r>
      <w:bookmarkEnd w:id="141"/>
      <w:bookmarkEnd w:id="142"/>
      <w:bookmarkEnd w:id="143"/>
      <w:bookmarkEnd w:id="144"/>
    </w:p>
    <w:p w14:paraId="498FBD94">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经询问：因2024年纪检系统机构改革，</w:t>
      </w:r>
      <w:r>
        <w:rPr>
          <w:rFonts w:hint="eastAsia" w:ascii="仿宋" w:hAnsi="仿宋" w:eastAsia="仿宋" w:cs="仿宋"/>
          <w:b w:val="0"/>
          <w:bCs w:val="0"/>
          <w:sz w:val="32"/>
          <w:szCs w:val="32"/>
          <w:lang w:eastAsia="zh-CN"/>
        </w:rPr>
        <w:t>区委巡察办的工资等人员经费</w:t>
      </w:r>
      <w:r>
        <w:rPr>
          <w:rFonts w:hint="eastAsia" w:ascii="仿宋" w:hAnsi="仿宋" w:eastAsia="仿宋" w:cs="仿宋"/>
          <w:b w:val="0"/>
          <w:bCs w:val="0"/>
          <w:sz w:val="32"/>
          <w:szCs w:val="32"/>
          <w:lang w:val="en-US" w:eastAsia="zh-CN"/>
        </w:rPr>
        <w:t>均由区纪委统筹发放，预算、决算均未体现人员经费。</w:t>
      </w:r>
    </w:p>
    <w:p w14:paraId="50C70E6A">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经过核查账目及凭证，发现24年实际发放了补助等共计</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634</w:t>
      </w:r>
      <w:r>
        <w:rPr>
          <w:rFonts w:hint="eastAsia" w:ascii="仿宋" w:hAnsi="仿宋" w:eastAsia="仿宋" w:cs="仿宋"/>
          <w:color w:val="auto"/>
          <w:sz w:val="32"/>
          <w:szCs w:val="32"/>
        </w:rPr>
        <w:t>.10</w:t>
      </w:r>
      <w:r>
        <w:rPr>
          <w:rFonts w:hint="eastAsia" w:ascii="仿宋" w:hAnsi="仿宋" w:eastAsia="仿宋" w:cs="仿宋"/>
          <w:b w:val="0"/>
          <w:bCs w:val="0"/>
          <w:sz w:val="32"/>
          <w:szCs w:val="32"/>
          <w:lang w:val="en-US" w:eastAsia="zh-CN"/>
        </w:rPr>
        <w:t>元，列支在基本支出－公用经费、项目支出及办公室维修改造费内：如5月2号凭证支付十二届市委第七轮巡察补助39,820.00元；8月2号凭证，采购市委机动巡察生活用品电话卡等费用769.10元；6月3号—4号凭证，区委第六轮巡察第一组巡察补助56,210.00元；7月18号凭证，八一慰问（贺文东、涂万里）800.00元；11月8号—11号凭证，第七轮巡察1、2、3、4组补助101,035.00元。</w:t>
      </w:r>
    </w:p>
    <w:p w14:paraId="4884B573">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巡察补助标准为每人55元/天，补助参照中共湖南省委巡视工作领导小组办公室2023年1月1日施行的《巡视专项经费管理办法（试行）》中关于夜餐公杂费的规定“省委巡视组人员在巡视期间的公杂及因工作需要晚上加班、值班的夜餐补助费按每人每天80元标准核算”（节选），因工作性质，未提供全文；并通过询问得知，区委巡察办55元的补助标准是经过会议传达，但未提供纸面的文件依据。</w:t>
      </w:r>
    </w:p>
    <w:p w14:paraId="20840DCA">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补助支付的凭证，发放附件仅为《考勤表》、巡察组及巡察办签字的《夜餐补助公杂费发放表》，未提供经办人、证明人、财务审核、领导审批等完整的签字审批流程，违反了《区委巡察办财务管理制度》“10000元以上的经费开支，应经区委巡察办领导班子会议审议后，由单位主要负责人签批同意予以列支”的规定。</w:t>
      </w:r>
    </w:p>
    <w:p w14:paraId="45C4B26D">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月8号凭证：《第七轮第四组夜餐补助公杂费》中肖婷婷、杨智、刘妍君三人未包含在《五届区委第七轮巡察工作分配安排表》中，经询问，肖婷婷为区委巡察办补充加入，杨智和刘妍君为司法系统专项检查并入。未提供相关人员加入的审批证明文件。</w:t>
      </w:r>
    </w:p>
    <w:p w14:paraId="4254EB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rPr>
      </w:pPr>
      <w:bookmarkStart w:id="145" w:name="_Toc12176"/>
      <w:bookmarkStart w:id="146" w:name="_Toc10154"/>
      <w:bookmarkStart w:id="147" w:name="_Toc26548"/>
      <w:bookmarkStart w:id="148" w:name="_Toc12473"/>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）项目支出管理情况及分析</w:t>
      </w:r>
      <w:bookmarkEnd w:id="145"/>
      <w:bookmarkEnd w:id="146"/>
      <w:bookmarkEnd w:id="147"/>
      <w:bookmarkEnd w:id="148"/>
    </w:p>
    <w:p w14:paraId="5E8748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区委巡察办</w:t>
      </w:r>
      <w:r>
        <w:rPr>
          <w:rFonts w:hint="eastAsia" w:ascii="仿宋" w:hAnsi="仿宋" w:eastAsia="仿宋" w:cs="仿宋"/>
          <w:sz w:val="32"/>
          <w:szCs w:val="32"/>
        </w:rPr>
        <w:t>2024年</w:t>
      </w:r>
      <w:r>
        <w:rPr>
          <w:rFonts w:hint="eastAsia" w:ascii="仿宋" w:hAnsi="仿宋" w:eastAsia="仿宋" w:cs="仿宋"/>
          <w:sz w:val="32"/>
          <w:szCs w:val="32"/>
          <w:lang w:eastAsia="zh-CN"/>
        </w:rPr>
        <w:t>主要围绕市委、区委年度中心工作与重点任务部署，全面履职尽责，各项工作计划总体执行率较高，基本保障了机关的高效运转与相关工作的顺利推进。在整体工作稳步推进的同时，我们也关注到部分管理环节有待进一步规范与完善。例如，在经费执行过程中，存在项目经费与基本支出边界不够清晰、个别情况下项目经费弥补基本支出的现象。此外，内部管理制度建设方面，项目管理制度、政府采购管理制度等尚未系统成文并提供；在采购实务中，相关的询价环节资料亦有缺失。受保密规定限制，未提供涉及工作产出的具体量化效益数据。</w:t>
      </w:r>
    </w:p>
    <w:p w14:paraId="0B2D964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49" w:name="_Toc1850"/>
      <w:bookmarkStart w:id="150" w:name="_Toc2979"/>
      <w:bookmarkStart w:id="151" w:name="_Toc21510"/>
      <w:bookmarkStart w:id="152" w:name="_Toc18141"/>
      <w:r>
        <w:rPr>
          <w:rFonts w:hint="eastAsia" w:ascii="楷体" w:hAnsi="楷体" w:eastAsia="楷体" w:cs="楷体"/>
          <w:b/>
          <w:bCs/>
          <w:sz w:val="32"/>
          <w:szCs w:val="32"/>
        </w:rPr>
        <w:t>（</w:t>
      </w:r>
      <w:r>
        <w:rPr>
          <w:rFonts w:hint="eastAsia" w:ascii="楷体" w:hAnsi="楷体" w:eastAsia="楷体" w:cs="楷体"/>
          <w:b/>
          <w:bCs/>
          <w:sz w:val="32"/>
          <w:szCs w:val="32"/>
          <w:lang w:eastAsia="zh-CN"/>
        </w:rPr>
        <w:t>七</w:t>
      </w:r>
      <w:r>
        <w:rPr>
          <w:rFonts w:hint="eastAsia" w:ascii="楷体" w:hAnsi="楷体" w:eastAsia="楷体" w:cs="楷体"/>
          <w:b/>
          <w:bCs/>
          <w:sz w:val="32"/>
          <w:szCs w:val="32"/>
        </w:rPr>
        <w:t>）固定资产管理情况及分析</w:t>
      </w:r>
      <w:bookmarkEnd w:id="149"/>
      <w:bookmarkEnd w:id="150"/>
      <w:bookmarkEnd w:id="151"/>
      <w:bookmarkEnd w:id="152"/>
    </w:p>
    <w:p w14:paraId="10F1557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rPr>
      </w:pPr>
      <w:bookmarkStart w:id="153" w:name="_Toc19213"/>
      <w:r>
        <w:rPr>
          <w:rFonts w:hint="eastAsia" w:ascii="仿宋" w:hAnsi="仿宋" w:eastAsia="仿宋" w:cs="仿宋"/>
          <w:b/>
          <w:bCs/>
          <w:sz w:val="32"/>
          <w:szCs w:val="32"/>
        </w:rPr>
        <w:t>1.固定资产增减变动明细，单位：万元</w:t>
      </w:r>
      <w:bookmarkEnd w:id="153"/>
    </w:p>
    <w:tbl>
      <w:tblPr>
        <w:tblStyle w:val="11"/>
        <w:tblW w:w="8740" w:type="dxa"/>
        <w:tblInd w:w="93" w:type="dxa"/>
        <w:tblLayout w:type="fixed"/>
        <w:tblCellMar>
          <w:top w:w="0" w:type="dxa"/>
          <w:left w:w="108" w:type="dxa"/>
          <w:bottom w:w="0" w:type="dxa"/>
          <w:right w:w="108" w:type="dxa"/>
        </w:tblCellMar>
      </w:tblPr>
      <w:tblGrid>
        <w:gridCol w:w="1860"/>
        <w:gridCol w:w="1730"/>
        <w:gridCol w:w="1733"/>
        <w:gridCol w:w="1783"/>
        <w:gridCol w:w="1634"/>
      </w:tblGrid>
      <w:tr w14:paraId="612E0018">
        <w:trPr>
          <w:trHeight w:val="60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15677DD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项目名称</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E532D8B">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期初余额</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8070D2F">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2024年增加额</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619175D3">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2024年减少额</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46210DF">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期末余额</w:t>
            </w:r>
          </w:p>
        </w:tc>
      </w:tr>
      <w:tr w14:paraId="7A1246BF">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3CC684B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固定资产原值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6DD4A53">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8.62</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792BB2">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15.43</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4D8E017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BDAF5BD">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24.05</w:t>
            </w:r>
          </w:p>
        </w:tc>
      </w:tr>
      <w:tr w14:paraId="0D03452C">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2A310D97">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累计折旧</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6E32B9A">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440C934E">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2.87</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317BE17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884782D">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6.97</w:t>
            </w:r>
          </w:p>
        </w:tc>
      </w:tr>
      <w:tr w14:paraId="38522B17">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51814EF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固定资产净值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68BF83D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4.52</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630CF35">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12.56</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6989D568">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7CCD69D">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17.08</w:t>
            </w:r>
          </w:p>
        </w:tc>
      </w:tr>
    </w:tbl>
    <w:p w14:paraId="434BD3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yellow"/>
        </w:rPr>
      </w:pPr>
      <w:r>
        <w:rPr>
          <w:rFonts w:hint="eastAsia" w:ascii="仿宋" w:hAnsi="仿宋" w:eastAsia="仿宋" w:cs="仿宋"/>
          <w:b/>
          <w:bCs/>
          <w:sz w:val="32"/>
          <w:szCs w:val="32"/>
        </w:rPr>
        <w:t>2.固定资产管理情况</w:t>
      </w:r>
    </w:p>
    <w:p w14:paraId="41E190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纳入湖南省资产管理系统，未标识使用部门，使用人</w:t>
      </w:r>
      <w:r>
        <w:rPr>
          <w:rFonts w:hint="eastAsia" w:ascii="仿宋" w:hAnsi="仿宋" w:eastAsia="仿宋" w:cs="仿宋"/>
          <w:b w:val="0"/>
          <w:bCs w:val="0"/>
          <w:color w:val="auto"/>
          <w:sz w:val="32"/>
          <w:szCs w:val="32"/>
          <w:lang w:eastAsia="zh-CN"/>
        </w:rPr>
        <w:t>，部分</w:t>
      </w:r>
      <w:r>
        <w:rPr>
          <w:rFonts w:hint="eastAsia" w:ascii="仿宋" w:hAnsi="仿宋" w:eastAsia="仿宋" w:cs="仿宋"/>
          <w:b w:val="0"/>
          <w:bCs w:val="0"/>
          <w:color w:val="auto"/>
          <w:sz w:val="32"/>
          <w:szCs w:val="32"/>
        </w:rPr>
        <w:t>未标识使用状态</w:t>
      </w:r>
      <w:r>
        <w:rPr>
          <w:rFonts w:hint="eastAsia" w:ascii="仿宋" w:hAnsi="仿宋" w:eastAsia="仿宋" w:cs="仿宋"/>
          <w:b w:val="0"/>
          <w:bCs w:val="0"/>
          <w:color w:val="auto"/>
          <w:sz w:val="32"/>
          <w:szCs w:val="32"/>
          <w:lang w:eastAsia="zh-CN"/>
        </w:rPr>
        <w:t>及</w:t>
      </w:r>
      <w:r>
        <w:rPr>
          <w:rFonts w:hint="eastAsia" w:ascii="仿宋" w:hAnsi="仿宋" w:eastAsia="仿宋" w:cs="仿宋"/>
          <w:b w:val="0"/>
          <w:bCs w:val="0"/>
          <w:color w:val="auto"/>
          <w:sz w:val="32"/>
          <w:szCs w:val="32"/>
        </w:rPr>
        <w:t>存放地点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管理人为</w:t>
      </w:r>
      <w:r>
        <w:rPr>
          <w:rFonts w:hint="eastAsia" w:ascii="仿宋" w:hAnsi="仿宋" w:eastAsia="仿宋" w:cs="仿宋"/>
          <w:b w:val="0"/>
          <w:bCs w:val="0"/>
          <w:color w:val="auto"/>
          <w:sz w:val="32"/>
          <w:szCs w:val="32"/>
          <w:lang w:eastAsia="zh-CN"/>
        </w:rPr>
        <w:t>其他</w:t>
      </w:r>
      <w:r>
        <w:rPr>
          <w:rFonts w:hint="eastAsia" w:ascii="仿宋" w:hAnsi="仿宋" w:eastAsia="仿宋" w:cs="仿宋"/>
          <w:b w:val="0"/>
          <w:bCs w:val="0"/>
          <w:color w:val="auto"/>
          <w:sz w:val="32"/>
          <w:szCs w:val="32"/>
        </w:rPr>
        <w:t>人员</w:t>
      </w:r>
      <w:r>
        <w:rPr>
          <w:rFonts w:hint="eastAsia" w:ascii="仿宋" w:hAnsi="仿宋" w:eastAsia="仿宋" w:cs="仿宋"/>
          <w:b w:val="0"/>
          <w:bCs w:val="0"/>
          <w:color w:val="auto"/>
          <w:sz w:val="32"/>
          <w:szCs w:val="32"/>
          <w:lang w:eastAsia="zh-CN"/>
        </w:rPr>
        <w:t>兼任</w:t>
      </w:r>
      <w:r>
        <w:rPr>
          <w:rFonts w:hint="eastAsia" w:ascii="仿宋" w:hAnsi="仿宋" w:eastAsia="仿宋" w:cs="仿宋"/>
          <w:b w:val="0"/>
          <w:bCs w:val="0"/>
          <w:color w:val="auto"/>
          <w:sz w:val="32"/>
          <w:szCs w:val="32"/>
        </w:rPr>
        <w:t>，部分资产要</w:t>
      </w:r>
      <w:r>
        <w:rPr>
          <w:rFonts w:hint="eastAsia" w:ascii="仿宋" w:hAnsi="仿宋" w:eastAsia="仿宋" w:cs="仿宋"/>
          <w:b w:val="0"/>
          <w:bCs w:val="0"/>
          <w:color w:val="auto"/>
          <w:sz w:val="32"/>
          <w:szCs w:val="32"/>
          <w:lang w:eastAsia="zh-CN"/>
        </w:rPr>
        <w:t>素有</w:t>
      </w:r>
      <w:r>
        <w:rPr>
          <w:rFonts w:hint="eastAsia" w:ascii="仿宋" w:hAnsi="仿宋" w:eastAsia="仿宋" w:cs="仿宋"/>
          <w:b w:val="0"/>
          <w:bCs w:val="0"/>
          <w:color w:val="auto"/>
          <w:sz w:val="32"/>
          <w:szCs w:val="32"/>
        </w:rPr>
        <w:t>待完善。</w:t>
      </w:r>
      <w:r>
        <w:rPr>
          <w:rFonts w:hint="eastAsia" w:ascii="仿宋" w:hAnsi="仿宋" w:eastAsia="仿宋" w:cs="仿宋"/>
          <w:b w:val="0"/>
          <w:bCs w:val="0"/>
          <w:color w:val="auto"/>
          <w:sz w:val="32"/>
          <w:szCs w:val="32"/>
          <w:lang w:eastAsia="zh-CN"/>
        </w:rPr>
        <w:t>固定资产明细如下：</w:t>
      </w:r>
      <w:bookmarkStart w:id="154" w:name="_Toc24976"/>
      <w:bookmarkStart w:id="155" w:name="_Toc9679"/>
    </w:p>
    <w:tbl>
      <w:tblPr>
        <w:tblStyle w:val="11"/>
        <w:tblW w:w="87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745"/>
        <w:gridCol w:w="1625"/>
        <w:gridCol w:w="1519"/>
        <w:gridCol w:w="1743"/>
      </w:tblGrid>
      <w:tr w14:paraId="6BA0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blHead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54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EC3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资产类别</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8CB3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期初原值（万元）</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58DF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本年新增（万元）</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6208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期末原值（万元）</w:t>
            </w:r>
          </w:p>
        </w:tc>
      </w:tr>
      <w:tr w14:paraId="0788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B8CF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16DAF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A3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67BB7">
            <w:pPr>
              <w:jc w:val="center"/>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5F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r>
      <w:tr w14:paraId="6823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3A64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3D12B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家具和用具</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03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B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46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r>
      <w:tr w14:paraId="1EA5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BD7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C0DB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LED显示屏及配套设备</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A43C">
            <w:pPr>
              <w:jc w:val="cente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FC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3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r>
      <w:tr w14:paraId="69F7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6E86C3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7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6C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其他音频设备</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E3F59">
            <w:pPr>
              <w:jc w:val="cente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DE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F3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r>
      <w:tr w14:paraId="6D8A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B40010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20B5C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扫描仪及碎纸机</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BA9EA">
            <w:pPr>
              <w:jc w:val="center"/>
              <w:rPr>
                <w:rFonts w:hint="eastAsia" w:ascii="宋体" w:hAnsi="宋体" w:eastAsia="宋体" w:cs="宋体"/>
                <w:i w:val="0"/>
                <w:iCs w:val="0"/>
                <w:color w:val="000000"/>
                <w:sz w:val="22"/>
                <w:szCs w:val="22"/>
                <w:u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C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08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r>
      <w:tr w14:paraId="4304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E726C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0430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89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69954">
            <w:pPr>
              <w:jc w:val="center"/>
              <w:rPr>
                <w:rFonts w:hint="eastAsia" w:ascii="宋体" w:hAnsi="宋体" w:eastAsia="宋体" w:cs="宋体"/>
                <w:i w:val="0"/>
                <w:iCs w:val="0"/>
                <w:color w:val="000000"/>
                <w:sz w:val="22"/>
                <w:szCs w:val="22"/>
                <w:u w:val="none"/>
              </w:rPr>
            </w:pP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DC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r>
      <w:tr w14:paraId="0DDD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DE81D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2745" w:type="dxa"/>
            <w:tcBorders>
              <w:top w:val="single" w:color="auto" w:sz="4" w:space="0"/>
              <w:left w:val="single" w:color="auto" w:sz="4" w:space="0"/>
              <w:bottom w:val="single" w:color="auto" w:sz="4" w:space="0"/>
              <w:right w:val="single" w:color="auto" w:sz="4" w:space="0"/>
            </w:tcBorders>
            <w:shd w:val="clear" w:color="auto" w:fill="auto"/>
            <w:vAlign w:val="center"/>
          </w:tcPr>
          <w:p w14:paraId="442C9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84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1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57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15.43</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3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p>
        </w:tc>
      </w:tr>
    </w:tbl>
    <w:p w14:paraId="241DE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rPr>
      </w:pPr>
      <w:bookmarkStart w:id="156" w:name="_Toc17042"/>
      <w:bookmarkStart w:id="157" w:name="_Toc31064"/>
      <w:r>
        <w:rPr>
          <w:rFonts w:hint="eastAsia" w:ascii="楷体" w:hAnsi="楷体" w:eastAsia="楷体" w:cs="楷体"/>
          <w:b/>
          <w:bCs/>
          <w:color w:val="auto"/>
          <w:sz w:val="32"/>
          <w:szCs w:val="32"/>
          <w:lang w:val="en-US" w:eastAsia="zh-CN" w:bidi="ar-SA"/>
        </w:rPr>
        <w:t>（八）</w:t>
      </w:r>
      <w:r>
        <w:rPr>
          <w:rFonts w:hint="eastAsia" w:ascii="楷体" w:hAnsi="楷体" w:eastAsia="楷体" w:cs="楷体"/>
          <w:b/>
          <w:bCs/>
          <w:color w:val="auto"/>
          <w:sz w:val="32"/>
          <w:szCs w:val="32"/>
        </w:rPr>
        <w:t>厉行节约保障措施的执行情况及其政策效果</w:t>
      </w:r>
      <w:bookmarkEnd w:id="154"/>
      <w:bookmarkEnd w:id="155"/>
      <w:bookmarkEnd w:id="156"/>
      <w:bookmarkEnd w:id="157"/>
    </w:p>
    <w:p w14:paraId="41F2A1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bCs/>
          <w:sz w:val="32"/>
          <w:szCs w:val="32"/>
          <w:lang w:val="en-US" w:eastAsia="zh-CN" w:bidi="ar-SA"/>
        </w:rPr>
      </w:pPr>
      <w:r>
        <w:rPr>
          <w:rFonts w:hint="eastAsia" w:ascii="仿宋" w:hAnsi="仿宋" w:eastAsia="仿宋" w:cs="仿宋"/>
          <w:b w:val="0"/>
          <w:bCs w:val="0"/>
          <w:color w:val="auto"/>
          <w:sz w:val="32"/>
          <w:szCs w:val="32"/>
          <w:lang w:eastAsia="zh-CN"/>
        </w:rPr>
        <w:t>未提供有关厉行节约保障措施的执行情况及政策效果。</w:t>
      </w:r>
      <w:bookmarkStart w:id="158" w:name="_Toc20272"/>
      <w:bookmarkStart w:id="159" w:name="_Toc5278"/>
    </w:p>
    <w:p w14:paraId="53A824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黑体" w:hAnsi="黑体" w:eastAsia="黑体" w:cs="黑体"/>
          <w:b/>
          <w:bCs/>
          <w:sz w:val="32"/>
          <w:szCs w:val="32"/>
        </w:rPr>
      </w:pPr>
      <w:bookmarkStart w:id="160" w:name="_Toc31629"/>
      <w:bookmarkStart w:id="161" w:name="_Toc17043"/>
      <w:r>
        <w:rPr>
          <w:rFonts w:hint="eastAsia" w:ascii="黑体" w:hAnsi="黑体" w:eastAsia="黑体" w:cs="黑体"/>
          <w:b/>
          <w:bCs/>
          <w:sz w:val="32"/>
          <w:szCs w:val="32"/>
          <w:lang w:eastAsia="zh-CN"/>
        </w:rPr>
        <w:t>四</w:t>
      </w:r>
      <w:r>
        <w:rPr>
          <w:rFonts w:hint="eastAsia" w:ascii="黑体" w:hAnsi="黑体" w:eastAsia="黑体" w:cs="黑体"/>
          <w:b/>
          <w:bCs/>
          <w:sz w:val="32"/>
          <w:szCs w:val="32"/>
        </w:rPr>
        <w:t>、部门绩效目标</w:t>
      </w:r>
      <w:bookmarkEnd w:id="158"/>
      <w:bookmarkEnd w:id="159"/>
      <w:bookmarkEnd w:id="160"/>
      <w:bookmarkEnd w:id="161"/>
    </w:p>
    <w:p w14:paraId="747C14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62" w:name="_Toc6475"/>
      <w:bookmarkStart w:id="163" w:name="_Toc32491"/>
      <w:bookmarkStart w:id="164" w:name="_Toc30383"/>
      <w:bookmarkStart w:id="165" w:name="_Toc27923"/>
      <w:r>
        <w:rPr>
          <w:rFonts w:hint="eastAsia" w:ascii="楷体" w:hAnsi="楷体" w:eastAsia="楷体" w:cs="楷体"/>
          <w:b/>
          <w:bCs/>
          <w:sz w:val="32"/>
          <w:szCs w:val="32"/>
        </w:rPr>
        <w:t>（一）总体目标</w:t>
      </w:r>
      <w:bookmarkEnd w:id="162"/>
      <w:bookmarkEnd w:id="163"/>
      <w:bookmarkEnd w:id="164"/>
      <w:bookmarkEnd w:id="165"/>
    </w:p>
    <w:p w14:paraId="572ACC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lang w:eastAsia="zh-CN"/>
        </w:rPr>
        <w:t>围绕中心、服务大局</w:t>
      </w:r>
      <w:r>
        <w:rPr>
          <w:rFonts w:hint="eastAsia" w:ascii="仿宋" w:hAnsi="仿宋" w:eastAsia="仿宋" w:cs="仿宋"/>
          <w:sz w:val="32"/>
          <w:szCs w:val="32"/>
        </w:rPr>
        <w:t>，充分发挥政治巡察利剑作用。通过高质量、规范化的巡察监督，发现并推动解决被巡察党组织存在的政治偏差、纪律作风和腐败问题，促进全面从严</w:t>
      </w:r>
      <w:r>
        <w:rPr>
          <w:rFonts w:hint="eastAsia" w:ascii="仿宋" w:hAnsi="仿宋" w:eastAsia="仿宋" w:cs="仿宋"/>
          <w:sz w:val="32"/>
          <w:szCs w:val="32"/>
          <w:lang w:eastAsia="zh-CN"/>
        </w:rPr>
        <w:t>治党围绕中心、服务大局</w:t>
      </w:r>
      <w:r>
        <w:rPr>
          <w:rFonts w:hint="eastAsia" w:ascii="仿宋" w:hAnsi="仿宋" w:eastAsia="仿宋" w:cs="仿宋"/>
          <w:sz w:val="32"/>
          <w:szCs w:val="32"/>
        </w:rPr>
        <w:t>，充分发挥政治巡察利剑作用。通过高质量、规范化的巡察监督，发现并推动解决被巡察党组织存在的政治偏差、纪律作风和腐败问题，促进全面从严治党向纵深发展，增强基层党组织的凝聚力和战斗力，提升区域治理体系和治理能力现代化水平，为区域经济社会高质量发展提供坚强政治保障。发展提供坚强政治保障。</w:t>
      </w:r>
    </w:p>
    <w:p w14:paraId="1FEED4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66" w:name="_Toc23501"/>
      <w:bookmarkStart w:id="167" w:name="_Toc7797"/>
      <w:bookmarkStart w:id="168" w:name="_Toc1467"/>
      <w:bookmarkStart w:id="169" w:name="_Toc4270"/>
      <w:r>
        <w:rPr>
          <w:rFonts w:hint="eastAsia" w:ascii="楷体" w:hAnsi="楷体" w:eastAsia="楷体" w:cs="楷体"/>
          <w:b/>
          <w:bCs/>
          <w:sz w:val="32"/>
          <w:szCs w:val="32"/>
        </w:rPr>
        <w:t>（二）细化绩效指标</w:t>
      </w:r>
      <w:bookmarkEnd w:id="166"/>
      <w:bookmarkEnd w:id="167"/>
      <w:bookmarkEnd w:id="168"/>
      <w:bookmarkEnd w:id="169"/>
    </w:p>
    <w:p w14:paraId="260B510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“政治体检”精准度：一是</w:t>
      </w:r>
      <w:r>
        <w:rPr>
          <w:rFonts w:hint="eastAsia" w:ascii="仿宋" w:hAnsi="仿宋" w:eastAsia="仿宋" w:cs="仿宋"/>
          <w:b/>
          <w:bCs/>
          <w:sz w:val="32"/>
          <w:szCs w:val="32"/>
        </w:rPr>
        <w:t>问题线索成案率</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移交给纪委监委的问题线索中，</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立案或转为谈话函询、初步核实等办理环节的比例。</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民生痛点问题揭示数</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目标值</w:t>
      </w:r>
      <w:r>
        <w:rPr>
          <w:rFonts w:hint="eastAsia" w:ascii="仿宋" w:hAnsi="仿宋" w:eastAsia="仿宋" w:cs="仿宋"/>
          <w:sz w:val="32"/>
          <w:szCs w:val="32"/>
          <w:lang w:val="en-US" w:eastAsia="zh-CN"/>
        </w:rPr>
        <w:t>1～2个，</w:t>
      </w:r>
      <w:r>
        <w:rPr>
          <w:rFonts w:hint="eastAsia" w:ascii="仿宋" w:hAnsi="仿宋" w:eastAsia="仿宋" w:cs="仿宋"/>
          <w:sz w:val="32"/>
          <w:szCs w:val="32"/>
          <w:lang w:eastAsia="zh-CN"/>
        </w:rPr>
        <w:t>发现并推动解决群众反映强烈的急难愁盼问题数量。</w:t>
      </w:r>
    </w:p>
    <w:p w14:paraId="4B0B891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2.过程规范与覆盖</w:t>
      </w:r>
      <w:r>
        <w:rPr>
          <w:rFonts w:hint="eastAsia" w:ascii="仿宋" w:hAnsi="仿宋" w:eastAsia="仿宋" w:cs="仿宋"/>
          <w:b/>
          <w:bCs/>
          <w:sz w:val="32"/>
          <w:szCs w:val="32"/>
          <w:lang w:eastAsia="zh-CN"/>
        </w:rPr>
        <w:t>：一是</w:t>
      </w:r>
      <w:r>
        <w:rPr>
          <w:rFonts w:hint="eastAsia" w:ascii="仿宋" w:hAnsi="仿宋" w:eastAsia="仿宋" w:cs="仿宋"/>
          <w:b/>
          <w:bCs/>
          <w:sz w:val="32"/>
          <w:szCs w:val="32"/>
        </w:rPr>
        <w:t>巡察流程全链条合规率</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从方案制定、授权进驻、报告报送到反馈移交，各环节是否100%遵循《巡察工作操作规程》。</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整改回访执行率</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对已巡察单位按计划开展“回头看”或整改回访的比例。</w:t>
      </w:r>
      <w:r>
        <w:rPr>
          <w:rFonts w:hint="eastAsia" w:ascii="仿宋" w:hAnsi="仿宋" w:eastAsia="仿宋" w:cs="仿宋"/>
          <w:b/>
          <w:bCs/>
          <w:sz w:val="32"/>
          <w:szCs w:val="32"/>
          <w:lang w:eastAsia="zh-CN"/>
        </w:rPr>
        <w:t>三是巡察覆盖率，</w:t>
      </w:r>
      <w:r>
        <w:rPr>
          <w:rFonts w:hint="eastAsia" w:ascii="仿宋" w:hAnsi="仿宋" w:eastAsia="仿宋" w:cs="仿宋"/>
          <w:sz w:val="32"/>
          <w:szCs w:val="32"/>
          <w:lang w:eastAsia="zh-CN"/>
        </w:rPr>
        <w:t>目标值</w:t>
      </w:r>
      <w:r>
        <w:rPr>
          <w:rFonts w:hint="eastAsia" w:ascii="仿宋" w:hAnsi="仿宋" w:eastAsia="仿宋" w:cs="仿宋"/>
          <w:sz w:val="32"/>
          <w:szCs w:val="32"/>
          <w:lang w:val="en-US" w:eastAsia="zh-CN"/>
        </w:rPr>
        <w:t>90%，</w:t>
      </w:r>
      <w:r>
        <w:rPr>
          <w:rFonts w:hint="eastAsia" w:ascii="仿宋" w:hAnsi="仿宋" w:eastAsia="仿宋" w:cs="仿宋"/>
          <w:sz w:val="32"/>
          <w:szCs w:val="32"/>
          <w:lang w:eastAsia="zh-CN"/>
        </w:rPr>
        <w:t>已完成巡察的党组织数量占全区一届任期内应巡察党组织总数的比例。</w:t>
      </w:r>
    </w:p>
    <w:p w14:paraId="74DD29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rPr>
        <w:t>3.成果运用与整改</w:t>
      </w:r>
      <w:r>
        <w:rPr>
          <w:rFonts w:hint="eastAsia" w:ascii="仿宋" w:hAnsi="仿宋" w:eastAsia="仿宋" w:cs="仿宋"/>
          <w:b/>
          <w:bCs/>
          <w:sz w:val="32"/>
          <w:szCs w:val="32"/>
          <w:lang w:eastAsia="zh-CN"/>
        </w:rPr>
        <w:t>：一是</w:t>
      </w:r>
      <w:r>
        <w:rPr>
          <w:rFonts w:hint="eastAsia" w:ascii="仿宋" w:hAnsi="仿宋" w:eastAsia="仿宋" w:cs="仿宋"/>
          <w:b/>
          <w:bCs/>
          <w:sz w:val="32"/>
          <w:szCs w:val="32"/>
        </w:rPr>
        <w:t>推动建章立制数量与质量</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通过巡察反馈，推动被巡察单位或全区层面出台（修订）的制度文件数量达到</w:t>
      </w:r>
      <w:r>
        <w:rPr>
          <w:rFonts w:hint="eastAsia" w:ascii="仿宋" w:hAnsi="仿宋" w:eastAsia="仿宋" w:cs="仿宋"/>
          <w:sz w:val="32"/>
          <w:szCs w:val="32"/>
          <w:lang w:val="en-US" w:eastAsia="zh-CN"/>
        </w:rPr>
        <w:t>1～2个</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二是</w:t>
      </w:r>
      <w:r>
        <w:rPr>
          <w:rFonts w:hint="eastAsia" w:ascii="仿宋" w:hAnsi="仿宋" w:eastAsia="仿宋" w:cs="仿宋"/>
          <w:b/>
          <w:bCs/>
          <w:sz w:val="32"/>
          <w:szCs w:val="32"/>
        </w:rPr>
        <w:t>巡察建议采纳率</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目标值</w:t>
      </w:r>
      <w:r>
        <w:rPr>
          <w:rFonts w:hint="eastAsia" w:ascii="仿宋" w:hAnsi="仿宋" w:eastAsia="仿宋" w:cs="仿宋"/>
          <w:sz w:val="32"/>
          <w:szCs w:val="32"/>
          <w:lang w:val="en-US" w:eastAsia="zh-CN"/>
        </w:rPr>
        <w:t>50%</w:t>
      </w:r>
      <w:r>
        <w:rPr>
          <w:rFonts w:hint="eastAsia" w:ascii="仿宋" w:hAnsi="仿宋" w:eastAsia="仿宋" w:cs="仿宋"/>
          <w:sz w:val="32"/>
          <w:szCs w:val="32"/>
          <w:lang w:eastAsia="zh-CN"/>
        </w:rPr>
        <w:t>巡察办提出的专题建议、综合报告被区委、区政府采纳，并转化为政策或决策部署的情况。</w:t>
      </w:r>
      <w:r>
        <w:rPr>
          <w:rFonts w:hint="eastAsia" w:ascii="仿宋" w:hAnsi="仿宋" w:eastAsia="仿宋" w:cs="仿宋"/>
          <w:b/>
          <w:bCs/>
          <w:sz w:val="32"/>
          <w:szCs w:val="32"/>
          <w:lang w:eastAsia="zh-CN"/>
        </w:rPr>
        <w:t>三是反馈问题整改销号率，</w:t>
      </w:r>
      <w:r>
        <w:rPr>
          <w:rFonts w:hint="eastAsia" w:ascii="仿宋" w:hAnsi="仿宋" w:eastAsia="仿宋" w:cs="仿宋"/>
          <w:sz w:val="32"/>
          <w:szCs w:val="32"/>
          <w:lang w:eastAsia="zh-CN"/>
        </w:rPr>
        <w:t>目标值</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巡察反馈的问题中，经审核认定已彻底整改并完成销号的问题比例。</w:t>
      </w:r>
    </w:p>
    <w:p w14:paraId="6B82B9B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b/>
          <w:bCs/>
          <w:sz w:val="32"/>
          <w:szCs w:val="32"/>
          <w:lang w:val="en-US" w:eastAsia="zh-CN"/>
        </w:rPr>
        <w:t>4.震慑效应与治理效能：一是</w:t>
      </w:r>
      <w:r>
        <w:rPr>
          <w:rFonts w:hint="default" w:ascii="仿宋" w:hAnsi="仿宋" w:eastAsia="仿宋" w:cs="仿宋"/>
          <w:b/>
          <w:bCs/>
          <w:color w:val="000000"/>
          <w:sz w:val="32"/>
          <w:szCs w:val="32"/>
          <w:shd w:val="clear" w:color="auto" w:fill="FFFFFF"/>
          <w:lang w:val="en-US" w:eastAsia="zh-CN"/>
        </w:rPr>
        <w:t>内部管理与合规性</w:t>
      </w:r>
      <w:r>
        <w:rPr>
          <w:rFonts w:hint="eastAsia" w:ascii="仿宋" w:hAnsi="仿宋" w:eastAsia="仿宋" w:cs="仿宋"/>
          <w:b/>
          <w:bCs/>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en-US" w:eastAsia="zh-CN"/>
        </w:rPr>
        <w:t>财务全流程合规，经费使用合规，队伍零违纪。</w:t>
      </w:r>
      <w:r>
        <w:rPr>
          <w:rFonts w:hint="eastAsia" w:ascii="仿宋" w:hAnsi="仿宋" w:eastAsia="仿宋" w:cs="仿宋"/>
          <w:b/>
          <w:bCs/>
          <w:color w:val="000000"/>
          <w:sz w:val="32"/>
          <w:szCs w:val="32"/>
          <w:shd w:val="clear" w:color="auto" w:fill="FFFFFF"/>
          <w:lang w:val="en-US" w:eastAsia="zh-CN"/>
        </w:rPr>
        <w:t>二是</w:t>
      </w:r>
      <w:r>
        <w:rPr>
          <w:rFonts w:hint="default" w:ascii="仿宋" w:hAnsi="仿宋" w:eastAsia="仿宋" w:cs="仿宋"/>
          <w:b/>
          <w:bCs/>
          <w:color w:val="000000"/>
          <w:sz w:val="32"/>
          <w:szCs w:val="32"/>
          <w:shd w:val="clear" w:color="auto" w:fill="FFFFFF"/>
          <w:lang w:val="en-US" w:eastAsia="zh-CN"/>
        </w:rPr>
        <w:t>党员干部纪律意识感知度</w:t>
      </w:r>
      <w:r>
        <w:rPr>
          <w:rFonts w:hint="eastAsia" w:ascii="仿宋" w:hAnsi="仿宋" w:eastAsia="仿宋" w:cs="仿宋"/>
          <w:b/>
          <w:bCs/>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en-US" w:eastAsia="zh-CN"/>
        </w:rPr>
        <w:t>通过匿名问卷调查，了解被巡察单位及全区党员干部对党纪党规的敬畏心、对巡察震慑力的感知是否显著提升。</w:t>
      </w:r>
    </w:p>
    <w:p w14:paraId="5467D4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rPr>
      </w:pPr>
      <w:bookmarkStart w:id="170" w:name="_Toc29770"/>
      <w:bookmarkStart w:id="171" w:name="_Toc27704"/>
      <w:bookmarkStart w:id="172" w:name="_Toc24329"/>
      <w:bookmarkStart w:id="173" w:name="_Toc6424"/>
      <w:bookmarkStart w:id="174" w:name="_Toc16743"/>
      <w:bookmarkStart w:id="175" w:name="_Toc20278"/>
      <w:r>
        <w:rPr>
          <w:rFonts w:hint="eastAsia" w:ascii="黑体" w:hAnsi="黑体" w:eastAsia="黑体" w:cs="黑体"/>
          <w:sz w:val="32"/>
          <w:szCs w:val="32"/>
          <w:lang w:eastAsia="zh-CN"/>
        </w:rPr>
        <w:t>五</w:t>
      </w:r>
      <w:r>
        <w:rPr>
          <w:rFonts w:hint="eastAsia" w:ascii="黑体" w:hAnsi="黑体" w:eastAsia="黑体" w:cs="黑体"/>
          <w:sz w:val="32"/>
          <w:szCs w:val="32"/>
        </w:rPr>
        <w:t>、部门绩效考评情况</w:t>
      </w:r>
      <w:bookmarkEnd w:id="170"/>
      <w:bookmarkEnd w:id="171"/>
      <w:bookmarkEnd w:id="172"/>
      <w:bookmarkEnd w:id="173"/>
      <w:bookmarkEnd w:id="174"/>
      <w:bookmarkEnd w:id="175"/>
    </w:p>
    <w:p w14:paraId="2E5905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76" w:name="_Toc18463"/>
      <w:bookmarkStart w:id="177" w:name="_Toc31895"/>
      <w:bookmarkStart w:id="178" w:name="_Toc18503"/>
      <w:bookmarkStart w:id="179" w:name="_Toc31782"/>
      <w:bookmarkStart w:id="180" w:name="_Toc10865"/>
      <w:bookmarkStart w:id="181" w:name="_Toc8508"/>
      <w:r>
        <w:rPr>
          <w:rFonts w:hint="eastAsia" w:ascii="楷体" w:hAnsi="楷体" w:eastAsia="楷体" w:cs="楷体"/>
          <w:b/>
          <w:bCs/>
          <w:sz w:val="32"/>
          <w:szCs w:val="32"/>
        </w:rPr>
        <w:t>（一）评价框架</w:t>
      </w:r>
      <w:bookmarkEnd w:id="176"/>
      <w:bookmarkEnd w:id="177"/>
      <w:bookmarkEnd w:id="178"/>
      <w:bookmarkEnd w:id="179"/>
      <w:bookmarkEnd w:id="180"/>
      <w:bookmarkEnd w:id="181"/>
    </w:p>
    <w:p w14:paraId="2831B18A">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依据财政部《项目支出绩效评价管理办法》（财预〔2020〕10号），结合一般债券资金管理要求</w:t>
      </w:r>
      <w:r>
        <w:rPr>
          <w:rFonts w:hint="eastAsia" w:ascii="仿宋" w:hAnsi="仿宋" w:eastAsia="仿宋" w:cs="仿宋"/>
          <w:color w:val="000000"/>
          <w:sz w:val="32"/>
          <w:szCs w:val="32"/>
          <w:shd w:val="clear" w:color="auto" w:fill="FFFFFF"/>
          <w:lang w:eastAsia="zh-CN"/>
        </w:rPr>
        <w:t>。</w:t>
      </w:r>
    </w:p>
    <w:p w14:paraId="1574C28B">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1.投入指标20分：目标设定、预算配置。</w:t>
      </w:r>
    </w:p>
    <w:p w14:paraId="3B5805F2">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2.过程指标30分：预算执行、部门管理、资产管理。</w:t>
      </w:r>
    </w:p>
    <w:p w14:paraId="3AE8D846">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3.产出指标30分：职能工作完成率、重点工作办结率。</w:t>
      </w:r>
    </w:p>
    <w:p w14:paraId="11BDDA96">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4.效益指标20分：社会效益、相关人员满意度。</w:t>
      </w:r>
    </w:p>
    <w:p w14:paraId="3B776836">
      <w:pPr>
        <w:pStyle w:val="9"/>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sectPr>
          <w:footerReference r:id="rId5" w:type="default"/>
          <w:pgSz w:w="11906" w:h="16838"/>
          <w:pgMar w:top="1440" w:right="1803" w:bottom="1440" w:left="1803" w:header="851" w:footer="992" w:gutter="0"/>
          <w:pgNumType w:start="1"/>
          <w:cols w:space="0" w:num="1"/>
          <w:docGrid w:type="lines" w:linePitch="332" w:charSpace="0"/>
        </w:sectPr>
      </w:pPr>
    </w:p>
    <w:p w14:paraId="6EE5B0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212" w:name="_GoBack"/>
      <w:bookmarkEnd w:id="212"/>
      <w:bookmarkStart w:id="182" w:name="_Toc7412"/>
      <w:bookmarkStart w:id="183" w:name="_Toc21722"/>
      <w:bookmarkStart w:id="184" w:name="_Toc16490"/>
      <w:bookmarkStart w:id="185" w:name="_Toc30702"/>
      <w:bookmarkStart w:id="186" w:name="_Toc18251"/>
      <w:bookmarkStart w:id="187" w:name="_Toc25462"/>
      <w:r>
        <w:rPr>
          <w:rFonts w:hint="eastAsia" w:ascii="楷体" w:hAnsi="楷体" w:eastAsia="楷体" w:cs="楷体"/>
          <w:b/>
          <w:bCs/>
          <w:sz w:val="32"/>
          <w:szCs w:val="32"/>
        </w:rPr>
        <w:t>（二）评价分析</w:t>
      </w:r>
      <w:bookmarkEnd w:id="182"/>
      <w:bookmarkEnd w:id="183"/>
      <w:bookmarkEnd w:id="184"/>
      <w:bookmarkEnd w:id="185"/>
      <w:bookmarkEnd w:id="186"/>
      <w:bookmarkEnd w:id="187"/>
    </w:p>
    <w:p w14:paraId="7CB27E90">
      <w:pPr>
        <w:pStyle w:val="9"/>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1.总分100分，得分</w:t>
      </w:r>
      <w:r>
        <w:rPr>
          <w:rFonts w:hint="eastAsia" w:ascii="仿宋" w:hAnsi="仿宋" w:eastAsia="仿宋" w:cs="仿宋"/>
          <w:b/>
          <w:bCs/>
          <w:color w:val="000000"/>
          <w:sz w:val="32"/>
          <w:szCs w:val="32"/>
          <w:shd w:val="clear" w:color="auto" w:fill="FFFFFF"/>
          <w:lang w:val="en-US" w:eastAsia="zh-CN"/>
        </w:rPr>
        <w:t>81</w:t>
      </w:r>
      <w:r>
        <w:rPr>
          <w:rFonts w:hint="eastAsia" w:ascii="仿宋" w:hAnsi="仿宋" w:eastAsia="仿宋" w:cs="仿宋"/>
          <w:b/>
          <w:bCs/>
          <w:color w:val="000000"/>
          <w:sz w:val="32"/>
          <w:szCs w:val="32"/>
          <w:shd w:val="clear" w:color="auto" w:fill="FFFFFF"/>
        </w:rPr>
        <w:t>分，扣分</w:t>
      </w:r>
      <w:r>
        <w:rPr>
          <w:rFonts w:hint="eastAsia" w:ascii="仿宋" w:hAnsi="仿宋" w:eastAsia="仿宋" w:cs="仿宋"/>
          <w:b/>
          <w:bCs/>
          <w:color w:val="000000"/>
          <w:sz w:val="32"/>
          <w:szCs w:val="32"/>
          <w:shd w:val="clear" w:color="auto" w:fill="FFFFFF"/>
          <w:lang w:val="en-US" w:eastAsia="zh-CN"/>
        </w:rPr>
        <w:t>19</w:t>
      </w:r>
      <w:r>
        <w:rPr>
          <w:rFonts w:hint="eastAsia" w:ascii="仿宋" w:hAnsi="仿宋" w:eastAsia="仿宋" w:cs="仿宋"/>
          <w:b/>
          <w:bCs/>
          <w:color w:val="000000"/>
          <w:sz w:val="32"/>
          <w:szCs w:val="32"/>
          <w:shd w:val="clear" w:color="auto" w:fill="FFFFFF"/>
        </w:rPr>
        <w:t>分，详见后述绩效评价得分扣分表</w:t>
      </w:r>
    </w:p>
    <w:tbl>
      <w:tblPr>
        <w:tblStyle w:val="11"/>
        <w:tblW w:w="5000" w:type="pct"/>
        <w:tblInd w:w="0" w:type="dxa"/>
        <w:tblLayout w:type="fixed"/>
        <w:tblCellMar>
          <w:top w:w="0" w:type="dxa"/>
          <w:left w:w="108" w:type="dxa"/>
          <w:bottom w:w="0" w:type="dxa"/>
          <w:right w:w="108" w:type="dxa"/>
        </w:tblCellMar>
      </w:tblPr>
      <w:tblGrid>
        <w:gridCol w:w="772"/>
        <w:gridCol w:w="1075"/>
        <w:gridCol w:w="1821"/>
        <w:gridCol w:w="748"/>
        <w:gridCol w:w="734"/>
        <w:gridCol w:w="763"/>
        <w:gridCol w:w="2325"/>
        <w:gridCol w:w="5936"/>
      </w:tblGrid>
      <w:tr w14:paraId="52EC9DD0">
        <w:tblPrEx>
          <w:tblCellMar>
            <w:top w:w="0" w:type="dxa"/>
            <w:left w:w="108" w:type="dxa"/>
            <w:bottom w:w="0" w:type="dxa"/>
            <w:right w:w="108" w:type="dxa"/>
          </w:tblCellMar>
        </w:tblPrEx>
        <w:trPr>
          <w:trHeight w:val="560" w:hRule="atLeast"/>
          <w:tblHeader/>
        </w:trPr>
        <w:tc>
          <w:tcPr>
            <w:tcW w:w="272" w:type="pct"/>
            <w:tcBorders>
              <w:top w:val="single" w:color="000000" w:sz="4" w:space="0"/>
              <w:left w:val="single" w:color="000000" w:sz="4" w:space="0"/>
              <w:bottom w:val="single" w:color="000000" w:sz="4" w:space="0"/>
              <w:right w:val="single" w:color="000000" w:sz="4" w:space="0"/>
            </w:tcBorders>
            <w:noWrap/>
            <w:vAlign w:val="center"/>
          </w:tcPr>
          <w:p w14:paraId="66AE51D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一级指标</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885DAB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二级指标</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223F71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三级指标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8CA328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分值</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100209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得分</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3941376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15F85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扣分说明</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7226BB4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评价要点</w:t>
            </w:r>
          </w:p>
        </w:tc>
      </w:tr>
      <w:tr w14:paraId="7D17E665">
        <w:tblPrEx>
          <w:tblCellMar>
            <w:top w:w="0" w:type="dxa"/>
            <w:left w:w="108" w:type="dxa"/>
            <w:bottom w:w="0" w:type="dxa"/>
            <w:right w:w="108" w:type="dxa"/>
          </w:tblCellMar>
        </w:tblPrEx>
        <w:trPr>
          <w:trHeight w:val="108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A6F25C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投入（20分）</w:t>
            </w: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75092E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目标设定（10分）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C52F4A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绩效目标合理性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157FBAF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6033DCD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40ACC2E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3EBF0A9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编制预算时未按要求编制绩效目标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42060C6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①是否符合国家法律法规、国民经济和社会发展总体规划；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②是否符合部门“三定”方案确定的职责；</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③是否符合部门制定的发展实施规划和年度主要工作计划；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④所属部门（单位）编报预算时是否按要求编制绩效目标。</w:t>
            </w:r>
          </w:p>
        </w:tc>
      </w:tr>
      <w:tr w14:paraId="53E4372B">
        <w:tblPrEx>
          <w:tblCellMar>
            <w:top w:w="0" w:type="dxa"/>
            <w:left w:w="108" w:type="dxa"/>
            <w:bottom w:w="0" w:type="dxa"/>
            <w:right w:w="108" w:type="dxa"/>
          </w:tblCellMar>
        </w:tblPrEx>
        <w:trPr>
          <w:trHeight w:val="135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18EEBC5C">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19BCDF14">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DC6CAF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绩效指标明确性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E64871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019F943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6204C190">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6B82A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未提供细化绩效指标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0D46101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①是否将部门整体的绩效目标细化分解为具体的工作任务；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②是否通过清晰、可衡量的指标值予以体现；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③是否将项目绩效目标与部门年度的任务数或计划数相对应：</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④是否与本年度部门预算资金相匹配，是否对下属部门（单位）预算编报的绩</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效目标进行审核。</w:t>
            </w:r>
          </w:p>
        </w:tc>
      </w:tr>
      <w:tr w14:paraId="7B101464">
        <w:tblPrEx>
          <w:tblCellMar>
            <w:top w:w="0" w:type="dxa"/>
            <w:left w:w="108" w:type="dxa"/>
            <w:bottom w:w="0" w:type="dxa"/>
            <w:right w:w="108" w:type="dxa"/>
          </w:tblCellMar>
        </w:tblPrEx>
        <w:trPr>
          <w:trHeight w:val="825"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5254D47">
            <w:pPr>
              <w:jc w:val="center"/>
              <w:rPr>
                <w:rFonts w:hint="eastAsia" w:ascii="宋体" w:hAnsi="宋体" w:eastAsia="宋体" w:cs="宋体"/>
                <w:color w:val="000000"/>
                <w:sz w:val="22"/>
                <w:szCs w:val="22"/>
              </w:rPr>
            </w:pP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331282C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预算编制与配置（10分）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682FA1A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6592E3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64F478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4A76F0EF">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5005EF31">
            <w:pPr>
              <w:jc w:val="center"/>
              <w:rPr>
                <w:rFonts w:hint="eastAsia" w:ascii="宋体" w:hAnsi="宋体" w:eastAsia="宋体" w:cs="宋体"/>
                <w:color w:val="000000"/>
                <w:sz w:val="22"/>
                <w:szCs w:val="22"/>
              </w:rPr>
            </w:pPr>
            <w:r>
              <w:rPr>
                <w:rFonts w:hint="eastAsia" w:ascii="宋体" w:hAnsi="宋体" w:eastAsia="宋体" w:cs="宋体"/>
                <w:color w:val="auto"/>
                <w:sz w:val="22"/>
                <w:szCs w:val="22"/>
              </w:rPr>
              <w:t>在职人员控制率为</w:t>
            </w:r>
            <w:r>
              <w:rPr>
                <w:rFonts w:hint="eastAsia" w:ascii="宋体" w:hAnsi="宋体" w:eastAsia="宋体" w:cs="宋体"/>
                <w:color w:val="auto"/>
                <w:sz w:val="22"/>
                <w:szCs w:val="22"/>
                <w:lang w:val="en-US" w:eastAsia="zh-CN"/>
              </w:rPr>
              <w:t>128.57</w:t>
            </w:r>
            <w:r>
              <w:rPr>
                <w:rFonts w:hint="eastAsia" w:ascii="宋体" w:hAnsi="宋体" w:eastAsia="宋体" w:cs="宋体"/>
                <w:color w:val="auto"/>
                <w:sz w:val="22"/>
                <w:szCs w:val="22"/>
              </w:rPr>
              <w:t>%</w:t>
            </w:r>
          </w:p>
        </w:tc>
        <w:tc>
          <w:tcPr>
            <w:tcW w:w="2093" w:type="pct"/>
            <w:tcBorders>
              <w:top w:val="single" w:color="000000" w:sz="4" w:space="0"/>
              <w:left w:val="single" w:color="000000" w:sz="4" w:space="0"/>
              <w:bottom w:val="single" w:color="000000" w:sz="4" w:space="0"/>
              <w:right w:val="single" w:color="000000" w:sz="4" w:space="0"/>
            </w:tcBorders>
            <w:vAlign w:val="center"/>
          </w:tcPr>
          <w:p w14:paraId="0EB619F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在职人员控制率=（在职人员数/编制数）×100%。聘用人员控制率</w:t>
            </w:r>
            <w:r>
              <w:rPr>
                <w:rFonts w:ascii="Arial" w:hAnsi="Arial" w:eastAsia="宋体" w:cs="Arial"/>
                <w:color w:val="000000"/>
                <w:sz w:val="22"/>
                <w:szCs w:val="22"/>
                <w:lang w:bidi="ar"/>
              </w:rPr>
              <w:t>≤</w:t>
            </w:r>
            <w:r>
              <w:rPr>
                <w:rFonts w:hint="eastAsia" w:ascii="宋体" w:hAnsi="宋体" w:eastAsia="宋体" w:cs="宋体"/>
                <w:color w:val="000000"/>
                <w:sz w:val="22"/>
                <w:szCs w:val="22"/>
                <w:lang w:bidi="ar"/>
              </w:rPr>
              <w:t>人社和编办共同批复的人数；在职人员数：部门（单位）实际在职人数，以财政部门确定的部门决算编制口径为准。编制数：机构编制部门核定批复的部门（单位）的人员编制数。</w:t>
            </w:r>
          </w:p>
        </w:tc>
      </w:tr>
      <w:tr w14:paraId="0430BBDC">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2EB287B">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027CBCBF">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661987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预算编制科学性与配置合理性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692400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5455FA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717478F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1C518502">
            <w:pP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年初预算</w:t>
            </w:r>
            <w:r>
              <w:rPr>
                <w:rFonts w:hint="eastAsia" w:ascii="宋体" w:hAnsi="宋体" w:eastAsia="宋体" w:cs="宋体"/>
                <w:color w:val="000000"/>
                <w:sz w:val="22"/>
                <w:szCs w:val="22"/>
                <w:lang w:eastAsia="zh-CN" w:bidi="ar"/>
              </w:rPr>
              <w:t>未考虑人员经费支出。未提供预算调整批复。</w:t>
            </w:r>
          </w:p>
        </w:tc>
        <w:tc>
          <w:tcPr>
            <w:tcW w:w="2093" w:type="pct"/>
            <w:tcBorders>
              <w:top w:val="single" w:color="000000" w:sz="4" w:space="0"/>
              <w:left w:val="single" w:color="000000" w:sz="4" w:space="0"/>
              <w:bottom w:val="single" w:color="000000" w:sz="4" w:space="0"/>
              <w:right w:val="single" w:color="000000" w:sz="4" w:space="0"/>
            </w:tcBorders>
            <w:vAlign w:val="center"/>
          </w:tcPr>
          <w:p w14:paraId="7E68592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预算编制科学性，预算与政策目标的匹配度与预算标准合理性。</w:t>
            </w:r>
          </w:p>
        </w:tc>
      </w:tr>
      <w:tr w14:paraId="58A6AFAF">
        <w:tblPrEx>
          <w:tblCellMar>
            <w:top w:w="0" w:type="dxa"/>
            <w:left w:w="108" w:type="dxa"/>
            <w:bottom w:w="0" w:type="dxa"/>
            <w:right w:w="108" w:type="dxa"/>
          </w:tblCellMar>
        </w:tblPrEx>
        <w:trPr>
          <w:trHeight w:val="150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CA38B1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过程（30分）</w:t>
            </w:r>
          </w:p>
        </w:tc>
        <w:tc>
          <w:tcPr>
            <w:tcW w:w="379" w:type="pct"/>
            <w:vMerge w:val="restart"/>
            <w:tcBorders>
              <w:top w:val="single" w:color="000000" w:sz="4" w:space="0"/>
              <w:left w:val="single" w:color="000000" w:sz="4" w:space="0"/>
              <w:right w:val="single" w:color="000000" w:sz="4" w:space="0"/>
            </w:tcBorders>
            <w:noWrap/>
            <w:vAlign w:val="center"/>
          </w:tcPr>
          <w:p w14:paraId="091CA7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预算执行（10分）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2B43B34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预算约束合规性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F41063A">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vAlign w:val="center"/>
          </w:tcPr>
          <w:p w14:paraId="5C98C6B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69" w:type="pct"/>
            <w:tcBorders>
              <w:top w:val="single" w:color="000000" w:sz="4" w:space="0"/>
              <w:left w:val="single" w:color="000000" w:sz="4" w:space="0"/>
              <w:bottom w:val="single" w:color="000000" w:sz="4" w:space="0"/>
              <w:right w:val="single" w:color="000000" w:sz="4" w:space="0"/>
            </w:tcBorders>
            <w:vAlign w:val="center"/>
          </w:tcPr>
          <w:p w14:paraId="6C0B7C85">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0FB4DCB3">
            <w:pPr>
              <w:textAlignment w:val="center"/>
              <w:rPr>
                <w:rFonts w:hint="eastAsia" w:ascii="宋体" w:hAnsi="宋体" w:eastAsia="宋体" w:cs="宋体"/>
                <w:color w:val="000000"/>
                <w:sz w:val="22"/>
                <w:szCs w:val="22"/>
              </w:rPr>
            </w:pPr>
            <w:r>
              <w:rPr>
                <w:rFonts w:hint="eastAsia" w:ascii="宋体" w:hAnsi="宋体" w:eastAsia="宋体" w:cs="宋体"/>
                <w:color w:val="auto"/>
                <w:sz w:val="22"/>
                <w:szCs w:val="22"/>
                <w:lang w:bidi="ar"/>
              </w:rPr>
              <w:t>存在人员经费、</w:t>
            </w:r>
            <w:r>
              <w:rPr>
                <w:rFonts w:hint="eastAsia" w:ascii="宋体" w:hAnsi="宋体" w:eastAsia="宋体" w:cs="宋体"/>
                <w:color w:val="auto"/>
                <w:sz w:val="22"/>
                <w:szCs w:val="22"/>
                <w:lang w:eastAsia="zh-CN" w:bidi="ar"/>
              </w:rPr>
              <w:t>公务用车</w:t>
            </w:r>
            <w:r>
              <w:rPr>
                <w:rFonts w:hint="eastAsia" w:ascii="宋体" w:hAnsi="宋体" w:eastAsia="宋体" w:cs="宋体"/>
                <w:color w:val="auto"/>
                <w:sz w:val="22"/>
                <w:szCs w:val="22"/>
                <w:lang w:bidi="ar"/>
              </w:rPr>
              <w:t>经费超出预算情况</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2883858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预算约束：支出是否严格遵循人大批准的预算，有无超预算、无预算开支的现象。</w:t>
            </w:r>
          </w:p>
        </w:tc>
      </w:tr>
      <w:tr w14:paraId="58C8044E">
        <w:tblPrEx>
          <w:tblCellMar>
            <w:top w:w="0" w:type="dxa"/>
            <w:left w:w="108" w:type="dxa"/>
            <w:bottom w:w="0" w:type="dxa"/>
            <w:right w:w="108" w:type="dxa"/>
          </w:tblCellMar>
        </w:tblPrEx>
        <w:trPr>
          <w:trHeight w:val="56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DAEC164">
            <w:pPr>
              <w:jc w:val="center"/>
              <w:rPr>
                <w:rFonts w:hint="eastAsia" w:ascii="宋体" w:hAnsi="宋体" w:eastAsia="宋体" w:cs="宋体"/>
                <w:color w:val="000000"/>
                <w:sz w:val="22"/>
                <w:szCs w:val="22"/>
              </w:rPr>
            </w:pPr>
          </w:p>
        </w:tc>
        <w:tc>
          <w:tcPr>
            <w:tcW w:w="379" w:type="pct"/>
            <w:vMerge w:val="continue"/>
            <w:tcBorders>
              <w:left w:val="single" w:color="000000" w:sz="4" w:space="0"/>
              <w:right w:val="single" w:color="000000" w:sz="4" w:space="0"/>
            </w:tcBorders>
            <w:noWrap/>
            <w:vAlign w:val="center"/>
          </w:tcPr>
          <w:p w14:paraId="043DD3A0">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2EC60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用途合规性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14814A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554DAE13">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201BF375">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6B57A033">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基本支出和项目支出之间存在挤占挪用的情况</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1BA9B66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17BB1471">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C5A1196">
            <w:pPr>
              <w:jc w:val="center"/>
              <w:rPr>
                <w:rFonts w:hint="eastAsia" w:ascii="宋体" w:hAnsi="宋体" w:eastAsia="宋体" w:cs="宋体"/>
                <w:color w:val="000000"/>
                <w:sz w:val="22"/>
                <w:szCs w:val="22"/>
              </w:rPr>
            </w:pPr>
          </w:p>
        </w:tc>
        <w:tc>
          <w:tcPr>
            <w:tcW w:w="379" w:type="pct"/>
            <w:vMerge w:val="continue"/>
            <w:tcBorders>
              <w:left w:val="single" w:color="000000" w:sz="4" w:space="0"/>
              <w:right w:val="single" w:color="000000" w:sz="4" w:space="0"/>
            </w:tcBorders>
            <w:noWrap/>
            <w:vAlign w:val="center"/>
          </w:tcPr>
          <w:p w14:paraId="76615485">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EF478E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程序合规性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3CE7EF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c>
          <w:tcPr>
            <w:tcW w:w="258" w:type="pct"/>
            <w:tcBorders>
              <w:top w:val="single" w:color="000000" w:sz="4" w:space="0"/>
              <w:left w:val="single" w:color="000000" w:sz="4" w:space="0"/>
              <w:bottom w:val="single" w:color="000000" w:sz="4" w:space="0"/>
              <w:right w:val="single" w:color="000000" w:sz="4" w:space="0"/>
            </w:tcBorders>
            <w:vAlign w:val="center"/>
          </w:tcPr>
          <w:p w14:paraId="33EAD102">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5261016F">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6E80D2A4">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未提供拨付奇峰村环境工作经费的文件依据及绩效管理目标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5F1DDD2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程序合规：政府采购、国库集中支付、资产管理等环节是否符合法律法规和制度规定。</w:t>
            </w:r>
          </w:p>
        </w:tc>
      </w:tr>
      <w:tr w14:paraId="76FA89CE">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412AB9E6">
            <w:pPr>
              <w:jc w:val="center"/>
              <w:rPr>
                <w:rFonts w:hint="eastAsia" w:ascii="宋体" w:hAnsi="宋体" w:eastAsia="宋体" w:cs="宋体"/>
                <w:color w:val="000000"/>
                <w:sz w:val="22"/>
                <w:szCs w:val="22"/>
              </w:rPr>
            </w:pPr>
          </w:p>
        </w:tc>
        <w:tc>
          <w:tcPr>
            <w:tcW w:w="379" w:type="pct"/>
            <w:vMerge w:val="continue"/>
            <w:tcBorders>
              <w:left w:val="single" w:color="000000" w:sz="4" w:space="0"/>
              <w:bottom w:val="single" w:color="000000" w:sz="4" w:space="0"/>
              <w:right w:val="single" w:color="000000" w:sz="4" w:space="0"/>
            </w:tcBorders>
            <w:noWrap/>
            <w:vAlign w:val="center"/>
          </w:tcPr>
          <w:p w14:paraId="3C6BC3FC">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69BADB8">
            <w:pP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进度匹配度</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3910D3A7">
            <w:pPr>
              <w:jc w:val="center"/>
              <w:textAlignment w:val="center"/>
              <w:rPr>
                <w:rFonts w:hint="eastAsia"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vAlign w:val="center"/>
          </w:tcPr>
          <w:p w14:paraId="12339492">
            <w:pPr>
              <w:jc w:val="center"/>
              <w:textAlignment w:val="center"/>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6517A86F">
            <w:pPr>
              <w:jc w:val="center"/>
              <w:textAlignment w:val="center"/>
              <w:rPr>
                <w:rFonts w:hint="eastAsia" w:ascii="宋体" w:hAnsi="宋体" w:eastAsia="宋体" w:cs="宋体"/>
                <w:color w:val="000000"/>
                <w:sz w:val="22"/>
                <w:szCs w:val="22"/>
                <w:lang w:val="en-US"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60BD7358">
            <w:pPr>
              <w:jc w:val="left"/>
              <w:rPr>
                <w:rFonts w:hint="eastAsia" w:ascii="宋体" w:hAnsi="宋体" w:eastAsia="宋体" w:cs="宋体"/>
                <w:color w:val="000000"/>
                <w:sz w:val="22"/>
                <w:szCs w:val="22"/>
                <w:lang w:eastAsia="zh-CN"/>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01912927">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支出总量进度： 部门总支出完成了年度预算的百分之多少？是否与时间进度相匹配？是否存在“前期慢、后期突击花钱”或“支出进度严重滞后”的问题。</w:t>
            </w:r>
          </w:p>
          <w:p w14:paraId="0C1A2C8F">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分项支出进度： 基本支出（人员工资、办公经费）和项目支出（专项业务、事业发展项目）各自的执行进度如何。</w:t>
            </w:r>
          </w:p>
        </w:tc>
      </w:tr>
      <w:tr w14:paraId="4580BE5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92097B0">
            <w:pPr>
              <w:jc w:val="center"/>
              <w:rPr>
                <w:rFonts w:hint="eastAsia" w:ascii="宋体" w:hAnsi="宋体" w:eastAsia="宋体" w:cs="宋体"/>
                <w:color w:val="000000"/>
                <w:sz w:val="22"/>
                <w:szCs w:val="22"/>
              </w:rPr>
            </w:pP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06C2B8C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部门管理（15分）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7376C4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管理制度健全性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2442C72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30DEDC57">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70B7BFC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544555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r>
              <w:rPr>
                <w:rFonts w:hint="eastAsia" w:ascii="宋体" w:hAnsi="宋体" w:eastAsia="宋体" w:cs="宋体"/>
                <w:color w:val="000000"/>
                <w:sz w:val="22"/>
                <w:szCs w:val="22"/>
                <w:lang w:bidi="ar"/>
              </w:rPr>
              <w:t>未提供其他管理制度。如：预算管理制度，内部控制制度，政府采购管理制度，国有资产管理制度，合同管理制度，专项资金管理办法，绩效管理制度，信息化管理制度，决算与财务报告制度，监督与审计制度等。</w:t>
            </w:r>
          </w:p>
        </w:tc>
        <w:tc>
          <w:tcPr>
            <w:tcW w:w="2093" w:type="pct"/>
            <w:tcBorders>
              <w:top w:val="single" w:color="000000" w:sz="4" w:space="0"/>
              <w:left w:val="single" w:color="000000" w:sz="4" w:space="0"/>
              <w:bottom w:val="single" w:color="000000" w:sz="4" w:space="0"/>
              <w:right w:val="single" w:color="000000" w:sz="4" w:space="0"/>
            </w:tcBorders>
            <w:vAlign w:val="center"/>
          </w:tcPr>
          <w:p w14:paraId="02DF245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①部门（单位）内控制度、内部财务管理制度和会计核算制度是否健全；</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②相关管理制度是否合法、合规、完整、有效；</w:t>
            </w:r>
          </w:p>
        </w:tc>
      </w:tr>
      <w:tr w14:paraId="3DC44AC9">
        <w:tblPrEx>
          <w:tblCellMar>
            <w:top w:w="0" w:type="dxa"/>
            <w:left w:w="108" w:type="dxa"/>
            <w:bottom w:w="0" w:type="dxa"/>
            <w:right w:w="108" w:type="dxa"/>
          </w:tblCellMar>
        </w:tblPrEx>
        <w:trPr>
          <w:trHeight w:val="84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7121E8A">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0D2A814F">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32AF59D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制度执行有效性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C16520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4F5627A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373CA36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2C54E5C2">
            <w:pPr>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r>
              <w:rPr>
                <w:rFonts w:hint="eastAsia" w:ascii="宋体" w:hAnsi="宋体" w:eastAsia="宋体" w:cs="宋体"/>
                <w:color w:val="000000"/>
                <w:sz w:val="22"/>
                <w:szCs w:val="22"/>
                <w:lang w:eastAsia="zh-CN" w:bidi="ar"/>
              </w:rPr>
              <w:t>超过</w:t>
            </w:r>
            <w:r>
              <w:rPr>
                <w:rFonts w:hint="eastAsia" w:ascii="宋体" w:hAnsi="宋体" w:eastAsia="宋体" w:cs="宋体"/>
                <w:color w:val="000000"/>
                <w:sz w:val="22"/>
                <w:szCs w:val="22"/>
                <w:lang w:val="en-US" w:eastAsia="zh-CN" w:bidi="ar"/>
              </w:rPr>
              <w:t>1万元的支出，</w:t>
            </w:r>
            <w:r>
              <w:rPr>
                <w:rFonts w:hint="eastAsia" w:ascii="宋体" w:hAnsi="宋体" w:eastAsia="宋体" w:cs="宋体"/>
                <w:color w:val="000000"/>
                <w:sz w:val="22"/>
                <w:szCs w:val="22"/>
                <w:lang w:bidi="ar"/>
              </w:rPr>
              <w:t>未进行会议</w:t>
            </w:r>
            <w:r>
              <w:rPr>
                <w:rFonts w:hint="eastAsia" w:ascii="宋体" w:hAnsi="宋体" w:eastAsia="宋体" w:cs="宋体"/>
                <w:color w:val="000000"/>
                <w:sz w:val="22"/>
                <w:szCs w:val="22"/>
                <w:lang w:eastAsia="zh-CN" w:bidi="ar"/>
              </w:rPr>
              <w:t>审议</w:t>
            </w:r>
            <w:r>
              <w:rPr>
                <w:rFonts w:hint="eastAsia" w:ascii="宋体" w:hAnsi="宋体" w:eastAsia="宋体" w:cs="宋体"/>
                <w:color w:val="000000"/>
                <w:sz w:val="22"/>
                <w:szCs w:val="22"/>
                <w:lang w:bidi="ar"/>
              </w:rPr>
              <w:t>。</w:t>
            </w:r>
            <w:r>
              <w:rPr>
                <w:rFonts w:hint="eastAsia" w:ascii="宋体" w:hAnsi="宋体" w:eastAsia="宋体" w:cs="宋体"/>
                <w:color w:val="000000"/>
                <w:sz w:val="22"/>
                <w:szCs w:val="22"/>
                <w:lang w:val="en-US" w:eastAsia="zh-CN" w:bidi="ar"/>
              </w:rPr>
              <w:t>2.部分支出</w:t>
            </w:r>
            <w:r>
              <w:rPr>
                <w:rFonts w:hint="eastAsia" w:ascii="宋体" w:hAnsi="宋体" w:eastAsia="宋体" w:cs="宋体"/>
                <w:color w:val="000000"/>
                <w:sz w:val="22"/>
                <w:szCs w:val="22"/>
                <w:lang w:eastAsia="zh-CN" w:bidi="ar"/>
              </w:rPr>
              <w:t>审批手续不全</w:t>
            </w:r>
          </w:p>
        </w:tc>
        <w:tc>
          <w:tcPr>
            <w:tcW w:w="2093" w:type="pct"/>
            <w:tcBorders>
              <w:top w:val="single" w:color="000000" w:sz="4" w:space="0"/>
              <w:left w:val="single" w:color="000000" w:sz="4" w:space="0"/>
              <w:bottom w:val="single" w:color="000000" w:sz="4" w:space="0"/>
              <w:right w:val="single" w:color="000000" w:sz="4" w:space="0"/>
            </w:tcBorders>
            <w:vAlign w:val="center"/>
          </w:tcPr>
          <w:p w14:paraId="4FFF005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①相关管理制度是否得到有效执行；</w:t>
            </w:r>
          </w:p>
          <w:p w14:paraId="04BC102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②是否存在整改情况；</w:t>
            </w:r>
          </w:p>
        </w:tc>
      </w:tr>
      <w:tr w14:paraId="21103897">
        <w:tblPrEx>
          <w:tblCellMar>
            <w:top w:w="0" w:type="dxa"/>
            <w:left w:w="108" w:type="dxa"/>
            <w:bottom w:w="0" w:type="dxa"/>
            <w:right w:w="108" w:type="dxa"/>
          </w:tblCellMar>
        </w:tblPrEx>
        <w:trPr>
          <w:trHeight w:val="56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E75D7B7">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79E14106">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188703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预决算信息公开化</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7A45397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258" w:type="pct"/>
            <w:tcBorders>
              <w:top w:val="single" w:color="000000" w:sz="4" w:space="0"/>
              <w:left w:val="single" w:color="000000" w:sz="4" w:space="0"/>
              <w:bottom w:val="single" w:color="000000" w:sz="4" w:space="0"/>
              <w:right w:val="single" w:color="000000" w:sz="4" w:space="0"/>
            </w:tcBorders>
            <w:vAlign w:val="center"/>
          </w:tcPr>
          <w:p w14:paraId="4CBA0AAE">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183892A6">
            <w:pPr>
              <w:jc w:val="center"/>
              <w:textAlignment w:val="center"/>
              <w:rPr>
                <w:rFonts w:hint="eastAsia" w:ascii="宋体" w:hAnsi="宋体" w:eastAsia="宋体" w:cs="宋体"/>
                <w:color w:val="000000"/>
                <w:sz w:val="22"/>
                <w:szCs w:val="22"/>
                <w:lang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D5EB130">
            <w:pPr>
              <w:jc w:val="left"/>
              <w:textAlignment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44C051D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①无涉密情况的预算单位按规定及时、准确、完整地公开预决算和绩效管理信息；</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②基础数据信息和会计信息资料真实、准确、完整；</w:t>
            </w:r>
          </w:p>
        </w:tc>
      </w:tr>
      <w:tr w14:paraId="6BA14155">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657B507">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6DC87B8C">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3F3897EE">
            <w:pP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报销凭证的合规性与时效性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792958D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000000" w:sz="4" w:space="0"/>
              <w:right w:val="single" w:color="000000" w:sz="4" w:space="0"/>
            </w:tcBorders>
            <w:vAlign w:val="center"/>
          </w:tcPr>
          <w:p w14:paraId="4242A9C4">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9</w:t>
            </w:r>
          </w:p>
        </w:tc>
        <w:tc>
          <w:tcPr>
            <w:tcW w:w="269" w:type="pct"/>
            <w:tcBorders>
              <w:top w:val="single" w:color="000000" w:sz="4" w:space="0"/>
              <w:left w:val="single" w:color="000000" w:sz="4" w:space="0"/>
              <w:bottom w:val="single" w:color="000000" w:sz="4" w:space="0"/>
              <w:right w:val="single" w:color="000000" w:sz="4" w:space="0"/>
            </w:tcBorders>
            <w:vAlign w:val="center"/>
          </w:tcPr>
          <w:p w14:paraId="1277A6BD">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13444EAB">
            <w:pPr>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部分支出</w:t>
            </w:r>
            <w:r>
              <w:rPr>
                <w:rFonts w:hint="eastAsia" w:ascii="宋体" w:hAnsi="宋体" w:eastAsia="宋体" w:cs="宋体"/>
                <w:color w:val="000000"/>
                <w:sz w:val="22"/>
                <w:szCs w:val="22"/>
                <w:lang w:eastAsia="zh-CN" w:bidi="ar"/>
              </w:rPr>
              <w:t>审批手续不全</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3E8ABDD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资金分配及时性（转移支付下达时效，资金保障有效性；是否接受检查，受过处罚或上缴财政资金情况</w:t>
            </w:r>
          </w:p>
        </w:tc>
      </w:tr>
      <w:tr w14:paraId="3FA3EB7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454597C">
            <w:pPr>
              <w:jc w:val="center"/>
              <w:rPr>
                <w:rFonts w:hint="eastAsia" w:ascii="宋体" w:hAnsi="宋体" w:eastAsia="宋体" w:cs="宋体"/>
                <w:color w:val="000000"/>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2F9AA6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资产管理（5分）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4F0B591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资产管理有效性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1664E4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4CD5E21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vAlign w:val="center"/>
          </w:tcPr>
          <w:p w14:paraId="444F8691">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39EA316F">
            <w:pPr>
              <w:jc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部分资产要素有待完善。</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未定期盘点</w:t>
            </w:r>
          </w:p>
        </w:tc>
        <w:tc>
          <w:tcPr>
            <w:tcW w:w="2093" w:type="pct"/>
            <w:tcBorders>
              <w:top w:val="single" w:color="000000" w:sz="4" w:space="0"/>
              <w:left w:val="single" w:color="000000" w:sz="4" w:space="0"/>
              <w:bottom w:val="single" w:color="000000" w:sz="4" w:space="0"/>
              <w:right w:val="single" w:color="000000" w:sz="4" w:space="0"/>
            </w:tcBorders>
            <w:vAlign w:val="center"/>
          </w:tcPr>
          <w:p w14:paraId="6877311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①资产保存是否完整并有台账；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②资产配置是否合理，是否有闲置现象；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③资产处置是否规范；</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④资产账务管理是否合规，是否账实相符；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⑤是否完成国有“三资”盘活工作，资产是否有偿使用或处置收入及时足额上缴；</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⑥相关资产购置是否履行政府采购手续，外租资产是否走合规程序；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⑦资产是否定期进行盘点并有记录。</w:t>
            </w:r>
          </w:p>
        </w:tc>
      </w:tr>
      <w:tr w14:paraId="7AA6C524">
        <w:tblPrEx>
          <w:tblCellMar>
            <w:top w:w="0" w:type="dxa"/>
            <w:left w:w="108" w:type="dxa"/>
            <w:bottom w:w="0" w:type="dxa"/>
            <w:right w:w="108" w:type="dxa"/>
          </w:tblCellMar>
        </w:tblPrEx>
        <w:trPr>
          <w:trHeight w:val="4227" w:hRule="atLeast"/>
        </w:trPr>
        <w:tc>
          <w:tcPr>
            <w:tcW w:w="272" w:type="pct"/>
            <w:vMerge w:val="restart"/>
            <w:tcBorders>
              <w:top w:val="single" w:color="000000" w:sz="4" w:space="0"/>
              <w:left w:val="single" w:color="000000" w:sz="4" w:space="0"/>
              <w:bottom w:val="nil"/>
              <w:right w:val="single" w:color="000000" w:sz="4" w:space="0"/>
            </w:tcBorders>
            <w:noWrap/>
            <w:vAlign w:val="center"/>
          </w:tcPr>
          <w:p w14:paraId="0E8C39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产出（20分）</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497E85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职能工作完成率（10分）</w:t>
            </w:r>
          </w:p>
        </w:tc>
        <w:tc>
          <w:tcPr>
            <w:tcW w:w="642" w:type="pct"/>
            <w:tcBorders>
              <w:top w:val="single" w:color="000000" w:sz="4" w:space="0"/>
              <w:left w:val="single" w:color="000000" w:sz="4" w:space="0"/>
              <w:bottom w:val="single" w:color="auto" w:sz="4" w:space="0"/>
              <w:right w:val="single" w:color="000000" w:sz="4" w:space="0"/>
            </w:tcBorders>
            <w:vAlign w:val="center"/>
          </w:tcPr>
          <w:p w14:paraId="70B85BC4">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①问题线索成案率</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②民生痛点问题揭示数。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③巡察流程全链条合规率</w:t>
            </w:r>
            <w:r>
              <w:rPr>
                <w:rFonts w:hint="eastAsia" w:ascii="宋体" w:hAnsi="宋体" w:eastAsia="宋体" w:cs="宋体"/>
                <w:color w:val="000000"/>
                <w:sz w:val="22"/>
                <w:szCs w:val="22"/>
                <w:lang w:eastAsia="zh-CN" w:bidi="ar"/>
              </w:rPr>
              <w:t>。</w:t>
            </w:r>
          </w:p>
          <w:p w14:paraId="0CC7D08E">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④整改回访执行率</w:t>
            </w:r>
            <w:r>
              <w:rPr>
                <w:rFonts w:hint="eastAsia" w:ascii="宋体" w:hAnsi="宋体" w:eastAsia="宋体" w:cs="宋体"/>
                <w:color w:val="000000"/>
                <w:sz w:val="22"/>
                <w:szCs w:val="22"/>
                <w:lang w:eastAsia="zh-CN" w:bidi="ar"/>
              </w:rPr>
              <w:t>。</w:t>
            </w:r>
          </w:p>
          <w:p w14:paraId="68CEE6B3">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⑤巡察覆盖率</w:t>
            </w:r>
            <w:r>
              <w:rPr>
                <w:rFonts w:hint="eastAsia" w:ascii="宋体" w:hAnsi="宋体" w:eastAsia="宋体" w:cs="宋体"/>
                <w:color w:val="000000"/>
                <w:sz w:val="22"/>
                <w:szCs w:val="22"/>
                <w:lang w:eastAsia="zh-CN" w:bidi="ar"/>
              </w:rPr>
              <w:t>。</w:t>
            </w:r>
          </w:p>
          <w:p w14:paraId="0EBACAA2">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⑥内部管理与合规性</w:t>
            </w:r>
          </w:p>
        </w:tc>
        <w:tc>
          <w:tcPr>
            <w:tcW w:w="263" w:type="pct"/>
            <w:tcBorders>
              <w:top w:val="single" w:color="000000" w:sz="4" w:space="0"/>
              <w:left w:val="single" w:color="000000" w:sz="4" w:space="0"/>
              <w:bottom w:val="single" w:color="auto" w:sz="4" w:space="0"/>
              <w:right w:val="single" w:color="000000" w:sz="4" w:space="0"/>
            </w:tcBorders>
            <w:noWrap/>
            <w:vAlign w:val="center"/>
          </w:tcPr>
          <w:p w14:paraId="6BA54F8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auto" w:sz="4" w:space="0"/>
              <w:right w:val="single" w:color="000000" w:sz="4" w:space="0"/>
            </w:tcBorders>
            <w:vAlign w:val="center"/>
          </w:tcPr>
          <w:p w14:paraId="3FE912D0">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8</w:t>
            </w:r>
          </w:p>
        </w:tc>
        <w:tc>
          <w:tcPr>
            <w:tcW w:w="269" w:type="pct"/>
            <w:tcBorders>
              <w:top w:val="single" w:color="000000" w:sz="4" w:space="0"/>
              <w:left w:val="single" w:color="000000" w:sz="4" w:space="0"/>
              <w:bottom w:val="single" w:color="auto" w:sz="4" w:space="0"/>
              <w:right w:val="single" w:color="000000" w:sz="4" w:space="0"/>
            </w:tcBorders>
            <w:vAlign w:val="center"/>
          </w:tcPr>
          <w:p w14:paraId="6B837985">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820" w:type="pct"/>
            <w:tcBorders>
              <w:top w:val="single" w:color="000000" w:sz="4" w:space="0"/>
              <w:left w:val="single" w:color="000000" w:sz="4" w:space="0"/>
              <w:bottom w:val="single" w:color="auto" w:sz="4" w:space="0"/>
              <w:right w:val="single" w:color="000000" w:sz="4" w:space="0"/>
            </w:tcBorders>
            <w:vAlign w:val="center"/>
          </w:tcPr>
          <w:p w14:paraId="2DD9D9DB">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未提供有关厉行节约保障措施的执行情况及政策效果。</w:t>
            </w:r>
          </w:p>
        </w:tc>
        <w:tc>
          <w:tcPr>
            <w:tcW w:w="2093" w:type="pct"/>
            <w:tcBorders>
              <w:top w:val="single" w:color="000000" w:sz="4" w:space="0"/>
              <w:left w:val="single" w:color="000000" w:sz="4" w:space="0"/>
              <w:bottom w:val="single" w:color="auto" w:sz="4" w:space="0"/>
              <w:right w:val="single" w:color="000000" w:sz="4" w:space="0"/>
            </w:tcBorders>
            <w:vAlign w:val="center"/>
          </w:tcPr>
          <w:p w14:paraId="38A2D2F4">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①问题线索成案率：移交给纪委监委的问题线索中，100%立案或转为谈话函询、初步核实等办理环节的比例。</w:t>
            </w:r>
          </w:p>
          <w:p w14:paraId="5DA80642">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②民生痛点问题揭示数：目标值1</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t>2个，发现并推动解决群众反映强烈的</w:t>
            </w:r>
            <w:r>
              <w:rPr>
                <w:rFonts w:hint="eastAsia" w:ascii="宋体" w:hAnsi="宋体" w:eastAsia="宋体" w:cs="宋体"/>
                <w:color w:val="000000"/>
                <w:sz w:val="22"/>
                <w:szCs w:val="22"/>
                <w:lang w:eastAsia="zh-CN" w:bidi="ar"/>
              </w:rPr>
              <w:t>急难愁盼问题</w:t>
            </w:r>
            <w:r>
              <w:rPr>
                <w:rFonts w:hint="eastAsia" w:ascii="宋体" w:hAnsi="宋体" w:eastAsia="宋体" w:cs="宋体"/>
                <w:color w:val="000000"/>
                <w:sz w:val="22"/>
                <w:szCs w:val="22"/>
                <w:lang w:bidi="ar"/>
              </w:rPr>
              <w:t>数量。</w:t>
            </w:r>
          </w:p>
          <w:p w14:paraId="004FA466">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③巡察流程全链条合规率：从方案制定、授权进驻、报告报送到反馈移交，各环节是否100%遵循《巡察工作操作规程》。</w:t>
            </w:r>
          </w:p>
          <w:p w14:paraId="03C7AB18">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④整改回访执行率：100%对已巡察单位按计划开展“回头看”或整改回访的比例。</w:t>
            </w:r>
          </w:p>
          <w:p w14:paraId="620A23CE">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⑤巡察覆盖率：目标值90%，已完成巡察的党组织数量占全区一届任期内应巡察党组织总数的比例。</w:t>
            </w:r>
          </w:p>
          <w:p w14:paraId="11117A4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⑥内部管理与合规性：财务全流程合规，经费使用合规，队伍零违纪。</w:t>
            </w:r>
          </w:p>
        </w:tc>
      </w:tr>
      <w:tr w14:paraId="6D8B8B4C">
        <w:tblPrEx>
          <w:tblCellMar>
            <w:top w:w="0" w:type="dxa"/>
            <w:left w:w="108" w:type="dxa"/>
            <w:bottom w:w="0" w:type="dxa"/>
            <w:right w:w="108" w:type="dxa"/>
          </w:tblCellMar>
        </w:tblPrEx>
        <w:trPr>
          <w:trHeight w:val="2838" w:hRule="atLeast"/>
        </w:trPr>
        <w:tc>
          <w:tcPr>
            <w:tcW w:w="272" w:type="pct"/>
            <w:vMerge w:val="continue"/>
            <w:tcBorders>
              <w:top w:val="single" w:color="000000" w:sz="4" w:space="0"/>
              <w:left w:val="single" w:color="000000" w:sz="4" w:space="0"/>
              <w:bottom w:val="nil"/>
              <w:right w:val="single" w:color="000000" w:sz="4" w:space="0"/>
            </w:tcBorders>
            <w:noWrap/>
            <w:vAlign w:val="center"/>
          </w:tcPr>
          <w:p w14:paraId="6AE5FED2">
            <w:pPr>
              <w:jc w:val="center"/>
              <w:rPr>
                <w:rFonts w:hint="eastAsia" w:ascii="宋体" w:hAnsi="宋体" w:eastAsia="宋体" w:cs="宋体"/>
                <w:color w:val="000000"/>
                <w:sz w:val="22"/>
                <w:szCs w:val="22"/>
              </w:rPr>
            </w:pPr>
          </w:p>
        </w:tc>
        <w:tc>
          <w:tcPr>
            <w:tcW w:w="379" w:type="pct"/>
            <w:tcBorders>
              <w:top w:val="single" w:color="000000" w:sz="4" w:space="0"/>
              <w:left w:val="single" w:color="000000" w:sz="4" w:space="0"/>
              <w:bottom w:val="single" w:color="000000" w:sz="4" w:space="0"/>
              <w:right w:val="single" w:color="auto" w:sz="4" w:space="0"/>
            </w:tcBorders>
            <w:noWrap/>
            <w:vAlign w:val="center"/>
          </w:tcPr>
          <w:p w14:paraId="146DAB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重点工作办结率（10分）</w:t>
            </w:r>
          </w:p>
        </w:tc>
        <w:tc>
          <w:tcPr>
            <w:tcW w:w="642" w:type="pct"/>
            <w:tcBorders>
              <w:top w:val="single" w:color="auto" w:sz="4" w:space="0"/>
              <w:left w:val="single" w:color="auto" w:sz="4" w:space="0"/>
              <w:bottom w:val="single" w:color="auto" w:sz="4" w:space="0"/>
              <w:right w:val="single" w:color="auto" w:sz="4" w:space="0"/>
            </w:tcBorders>
            <w:vAlign w:val="center"/>
          </w:tcPr>
          <w:p w14:paraId="7E5BF9A2">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①推动建章立制数量与质量。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②巡察建议采纳率。</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③反馈问题整改销号率。</w:t>
            </w:r>
            <w:r>
              <w:rPr>
                <w:rFonts w:hint="eastAsia" w:ascii="宋体" w:hAnsi="宋体" w:eastAsia="宋体" w:cs="宋体"/>
                <w:color w:val="000000"/>
                <w:sz w:val="22"/>
                <w:szCs w:val="22"/>
                <w:lang w:bidi="ar"/>
              </w:rPr>
              <w:br w:type="textWrapping"/>
            </w:r>
          </w:p>
        </w:tc>
        <w:tc>
          <w:tcPr>
            <w:tcW w:w="263" w:type="pct"/>
            <w:tcBorders>
              <w:top w:val="single" w:color="auto" w:sz="4" w:space="0"/>
              <w:left w:val="single" w:color="auto" w:sz="4" w:space="0"/>
              <w:bottom w:val="single" w:color="auto" w:sz="4" w:space="0"/>
              <w:right w:val="single" w:color="auto" w:sz="4" w:space="0"/>
            </w:tcBorders>
            <w:noWrap/>
            <w:vAlign w:val="center"/>
          </w:tcPr>
          <w:p w14:paraId="2984C8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auto" w:sz="4" w:space="0"/>
              <w:left w:val="single" w:color="auto" w:sz="4" w:space="0"/>
              <w:bottom w:val="single" w:color="auto" w:sz="4" w:space="0"/>
              <w:right w:val="single" w:color="auto" w:sz="4" w:space="0"/>
            </w:tcBorders>
            <w:vAlign w:val="center"/>
          </w:tcPr>
          <w:p w14:paraId="660F414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69" w:type="pct"/>
            <w:tcBorders>
              <w:top w:val="single" w:color="auto" w:sz="4" w:space="0"/>
              <w:left w:val="single" w:color="auto" w:sz="4" w:space="0"/>
              <w:bottom w:val="single" w:color="auto" w:sz="4" w:space="0"/>
              <w:right w:val="single" w:color="auto" w:sz="4" w:space="0"/>
            </w:tcBorders>
            <w:vAlign w:val="center"/>
          </w:tcPr>
          <w:p w14:paraId="72495D58">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auto" w:sz="4" w:space="0"/>
              <w:bottom w:val="single" w:color="auto" w:sz="4" w:space="0"/>
              <w:right w:val="single" w:color="auto" w:sz="4" w:space="0"/>
            </w:tcBorders>
            <w:vAlign w:val="center"/>
          </w:tcPr>
          <w:p w14:paraId="038EFD85">
            <w:pPr>
              <w:jc w:val="center"/>
              <w:rPr>
                <w:rFonts w:hint="eastAsia" w:ascii="宋体" w:hAnsi="宋体" w:eastAsia="宋体" w:cs="宋体"/>
                <w:color w:val="000000"/>
                <w:sz w:val="22"/>
                <w:szCs w:val="22"/>
              </w:rPr>
            </w:pPr>
          </w:p>
        </w:tc>
        <w:tc>
          <w:tcPr>
            <w:tcW w:w="2093" w:type="pct"/>
            <w:tcBorders>
              <w:top w:val="single" w:color="auto" w:sz="4" w:space="0"/>
              <w:left w:val="single" w:color="auto" w:sz="4" w:space="0"/>
              <w:bottom w:val="single" w:color="auto" w:sz="4" w:space="0"/>
              <w:right w:val="single" w:color="auto" w:sz="4" w:space="0"/>
            </w:tcBorders>
            <w:vAlign w:val="center"/>
          </w:tcPr>
          <w:p w14:paraId="71389F13">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①推动建章立制数量与质量：通过巡察反馈，推动被巡察单位或全区层面出台（修订）的制度文件数量达到1</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t>2个。</w:t>
            </w:r>
          </w:p>
          <w:p w14:paraId="3A0D6A46">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②巡察建议采纳率：目标值50%巡察办提出的专题建议、综合报告被区委、区政府采纳，并转化为政策或决策部署的情况。</w:t>
            </w:r>
          </w:p>
          <w:p w14:paraId="6556C125">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③反馈问题整改销号率：目标值100%，巡察反馈的问题中，经审核认定已彻底整改并完成销号的问题比例。</w:t>
            </w:r>
          </w:p>
          <w:p w14:paraId="1C31DDF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感知是否显著提升。②提交建言献策提案数量。</w:t>
            </w:r>
            <w:r>
              <w:rPr>
                <w:rFonts w:hint="eastAsia" w:ascii="宋体" w:hAnsi="宋体" w:eastAsia="宋体" w:cs="宋体"/>
                <w:color w:val="000000"/>
                <w:sz w:val="22"/>
                <w:szCs w:val="22"/>
                <w:lang w:bidi="ar"/>
              </w:rPr>
              <w:br w:type="textWrapping"/>
            </w:r>
          </w:p>
        </w:tc>
      </w:tr>
      <w:tr w14:paraId="4578893F">
        <w:tblPrEx>
          <w:tblCellMar>
            <w:top w:w="0" w:type="dxa"/>
            <w:left w:w="108" w:type="dxa"/>
            <w:bottom w:w="0" w:type="dxa"/>
            <w:right w:w="108" w:type="dxa"/>
          </w:tblCellMar>
        </w:tblPrEx>
        <w:trPr>
          <w:trHeight w:val="3639"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1D6BD28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效益（30分）</w:t>
            </w:r>
          </w:p>
        </w:tc>
        <w:tc>
          <w:tcPr>
            <w:tcW w:w="379" w:type="pct"/>
            <w:tcBorders>
              <w:top w:val="single" w:color="000000" w:sz="4" w:space="0"/>
              <w:left w:val="single" w:color="000000" w:sz="4" w:space="0"/>
              <w:bottom w:val="nil"/>
              <w:right w:val="single" w:color="000000" w:sz="4" w:space="0"/>
            </w:tcBorders>
            <w:vAlign w:val="center"/>
          </w:tcPr>
          <w:p w14:paraId="4C79537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社会效益（15分）</w:t>
            </w:r>
          </w:p>
        </w:tc>
        <w:tc>
          <w:tcPr>
            <w:tcW w:w="642" w:type="pct"/>
            <w:tcBorders>
              <w:top w:val="single" w:color="auto" w:sz="4" w:space="0"/>
              <w:left w:val="single" w:color="000000" w:sz="4" w:space="0"/>
              <w:bottom w:val="nil"/>
              <w:right w:val="single" w:color="000000" w:sz="4" w:space="0"/>
            </w:tcBorders>
            <w:vAlign w:val="center"/>
          </w:tcPr>
          <w:p w14:paraId="65832FA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①理论研究和新闻宣传工作成效。</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②党员干部纪律意识感知度。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③助推民生细节问题得到有效解决。</w:t>
            </w:r>
          </w:p>
          <w:p w14:paraId="74C8017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④推动</w:t>
            </w:r>
            <w:r>
              <w:rPr>
                <w:rFonts w:hint="eastAsia" w:ascii="宋体" w:hAnsi="宋体" w:eastAsia="宋体" w:cs="宋体"/>
                <w:color w:val="000000"/>
                <w:sz w:val="22"/>
                <w:szCs w:val="22"/>
                <w:lang w:eastAsia="zh-CN" w:bidi="ar"/>
              </w:rPr>
              <w:t>工作</w:t>
            </w:r>
            <w:r>
              <w:rPr>
                <w:rFonts w:hint="eastAsia" w:ascii="宋体" w:hAnsi="宋体" w:eastAsia="宋体" w:cs="宋体"/>
                <w:color w:val="000000"/>
                <w:sz w:val="22"/>
                <w:szCs w:val="22"/>
                <w:lang w:bidi="ar"/>
              </w:rPr>
              <w:t>向基层延伸。</w:t>
            </w:r>
          </w:p>
        </w:tc>
        <w:tc>
          <w:tcPr>
            <w:tcW w:w="263" w:type="pct"/>
            <w:tcBorders>
              <w:top w:val="single" w:color="auto" w:sz="4" w:space="0"/>
              <w:left w:val="single" w:color="000000" w:sz="4" w:space="0"/>
              <w:bottom w:val="nil"/>
              <w:right w:val="nil"/>
            </w:tcBorders>
            <w:vAlign w:val="center"/>
          </w:tcPr>
          <w:p w14:paraId="37EC3B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auto" w:sz="4" w:space="0"/>
              <w:left w:val="single" w:color="000000" w:sz="4" w:space="0"/>
              <w:bottom w:val="nil"/>
              <w:right w:val="nil"/>
            </w:tcBorders>
            <w:vAlign w:val="center"/>
          </w:tcPr>
          <w:p w14:paraId="7CC0A79B">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1</w:t>
            </w:r>
            <w:r>
              <w:rPr>
                <w:rFonts w:hint="eastAsia" w:ascii="宋体" w:hAnsi="宋体" w:eastAsia="宋体" w:cs="宋体"/>
                <w:color w:val="000000"/>
                <w:sz w:val="22"/>
                <w:szCs w:val="22"/>
                <w:lang w:val="en-US" w:eastAsia="zh-CN" w:bidi="ar"/>
              </w:rPr>
              <w:t>5</w:t>
            </w:r>
          </w:p>
        </w:tc>
        <w:tc>
          <w:tcPr>
            <w:tcW w:w="269" w:type="pct"/>
            <w:tcBorders>
              <w:top w:val="single" w:color="auto" w:sz="4" w:space="0"/>
              <w:left w:val="single" w:color="000000" w:sz="4" w:space="0"/>
              <w:bottom w:val="nil"/>
              <w:right w:val="nil"/>
            </w:tcBorders>
            <w:vAlign w:val="center"/>
          </w:tcPr>
          <w:p w14:paraId="05EAD2DC">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000000" w:sz="4" w:space="0"/>
              <w:bottom w:val="nil"/>
              <w:right w:val="nil"/>
            </w:tcBorders>
            <w:vAlign w:val="center"/>
          </w:tcPr>
          <w:p w14:paraId="1CA7E49E">
            <w:pPr>
              <w:jc w:val="center"/>
              <w:textAlignment w:val="center"/>
              <w:rPr>
                <w:rFonts w:hint="eastAsia" w:ascii="宋体" w:hAnsi="宋体" w:eastAsia="宋体" w:cs="宋体"/>
                <w:color w:val="000000"/>
                <w:sz w:val="22"/>
                <w:szCs w:val="22"/>
                <w:lang w:eastAsia="zh-CN"/>
              </w:rPr>
            </w:pPr>
          </w:p>
        </w:tc>
        <w:tc>
          <w:tcPr>
            <w:tcW w:w="2093" w:type="pct"/>
            <w:tcBorders>
              <w:top w:val="single" w:color="auto" w:sz="4" w:space="0"/>
              <w:left w:val="single" w:color="000000" w:sz="4" w:space="0"/>
              <w:bottom w:val="nil"/>
              <w:right w:val="single" w:color="000000" w:sz="4" w:space="0"/>
            </w:tcBorders>
            <w:vAlign w:val="center"/>
          </w:tcPr>
          <w:p w14:paraId="304E7B1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①理论研究和新闻宣传工作成效。</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②党员干部纪律意识感知度：通过匿名问卷调查，了解被巡察单位及全区党员干部对党纪党规的敬畏心、对巡察</w:t>
            </w:r>
            <w:r>
              <w:rPr>
                <w:rFonts w:hint="eastAsia" w:ascii="宋体" w:hAnsi="宋体" w:eastAsia="宋体" w:cs="宋体"/>
                <w:color w:val="000000"/>
                <w:sz w:val="22"/>
                <w:szCs w:val="22"/>
                <w:lang w:eastAsia="zh-CN" w:bidi="ar"/>
              </w:rPr>
              <w:t>震慑力。</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③助推民生细节问题得到有效解决。</w:t>
            </w:r>
          </w:p>
          <w:p w14:paraId="0C46519A">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④推动政协协商向基层延伸。</w:t>
            </w:r>
          </w:p>
          <w:p w14:paraId="78F2F218">
            <w:pPr>
              <w:textAlignment w:val="center"/>
              <w:rPr>
                <w:rFonts w:hint="eastAsia" w:ascii="宋体" w:hAnsi="宋体" w:eastAsia="宋体" w:cs="宋体"/>
                <w:color w:val="000000"/>
                <w:sz w:val="22"/>
                <w:szCs w:val="22"/>
                <w:lang w:eastAsia="zh-CN" w:bidi="ar"/>
              </w:rPr>
            </w:pPr>
          </w:p>
        </w:tc>
      </w:tr>
      <w:tr w14:paraId="5E92BD47">
        <w:tblPrEx>
          <w:tblCellMar>
            <w:top w:w="0" w:type="dxa"/>
            <w:left w:w="108" w:type="dxa"/>
            <w:bottom w:w="0" w:type="dxa"/>
            <w:right w:w="108" w:type="dxa"/>
          </w:tblCellMar>
        </w:tblPrEx>
        <w:trPr>
          <w:trHeight w:val="157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C361E43">
            <w:pPr>
              <w:jc w:val="center"/>
              <w:rPr>
                <w:rFonts w:hint="eastAsia" w:ascii="宋体" w:hAnsi="宋体" w:eastAsia="宋体" w:cs="宋体"/>
                <w:color w:val="000000"/>
                <w:sz w:val="22"/>
                <w:szCs w:val="22"/>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333CB2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相关人员满意度（15分）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50576B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①提案办理满意度。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②社会公众满意度。</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6DA7A1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000000" w:sz="4" w:space="0"/>
              <w:left w:val="single" w:color="000000" w:sz="4" w:space="0"/>
              <w:bottom w:val="single" w:color="000000" w:sz="4" w:space="0"/>
              <w:right w:val="single" w:color="000000" w:sz="4" w:space="0"/>
            </w:tcBorders>
            <w:vAlign w:val="center"/>
          </w:tcPr>
          <w:p w14:paraId="52EE483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69" w:type="pct"/>
            <w:tcBorders>
              <w:top w:val="single" w:color="000000" w:sz="4" w:space="0"/>
              <w:left w:val="single" w:color="000000" w:sz="4" w:space="0"/>
              <w:bottom w:val="single" w:color="000000" w:sz="4" w:space="0"/>
              <w:right w:val="single" w:color="000000" w:sz="4" w:space="0"/>
            </w:tcBorders>
            <w:vAlign w:val="center"/>
          </w:tcPr>
          <w:p w14:paraId="1A55284B">
            <w:pPr>
              <w:jc w:val="center"/>
              <w:textAlignment w:val="center"/>
              <w:rPr>
                <w:rFonts w:hint="eastAsia" w:ascii="宋体" w:hAnsi="宋体" w:eastAsia="宋体" w:cs="宋体"/>
                <w:color w:val="000000"/>
                <w:sz w:val="22"/>
                <w:szCs w:val="22"/>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FF79592">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6831D11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①提案办理满意度=100%。</w:t>
            </w:r>
          </w:p>
          <w:p w14:paraId="5A2F2B0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②社会公众满意度≥95%。</w:t>
            </w:r>
          </w:p>
        </w:tc>
      </w:tr>
      <w:tr w14:paraId="71CC4514">
        <w:tblPrEx>
          <w:tblCellMar>
            <w:top w:w="0" w:type="dxa"/>
            <w:left w:w="108" w:type="dxa"/>
            <w:bottom w:w="0" w:type="dxa"/>
            <w:right w:w="108" w:type="dxa"/>
          </w:tblCellMar>
        </w:tblPrEx>
        <w:trPr>
          <w:trHeight w:val="560" w:hRule="atLeast"/>
        </w:trPr>
        <w:tc>
          <w:tcPr>
            <w:tcW w:w="1293" w:type="pct"/>
            <w:gridSpan w:val="3"/>
            <w:tcBorders>
              <w:top w:val="single" w:color="000000" w:sz="4" w:space="0"/>
              <w:left w:val="single" w:color="000000" w:sz="4" w:space="0"/>
              <w:bottom w:val="single" w:color="000000" w:sz="4" w:space="0"/>
              <w:right w:val="single" w:color="000000" w:sz="4" w:space="0"/>
            </w:tcBorders>
            <w:noWrap/>
            <w:vAlign w:val="center"/>
          </w:tcPr>
          <w:p w14:paraId="3E7431C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合计</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AA7334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B661DC7">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81</w:t>
            </w:r>
          </w:p>
        </w:tc>
        <w:tc>
          <w:tcPr>
            <w:tcW w:w="269" w:type="pct"/>
            <w:tcBorders>
              <w:top w:val="single" w:color="000000" w:sz="4" w:space="0"/>
              <w:left w:val="single" w:color="000000" w:sz="4" w:space="0"/>
              <w:bottom w:val="single" w:color="000000" w:sz="4" w:space="0"/>
              <w:right w:val="single" w:color="000000" w:sz="4" w:space="0"/>
            </w:tcBorders>
            <w:vAlign w:val="center"/>
          </w:tcPr>
          <w:p w14:paraId="27913AFA">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19</w:t>
            </w:r>
          </w:p>
        </w:tc>
        <w:tc>
          <w:tcPr>
            <w:tcW w:w="820" w:type="pct"/>
            <w:tcBorders>
              <w:top w:val="single" w:color="000000" w:sz="4" w:space="0"/>
              <w:left w:val="single" w:color="000000" w:sz="4" w:space="0"/>
              <w:bottom w:val="single" w:color="000000" w:sz="4" w:space="0"/>
              <w:right w:val="single" w:color="000000" w:sz="4" w:space="0"/>
            </w:tcBorders>
            <w:vAlign w:val="center"/>
          </w:tcPr>
          <w:p w14:paraId="099060F1">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02E3A20B">
            <w:pPr>
              <w:rPr>
                <w:rFonts w:hint="eastAsia" w:ascii="宋体" w:hAnsi="宋体" w:eastAsia="宋体" w:cs="宋体"/>
                <w:color w:val="000000"/>
                <w:sz w:val="22"/>
                <w:szCs w:val="22"/>
              </w:rPr>
            </w:pPr>
          </w:p>
        </w:tc>
      </w:tr>
    </w:tbl>
    <w:p w14:paraId="58DA7E19">
      <w:pPr>
        <w:pStyle w:val="9"/>
        <w:shd w:val="clear" w:color="auto" w:fill="FFFFFF"/>
        <w:spacing w:beforeAutospacing="0" w:afterAutospacing="0" w:line="450" w:lineRule="atLeast"/>
        <w:rPr>
          <w:rFonts w:hint="eastAsia" w:ascii="仿宋" w:hAnsi="仿宋" w:eastAsia="仿宋" w:cs="仿宋"/>
          <w:color w:val="000000"/>
          <w:sz w:val="32"/>
          <w:szCs w:val="32"/>
          <w:shd w:val="clear" w:color="auto" w:fill="FFFFFF"/>
        </w:rPr>
        <w:sectPr>
          <w:pgSz w:w="16838" w:h="11906" w:orient="landscape"/>
          <w:pgMar w:top="1803" w:right="1440" w:bottom="1803" w:left="1440" w:header="851" w:footer="992" w:gutter="0"/>
          <w:cols w:space="0" w:num="1"/>
          <w:docGrid w:type="lines" w:linePitch="332" w:charSpace="0"/>
        </w:sectPr>
      </w:pPr>
    </w:p>
    <w:p w14:paraId="701397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88" w:name="_Toc18787"/>
      <w:bookmarkStart w:id="189" w:name="_Toc26985"/>
      <w:bookmarkStart w:id="190" w:name="_Toc5327"/>
      <w:bookmarkStart w:id="191" w:name="_Toc31802"/>
      <w:bookmarkStart w:id="192" w:name="_Toc8005"/>
      <w:bookmarkStart w:id="193" w:name="_Toc31438"/>
      <w:r>
        <w:rPr>
          <w:rFonts w:hint="eastAsia" w:ascii="楷体" w:hAnsi="楷体" w:eastAsia="楷体" w:cs="楷体"/>
          <w:b/>
          <w:bCs/>
          <w:sz w:val="32"/>
          <w:szCs w:val="32"/>
        </w:rPr>
        <w:t>（三）评价结果</w:t>
      </w:r>
      <w:bookmarkEnd w:id="188"/>
      <w:bookmarkEnd w:id="189"/>
      <w:bookmarkEnd w:id="190"/>
      <w:bookmarkEnd w:id="191"/>
      <w:bookmarkEnd w:id="192"/>
      <w:bookmarkEnd w:id="193"/>
    </w:p>
    <w:p w14:paraId="3A9BDC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1.绩效评价结果定级</w:t>
      </w:r>
    </w:p>
    <w:p w14:paraId="0876B3C9">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本次绩效评价结果采用综合评分定级的方法，根据项目收集相关资料、项目访谈以及相关的规定与标准，总分值为100分，评价等级</w:t>
      </w:r>
      <w:r>
        <w:rPr>
          <w:rFonts w:hint="eastAsia" w:ascii="仿宋" w:hAnsi="仿宋" w:eastAsia="仿宋" w:cs="仿宋"/>
          <w:color w:val="000000"/>
          <w:sz w:val="32"/>
          <w:szCs w:val="32"/>
          <w:shd w:val="clear" w:color="auto" w:fill="FFFFFF"/>
          <w:lang w:eastAsia="zh-CN"/>
        </w:rPr>
        <w:t>分为</w:t>
      </w:r>
      <w:r>
        <w:rPr>
          <w:rFonts w:hint="eastAsia" w:ascii="仿宋" w:hAnsi="仿宋" w:eastAsia="仿宋" w:cs="仿宋"/>
          <w:color w:val="000000"/>
          <w:sz w:val="32"/>
          <w:szCs w:val="32"/>
          <w:shd w:val="clear" w:color="auto" w:fill="FFFFFF"/>
        </w:rPr>
        <w:t>优秀、良好、中等、较差四档。评价得分高于或等于90分评价为优秀；得分在高于或等于80分小于90分评价为良好；得分高于或等于60分低于80分评价为中等；得分在60分以下评价为较差。</w:t>
      </w:r>
    </w:p>
    <w:p w14:paraId="4CDBD1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2.绩效评价结论</w:t>
      </w:r>
    </w:p>
    <w:p w14:paraId="2C06DB11">
      <w:pPr>
        <w:pStyle w:val="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部门整体支出绩效评价综合得分</w:t>
      </w:r>
      <w:r>
        <w:rPr>
          <w:rFonts w:hint="eastAsia" w:ascii="仿宋" w:hAnsi="仿宋" w:eastAsia="仿宋" w:cs="仿宋"/>
          <w:color w:val="000000"/>
          <w:sz w:val="32"/>
          <w:szCs w:val="32"/>
          <w:shd w:val="clear" w:color="auto" w:fill="FFFFFF"/>
          <w:lang w:val="en-US" w:eastAsia="zh-CN"/>
        </w:rPr>
        <w:t>81</w:t>
      </w:r>
      <w:r>
        <w:rPr>
          <w:rFonts w:hint="eastAsia" w:ascii="仿宋" w:hAnsi="仿宋" w:eastAsia="仿宋" w:cs="仿宋"/>
          <w:color w:val="000000"/>
          <w:sz w:val="32"/>
          <w:szCs w:val="32"/>
          <w:shd w:val="clear" w:color="auto" w:fill="FFFFFF"/>
        </w:rPr>
        <w:t>分，等级为“</w:t>
      </w:r>
      <w:r>
        <w:rPr>
          <w:rFonts w:hint="eastAsia" w:ascii="仿宋" w:hAnsi="仿宋" w:eastAsia="仿宋" w:cs="仿宋"/>
          <w:color w:val="000000"/>
          <w:sz w:val="32"/>
          <w:szCs w:val="32"/>
          <w:shd w:val="clear" w:color="auto" w:fill="FFFFFF"/>
          <w:lang w:eastAsia="zh-CN"/>
        </w:rPr>
        <w:t>良好</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2024年区委巡察办</w:t>
      </w:r>
      <w:r>
        <w:rPr>
          <w:rFonts w:hint="eastAsia" w:ascii="仿宋" w:hAnsi="仿宋" w:eastAsia="仿宋" w:cs="仿宋"/>
          <w:b/>
          <w:bCs/>
          <w:color w:val="000000"/>
          <w:sz w:val="32"/>
          <w:szCs w:val="32"/>
          <w:shd w:val="clear" w:color="auto" w:fill="FFFFFF"/>
        </w:rPr>
        <w:t>预算调整率</w:t>
      </w:r>
      <w:r>
        <w:rPr>
          <w:rFonts w:hint="eastAsia" w:ascii="仿宋" w:hAnsi="仿宋" w:eastAsia="仿宋" w:cs="仿宋"/>
          <w:b/>
          <w:bCs/>
          <w:color w:val="000000"/>
          <w:sz w:val="32"/>
          <w:szCs w:val="32"/>
          <w:shd w:val="clear" w:color="auto" w:fill="FFFFFF"/>
          <w:lang w:val="en-US" w:eastAsia="zh-CN"/>
        </w:rPr>
        <w:t>-5.36%,预算执行率</w:t>
      </w:r>
      <w:r>
        <w:rPr>
          <w:rFonts w:hint="eastAsia" w:ascii="仿宋" w:hAnsi="仿宋" w:eastAsia="仿宋" w:cs="仿宋"/>
          <w:b/>
          <w:bCs/>
          <w:sz w:val="32"/>
          <w:szCs w:val="32"/>
        </w:rPr>
        <w:t>97.</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6%</w:t>
      </w:r>
      <w:r>
        <w:rPr>
          <w:rFonts w:hint="eastAsia" w:ascii="仿宋" w:hAnsi="仿宋" w:eastAsia="仿宋" w:cs="仿宋"/>
          <w:b/>
          <w:bCs/>
          <w:color w:val="000000"/>
          <w:sz w:val="32"/>
          <w:szCs w:val="32"/>
          <w:shd w:val="clear" w:color="auto" w:fill="FFFFFF"/>
          <w:lang w:val="en-US" w:eastAsia="zh-CN"/>
        </w:rPr>
        <w:t>,人员控制率</w:t>
      </w:r>
      <w:r>
        <w:rPr>
          <w:rFonts w:hint="eastAsia" w:ascii="仿宋" w:hAnsi="仿宋" w:eastAsia="仿宋" w:cs="仿宋"/>
          <w:b/>
          <w:bCs/>
          <w:sz w:val="32"/>
          <w:szCs w:val="32"/>
          <w:lang w:val="en-US" w:eastAsia="zh-CN"/>
        </w:rPr>
        <w:t>128.57</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r>
        <w:rPr>
          <w:rFonts w:hint="eastAsia" w:ascii="仿宋" w:hAnsi="仿宋" w:eastAsia="仿宋" w:cs="仿宋"/>
          <w:color w:val="000000"/>
          <w:sz w:val="32"/>
          <w:szCs w:val="32"/>
          <w:shd w:val="clear" w:color="auto" w:fill="FFFFFF"/>
        </w:rPr>
        <w:t>在决策、过程、产出和效益四个维度上整体表现良好，资金使用和项目管理取得了预期成效，尤其是在产出成果和社会效益方面实现了高标准目标。然而，在预算管理、制度执行等过程环节仍存在一些规范性问题，需在后续工作中予以重点关注和改进。</w:t>
      </w:r>
    </w:p>
    <w:p w14:paraId="11B156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bookmarkStart w:id="194" w:name="_Toc31727"/>
      <w:bookmarkStart w:id="195" w:name="_Toc10356"/>
      <w:bookmarkStart w:id="196" w:name="_Toc907"/>
      <w:bookmarkStart w:id="197" w:name="_Toc18970"/>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bookmarkEnd w:id="194"/>
      <w:bookmarkEnd w:id="195"/>
      <w:bookmarkEnd w:id="196"/>
      <w:bookmarkEnd w:id="197"/>
    </w:p>
    <w:p w14:paraId="3A5E37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98" w:name="_Toc19237"/>
      <w:bookmarkStart w:id="199" w:name="_Toc5624"/>
      <w:bookmarkStart w:id="200" w:name="_Toc26880"/>
      <w:bookmarkStart w:id="201" w:name="_Toc3539"/>
      <w:r>
        <w:rPr>
          <w:rFonts w:hint="eastAsia" w:ascii="楷体" w:hAnsi="楷体" w:eastAsia="楷体" w:cs="楷体"/>
          <w:b/>
          <w:bCs/>
          <w:sz w:val="32"/>
          <w:szCs w:val="32"/>
        </w:rPr>
        <w:t>（一）</w:t>
      </w:r>
      <w:bookmarkEnd w:id="198"/>
      <w:bookmarkEnd w:id="199"/>
      <w:bookmarkStart w:id="202" w:name="_Toc19103"/>
      <w:bookmarkStart w:id="203" w:name="_Toc5697"/>
      <w:bookmarkStart w:id="204" w:name="_Toc13504"/>
      <w:bookmarkStart w:id="205" w:name="_Toc22325"/>
      <w:r>
        <w:rPr>
          <w:rFonts w:hint="eastAsia" w:ascii="楷体" w:hAnsi="楷体" w:eastAsia="楷体" w:cs="楷体"/>
          <w:b/>
          <w:bCs/>
          <w:sz w:val="32"/>
          <w:szCs w:val="32"/>
        </w:rPr>
        <w:t>预算配置与执行方面存在的问题及建议</w:t>
      </w:r>
      <w:bookmarkEnd w:id="200"/>
    </w:p>
    <w:bookmarkEnd w:id="201"/>
    <w:p w14:paraId="1AC5C32F">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1.未提供</w:t>
      </w:r>
      <w:r>
        <w:rPr>
          <w:rFonts w:hint="eastAsia" w:ascii="仿宋" w:hAnsi="仿宋" w:eastAsia="仿宋" w:cs="仿宋"/>
          <w:b/>
          <w:bCs/>
          <w:sz w:val="32"/>
          <w:szCs w:val="32"/>
        </w:rPr>
        <w:t>绩效目标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一是</w:t>
      </w:r>
      <w:r>
        <w:rPr>
          <w:rFonts w:hint="eastAsia" w:ascii="仿宋" w:hAnsi="仿宋" w:eastAsia="仿宋" w:cs="仿宋"/>
          <w:sz w:val="32"/>
          <w:szCs w:val="32"/>
          <w:lang w:eastAsia="zh-CN"/>
        </w:rPr>
        <w:t>区委巡察办</w:t>
      </w:r>
      <w:r>
        <w:rPr>
          <w:rFonts w:hint="eastAsia" w:ascii="仿宋" w:hAnsi="仿宋" w:eastAsia="仿宋" w:cs="仿宋"/>
          <w:sz w:val="32"/>
          <w:szCs w:val="32"/>
        </w:rPr>
        <w:t>未提供整体绩效目标、整体绩效自评基础数据表</w:t>
      </w:r>
      <w:r>
        <w:rPr>
          <w:rFonts w:hint="eastAsia" w:ascii="仿宋" w:hAnsi="仿宋" w:eastAsia="仿宋" w:cs="仿宋"/>
          <w:sz w:val="32"/>
          <w:szCs w:val="32"/>
          <w:lang w:eastAsia="zh-CN"/>
        </w:rPr>
        <w:t>；二是</w:t>
      </w:r>
      <w:r>
        <w:rPr>
          <w:rFonts w:hint="eastAsia" w:ascii="仿宋" w:hAnsi="仿宋" w:eastAsia="仿宋" w:cs="仿宋"/>
          <w:sz w:val="32"/>
          <w:szCs w:val="32"/>
        </w:rPr>
        <w:t>整体绩效自评报告未能完整、清晰地设置部门预计产出的数量、时效和成本等方面的绩效指标。</w:t>
      </w:r>
    </w:p>
    <w:p w14:paraId="218696F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sz w:val="32"/>
          <w:szCs w:val="32"/>
          <w:lang w:eastAsia="zh-CN"/>
        </w:rPr>
        <w:t>违反了《中共中央 国务院关于全面实施预算绩效管理的意见》第七条“强化绩效目标管理。各地区各部门编制预算时要贯彻落实党中央、国务院各项决策部署，分解细化各项工作要求，结合本地区本部门实际情况，全面设置部门和单位整体绩效目标、政策及项目绩效目标。绩效目标不仅要包括产出、成本，还要包括经济效益、社会效益、生态效益、可持续影响和服务对象满意度等绩效指标。各级财政部门要将绩效目标设置作为预算安排的前置条件，加强绩效目标审核，将绩效目标与预算同步批复下达”</w:t>
      </w:r>
      <w:r>
        <w:rPr>
          <w:rFonts w:hint="eastAsia" w:ascii="仿宋" w:hAnsi="仿宋" w:eastAsia="仿宋" w:cs="仿宋"/>
          <w:b w:val="0"/>
          <w:bCs w:val="0"/>
          <w:sz w:val="32"/>
          <w:szCs w:val="32"/>
          <w:lang w:eastAsia="zh-CN"/>
        </w:rPr>
        <w:t>的规定</w:t>
      </w:r>
      <w:r>
        <w:rPr>
          <w:rFonts w:hint="eastAsia" w:ascii="仿宋" w:hAnsi="仿宋" w:eastAsia="仿宋" w:cs="仿宋"/>
          <w:sz w:val="32"/>
          <w:szCs w:val="32"/>
          <w:lang w:eastAsia="zh-CN"/>
        </w:rPr>
        <w:t>。</w:t>
      </w:r>
    </w:p>
    <w:p w14:paraId="6DA3C634">
      <w:pPr>
        <w:pStyle w:val="3"/>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bidi="ar"/>
        </w:rPr>
        <w:t>加强绩效管理理念，提高绩效管理水平。</w:t>
      </w:r>
      <w:r>
        <w:rPr>
          <w:rFonts w:hint="eastAsia" w:ascii="仿宋" w:hAnsi="仿宋" w:eastAsia="仿宋" w:cs="仿宋"/>
          <w:b w:val="0"/>
          <w:bCs w:val="0"/>
          <w:sz w:val="32"/>
          <w:szCs w:val="32"/>
        </w:rPr>
        <w:t>根据预算绩效管理的有关文件，结合部门职能职责、</w:t>
      </w:r>
      <w:r>
        <w:rPr>
          <w:rFonts w:hint="eastAsia" w:ascii="仿宋" w:hAnsi="仿宋" w:eastAsia="仿宋" w:cs="仿宋"/>
          <w:sz w:val="32"/>
          <w:szCs w:val="32"/>
        </w:rPr>
        <w:t>年度重点</w:t>
      </w:r>
      <w:r>
        <w:rPr>
          <w:rFonts w:hint="eastAsia" w:ascii="仿宋" w:hAnsi="仿宋" w:eastAsia="仿宋" w:cs="仿宋"/>
          <w:sz w:val="32"/>
          <w:szCs w:val="32"/>
          <w:lang w:eastAsia="zh-CN"/>
        </w:rPr>
        <w:t>工作</w:t>
      </w:r>
      <w:r>
        <w:rPr>
          <w:rFonts w:hint="eastAsia" w:ascii="仿宋" w:hAnsi="仿宋" w:eastAsia="仿宋" w:cs="仿宋"/>
          <w:sz w:val="32"/>
          <w:szCs w:val="32"/>
        </w:rPr>
        <w:t>科学合理制定部门整体绩效目标；将部门整体的绩效目标细化分解为具体的工作任务，从数量、质量、成本和时效等方面通过设定清晰、可衡量的绩效指标予以体现。此外还需建立全过程预算绩效管理链条，将绩效理念和方法深度</w:t>
      </w:r>
      <w:r>
        <w:rPr>
          <w:rFonts w:hint="eastAsia" w:ascii="仿宋" w:hAnsi="仿宋" w:eastAsia="仿宋" w:cs="仿宋"/>
          <w:sz w:val="32"/>
          <w:szCs w:val="32"/>
          <w:lang w:eastAsia="zh-CN"/>
        </w:rPr>
        <w:t>融入</w:t>
      </w:r>
      <w:r>
        <w:rPr>
          <w:rFonts w:hint="eastAsia" w:ascii="仿宋" w:hAnsi="仿宋" w:eastAsia="仿宋" w:cs="仿宋"/>
          <w:sz w:val="32"/>
          <w:szCs w:val="32"/>
        </w:rPr>
        <w:t>预算编制、执行、监督全过程，构建事前、事中、事后绩效管理的闭环系统。</w:t>
      </w:r>
    </w:p>
    <w:bookmarkEnd w:id="202"/>
    <w:bookmarkEnd w:id="203"/>
    <w:bookmarkEnd w:id="204"/>
    <w:bookmarkEnd w:id="205"/>
    <w:p w14:paraId="3A1E8DC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bookmarkStart w:id="206" w:name="_Toc26064"/>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未提供以下管理制度</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区委巡察办</w:t>
      </w:r>
      <w:r>
        <w:rPr>
          <w:rFonts w:hint="eastAsia" w:ascii="仿宋" w:hAnsi="仿宋" w:eastAsia="仿宋" w:cs="仿宋"/>
          <w:sz w:val="32"/>
          <w:szCs w:val="32"/>
        </w:rPr>
        <w:t>未提供预算管理制度，内部控制制度，政府采购管理制度，国有资产管理制度，合同管理制度，专项资金管理办法，绩效管理制度，信息化管理制度，决算与财务报告制度，监督与审计制度等。</w:t>
      </w:r>
    </w:p>
    <w:p w14:paraId="04AF1D7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违反了《中华人民共和国会计法》第二十五条“各单位应当建立、健全本单位内部会计监督制度，并将其纳入本单位内部控制制度”的规定。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行政事业单位内部控制规范（试行）》第七条“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3</w:t>
      </w:r>
      <w:r>
        <w:rPr>
          <w:rFonts w:hint="eastAsia" w:ascii="仿宋" w:hAnsi="仿宋" w:eastAsia="仿宋" w:cs="仿宋"/>
          <w:b w:val="0"/>
          <w:bCs w:val="0"/>
          <w:sz w:val="32"/>
          <w:szCs w:val="32"/>
          <w:lang w:eastAsia="zh-CN"/>
        </w:rPr>
        <w:t>：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p>
    <w:p w14:paraId="0DC15B7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rPr>
        <w:t>完善以下关键制度，确保预算编制、执行、监督和绩效管理的全面规范。</w:t>
      </w:r>
      <w:r>
        <w:rPr>
          <w:rFonts w:hint="eastAsia" w:ascii="仿宋" w:hAnsi="仿宋" w:eastAsia="仿宋" w:cs="仿宋"/>
          <w:sz w:val="32"/>
          <w:szCs w:val="32"/>
        </w:rPr>
        <w:t>补充预算管理制度，内部控制制度，政府采购管理制度，国有资产管理制度，合同管理制度，专项资金管理办法，绩效管理制度，信息化管理制度，决算与财务报告制度，监督与审计制度，监督与审计制度等。</w:t>
      </w:r>
    </w:p>
    <w:p w14:paraId="57B96E4A">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3.存在基本支出和项目支出之间的挤占情况</w:t>
      </w:r>
      <w:r>
        <w:rPr>
          <w:rFonts w:hint="eastAsia" w:ascii="仿宋" w:hAnsi="仿宋" w:eastAsia="仿宋" w:cs="仿宋"/>
          <w:b w:val="0"/>
          <w:bCs w:val="0"/>
          <w:sz w:val="32"/>
          <w:szCs w:val="32"/>
          <w:lang w:val="en-US" w:eastAsia="zh-CN"/>
        </w:rPr>
        <w:t>：如11月1号凭证占用区委巡察办四楼办公室维修改造费支付党建活动费、11月8号凭证占用区委巡察办四楼办公室维修改造费支付第七轮巡察第三组补助。4月5号凭证占用项目支出支付食堂餐费（1-2月）、6月3号凭证占用项目支出支付区委第六轮巡察第一组巡察补助、12月3号凭证占用项目支出支付10-12月份食堂伙食费、12月5号凭证占用项目支出支付巡察办三、四季度办公耗材开支等。</w:t>
      </w:r>
    </w:p>
    <w:p w14:paraId="7D4D643C">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eastAsia="zh-CN"/>
        </w:rPr>
        <w:t>相关政策2：</w:t>
      </w:r>
      <w:r>
        <w:rPr>
          <w:rFonts w:hint="eastAsia" w:ascii="仿宋" w:hAnsi="仿宋" w:eastAsia="仿宋" w:cs="仿宋"/>
          <w:b w:val="0"/>
          <w:bCs w:val="0"/>
          <w:sz w:val="32"/>
          <w:szCs w:val="32"/>
          <w:lang w:eastAsia="zh-CN"/>
        </w:rPr>
        <w:t>上述违反了《预算法实施条例》进一步细化了预算执行的要求，强调要严格按预算用途使用资金。</w:t>
      </w:r>
      <w:r>
        <w:rPr>
          <w:rFonts w:hint="eastAsia" w:ascii="仿宋" w:hAnsi="仿宋" w:eastAsia="仿宋" w:cs="仿宋"/>
          <w:b/>
          <w:bCs/>
          <w:sz w:val="32"/>
          <w:szCs w:val="32"/>
          <w:lang w:eastAsia="zh-CN"/>
        </w:rPr>
        <w:t>相关政策3：</w:t>
      </w:r>
      <w:r>
        <w:rPr>
          <w:rFonts w:hint="eastAsia" w:ascii="仿宋" w:hAnsi="仿宋" w:eastAsia="仿宋" w:cs="仿宋"/>
          <w:b w:val="0"/>
          <w:bCs w:val="0"/>
          <w:sz w:val="32"/>
          <w:szCs w:val="32"/>
          <w:lang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eastAsia="zh-CN"/>
        </w:rPr>
        <w:t>原因分析如下：一是基本支出保障不足。</w:t>
      </w:r>
      <w:r>
        <w:rPr>
          <w:rFonts w:hint="eastAsia" w:ascii="仿宋" w:hAnsi="仿宋" w:eastAsia="仿宋" w:cs="仿宋"/>
          <w:b w:val="0"/>
          <w:bCs w:val="0"/>
          <w:sz w:val="32"/>
          <w:szCs w:val="32"/>
          <w:lang w:eastAsia="zh-CN"/>
        </w:rPr>
        <w:t>最常见的根源。编制内人员经费和公用经费定额标准偏低，无法覆盖实际运行成本，“钱不够花”。</w:t>
      </w:r>
      <w:r>
        <w:rPr>
          <w:rFonts w:hint="eastAsia" w:ascii="仿宋" w:hAnsi="仿宋" w:eastAsia="仿宋" w:cs="仿宋"/>
          <w:b/>
          <w:bCs/>
          <w:sz w:val="32"/>
          <w:szCs w:val="32"/>
          <w:lang w:eastAsia="zh-CN"/>
        </w:rPr>
        <w:t>二是预算编制不科学。</w:t>
      </w:r>
      <w:r>
        <w:rPr>
          <w:rFonts w:hint="eastAsia" w:ascii="仿宋" w:hAnsi="仿宋" w:eastAsia="仿宋" w:cs="仿宋"/>
          <w:b w:val="0"/>
          <w:bCs w:val="0"/>
          <w:sz w:val="32"/>
          <w:szCs w:val="32"/>
          <w:lang w:eastAsia="zh-CN"/>
        </w:rPr>
        <w:t>项目支出预算相比基本支出更容易获批，且预算额度可能更宽松。</w:t>
      </w:r>
      <w:r>
        <w:rPr>
          <w:rFonts w:hint="eastAsia" w:ascii="仿宋" w:hAnsi="仿宋" w:eastAsia="仿宋" w:cs="仿宋"/>
          <w:b/>
          <w:bCs/>
          <w:sz w:val="32"/>
          <w:szCs w:val="32"/>
          <w:lang w:eastAsia="zh-CN"/>
        </w:rPr>
        <w:t>三是内部控制薄弱。</w:t>
      </w:r>
      <w:r>
        <w:rPr>
          <w:rFonts w:hint="eastAsia" w:ascii="仿宋" w:hAnsi="仿宋" w:eastAsia="仿宋" w:cs="仿宋"/>
          <w:b w:val="0"/>
          <w:bCs w:val="0"/>
          <w:sz w:val="32"/>
          <w:szCs w:val="32"/>
          <w:lang w:eastAsia="zh-CN"/>
        </w:rPr>
        <w:t>单位内部财务管理制度不健全，审批流程形同虚设，财务人员监督乏力。</w:t>
      </w:r>
    </w:p>
    <w:p w14:paraId="56E597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解决基本支出挤占项目支出现象需要顶层设计（财政保障）、过程监管（技术+人工）和单位自律（内控+观念）三管齐下，从“堵后门”和“开前门”两个方向入手，既要严厉禁止，也要疏导根源，从根本上遏制这一现象，确保财政资金的安全、规范和有效使用。</w:t>
      </w:r>
      <w:r>
        <w:rPr>
          <w:rFonts w:hint="eastAsia" w:ascii="仿宋" w:hAnsi="仿宋" w:eastAsia="仿宋" w:cs="仿宋"/>
          <w:b/>
          <w:bCs/>
          <w:sz w:val="32"/>
          <w:szCs w:val="32"/>
          <w:lang w:eastAsia="zh-CN"/>
        </w:rPr>
        <w:t>一是强化预算编制与审核，</w:t>
      </w:r>
      <w:r>
        <w:rPr>
          <w:rFonts w:hint="eastAsia" w:ascii="仿宋" w:hAnsi="仿宋" w:eastAsia="仿宋" w:cs="仿宋"/>
          <w:b w:val="0"/>
          <w:bCs w:val="0"/>
          <w:sz w:val="32"/>
          <w:szCs w:val="32"/>
          <w:lang w:eastAsia="zh-CN"/>
        </w:rPr>
        <w:t>从源头杜绝“可能性”。A科学核定基本支出。建立动态调整机制，使人员经费和公用经费定额标准更加贴合实际，确保机构正常运转的合理需求。B严格项目库管理。推行“项目入库、预算编细、滚动管理”。在预算编制阶段，组织专家对项目的必要性、可行性、预算合理性进行严格评审，剔除项目中隐含的“人员费”、“运转费”等不属于项目开支范围的内容。C推广“零基预算”理念。打破“基数+增长”的预算模式，每年根据实际需求和绩效目标重新审核所有支出，避免不合理支出的固化。</w:t>
      </w:r>
      <w:r>
        <w:rPr>
          <w:rFonts w:hint="eastAsia" w:ascii="仿宋" w:hAnsi="仿宋" w:eastAsia="仿宋" w:cs="仿宋"/>
          <w:b/>
          <w:bCs/>
          <w:sz w:val="32"/>
          <w:szCs w:val="32"/>
          <w:lang w:eastAsia="zh-CN"/>
        </w:rPr>
        <w:t>二是加强执行监控与预警，</w:t>
      </w:r>
      <w:r>
        <w:rPr>
          <w:rFonts w:hint="eastAsia" w:ascii="仿宋" w:hAnsi="仿宋" w:eastAsia="仿宋" w:cs="仿宋"/>
          <w:b w:val="0"/>
          <w:bCs w:val="0"/>
          <w:sz w:val="32"/>
          <w:szCs w:val="32"/>
          <w:lang w:eastAsia="zh-CN"/>
        </w:rPr>
        <w:t>从事中“早发现”。A利用技术手段。在预算管理一体化系统中设置预警规则。当单位账务中出现“项目支出-人员经费”等敏感科目时，系统自动报警并推送至财政和主管部门。B实施重点监控。对曾有违规记录或风险较高的单位、以及金额重大的项目进行重点监控和动态跟踪。</w:t>
      </w:r>
      <w:r>
        <w:rPr>
          <w:rFonts w:hint="eastAsia" w:ascii="仿宋" w:hAnsi="仿宋" w:eastAsia="仿宋" w:cs="仿宋"/>
          <w:b/>
          <w:bCs/>
          <w:sz w:val="32"/>
          <w:szCs w:val="32"/>
          <w:lang w:eastAsia="zh-CN"/>
        </w:rPr>
        <w:t>三是树立正确的预算绩效观念。</w:t>
      </w:r>
      <w:r>
        <w:rPr>
          <w:rFonts w:hint="eastAsia" w:ascii="仿宋" w:hAnsi="仿宋" w:eastAsia="仿宋" w:cs="仿宋"/>
          <w:b w:val="0"/>
          <w:bCs w:val="0"/>
          <w:sz w:val="32"/>
          <w:szCs w:val="32"/>
          <w:lang w:eastAsia="zh-CN"/>
        </w:rPr>
        <w:t>单位领导应带头学习《预算法》等法律法规，牢固树立“预算是法、专款专用”的意识，明确挤占项目资金是“红线”、“高压线”。</w:t>
      </w:r>
      <w:r>
        <w:rPr>
          <w:rFonts w:hint="eastAsia" w:ascii="仿宋" w:hAnsi="仿宋" w:eastAsia="仿宋" w:cs="仿宋"/>
          <w:b/>
          <w:bCs/>
          <w:sz w:val="32"/>
          <w:szCs w:val="32"/>
          <w:lang w:eastAsia="zh-CN"/>
        </w:rPr>
        <w:t>四是健全内部控制系统。</w:t>
      </w:r>
      <w:r>
        <w:rPr>
          <w:rFonts w:hint="eastAsia" w:ascii="仿宋" w:hAnsi="仿宋" w:eastAsia="仿宋" w:cs="仿宋"/>
          <w:b w:val="0"/>
          <w:bCs w:val="0"/>
          <w:sz w:val="32"/>
          <w:szCs w:val="32"/>
          <w:lang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eastAsia="zh-CN"/>
        </w:rPr>
        <w:t>五是提高预算编制科学性。</w:t>
      </w:r>
      <w:r>
        <w:rPr>
          <w:rFonts w:hint="eastAsia" w:ascii="仿宋" w:hAnsi="仿宋" w:eastAsia="仿宋" w:cs="仿宋"/>
          <w:b w:val="0"/>
          <w:bCs w:val="0"/>
          <w:sz w:val="32"/>
          <w:szCs w:val="32"/>
          <w:lang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eastAsia="zh-CN"/>
        </w:rPr>
        <w:t>六是主动报告与沟通。</w:t>
      </w:r>
      <w:r>
        <w:rPr>
          <w:rFonts w:hint="eastAsia" w:ascii="仿宋" w:hAnsi="仿宋" w:eastAsia="仿宋" w:cs="仿宋"/>
          <w:b w:val="0"/>
          <w:bCs w:val="0"/>
          <w:sz w:val="32"/>
          <w:szCs w:val="32"/>
          <w:lang w:eastAsia="zh-CN"/>
        </w:rPr>
        <w:t>如果确实因政策性因素等导致基本支出出现巨大缺口，应通过正式渠道向财政和主管部门申请调整预算或追加经费。</w:t>
      </w:r>
      <w:bookmarkEnd w:id="206"/>
    </w:p>
    <w:p w14:paraId="5585E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color w:val="0000FF"/>
          <w:sz w:val="32"/>
          <w:szCs w:val="32"/>
          <w:lang w:val="en-US" w:eastAsia="zh-CN"/>
        </w:rPr>
      </w:pPr>
      <w:bookmarkStart w:id="207" w:name="_Toc9411"/>
      <w:r>
        <w:rPr>
          <w:rFonts w:hint="eastAsia" w:ascii="楷体" w:hAnsi="楷体" w:eastAsia="楷体" w:cs="楷体"/>
          <w:b/>
          <w:bCs/>
          <w:sz w:val="32"/>
          <w:szCs w:val="32"/>
          <w:lang w:val="en-US" w:eastAsia="zh-CN"/>
        </w:rPr>
        <w:t>（二）管理程序方面存在的问题及建议</w:t>
      </w:r>
      <w:bookmarkEnd w:id="207"/>
    </w:p>
    <w:p w14:paraId="4ACDD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lang w:eastAsia="zh-CN"/>
        </w:rPr>
        <w:t>单据审核不严谨：</w:t>
      </w:r>
      <w:r>
        <w:rPr>
          <w:rFonts w:hint="eastAsia" w:ascii="仿宋" w:hAnsi="仿宋" w:eastAsia="仿宋" w:cs="仿宋"/>
          <w:b w:val="0"/>
          <w:bCs w:val="0"/>
          <w:sz w:val="32"/>
          <w:szCs w:val="32"/>
          <w:lang w:eastAsia="zh-CN"/>
        </w:rPr>
        <w:t>一是部分重大事项未进行会议集体决策，部分重大支出无会议纪要。</w:t>
      </w:r>
      <w:r>
        <w:rPr>
          <w:rFonts w:hint="eastAsia" w:ascii="仿宋" w:hAnsi="仿宋" w:eastAsia="仿宋" w:cs="仿宋"/>
          <w:sz w:val="32"/>
          <w:szCs w:val="32"/>
          <w:lang w:eastAsia="zh-CN"/>
        </w:rPr>
        <w:t>如</w:t>
      </w:r>
      <w:r>
        <w:rPr>
          <w:rFonts w:hint="eastAsia" w:ascii="仿宋" w:hAnsi="仿宋" w:eastAsia="仿宋" w:cs="仿宋"/>
          <w:sz w:val="32"/>
          <w:szCs w:val="32"/>
        </w:rPr>
        <w:t>6月3号—4号凭证，区委第六轮巡察第一组巡察补助56,210.00元。11月8号—11号凭证，第七轮巡察1、2、3、4组补助101,035.00元等无会议</w:t>
      </w:r>
      <w:r>
        <w:rPr>
          <w:rFonts w:hint="eastAsia" w:ascii="仿宋" w:hAnsi="仿宋" w:eastAsia="仿宋" w:cs="仿宋"/>
          <w:sz w:val="32"/>
          <w:szCs w:val="32"/>
          <w:lang w:eastAsia="zh-CN"/>
        </w:rPr>
        <w:t>审议</w:t>
      </w:r>
      <w:r>
        <w:rPr>
          <w:rFonts w:hint="eastAsia" w:ascii="仿宋" w:hAnsi="仿宋" w:eastAsia="仿宋" w:cs="仿宋"/>
          <w:sz w:val="32"/>
          <w:szCs w:val="32"/>
        </w:rPr>
        <w:t>纪要。</w:t>
      </w:r>
      <w:r>
        <w:rPr>
          <w:rFonts w:hint="eastAsia" w:ascii="仿宋" w:hAnsi="仿宋" w:eastAsia="仿宋" w:cs="仿宋"/>
          <w:b w:val="0"/>
          <w:bCs w:val="0"/>
          <w:sz w:val="32"/>
          <w:szCs w:val="32"/>
          <w:lang w:eastAsia="zh-CN"/>
        </w:rPr>
        <w:t>二是原始凭证审核不严谨。</w:t>
      </w:r>
      <w:r>
        <w:rPr>
          <w:rFonts w:hint="eastAsia" w:ascii="仿宋" w:hAnsi="仿宋" w:eastAsia="仿宋" w:cs="仿宋"/>
          <w:sz w:val="32"/>
          <w:szCs w:val="32"/>
          <w:lang w:val="en-US" w:eastAsia="zh-CN"/>
        </w:rPr>
        <w:t>9月2号凭证支出加班餐费299.2元，无经办人、证明人签字；发票开具日期是3月1日，已超过财务管理制度要求的报销间隔，而报销事由是8月26日加班餐费，报销凭证附件的时间存在矛盾。三</w:t>
      </w:r>
      <w:r>
        <w:rPr>
          <w:rFonts w:hint="eastAsia" w:ascii="仿宋" w:hAnsi="仿宋" w:eastAsia="仿宋" w:cs="仿宋"/>
          <w:b w:val="0"/>
          <w:bCs w:val="0"/>
          <w:sz w:val="32"/>
          <w:szCs w:val="32"/>
          <w:lang w:eastAsia="zh-CN"/>
        </w:rPr>
        <w:t>是超范围发放福利补助。如</w:t>
      </w:r>
      <w:r>
        <w:rPr>
          <w:rFonts w:hint="eastAsia" w:ascii="仿宋" w:hAnsi="仿宋" w:eastAsia="仿宋" w:cs="仿宋"/>
          <w:b w:val="0"/>
          <w:bCs w:val="0"/>
          <w:sz w:val="32"/>
          <w:szCs w:val="32"/>
          <w:lang w:val="en-US" w:eastAsia="zh-CN"/>
        </w:rPr>
        <w:t>11月8号凭证：《第七轮第四组夜餐补助公杂费》中肖婷婷、杨智、刘妍君三人未包含在《五届区委第七轮巡察工作分配安排表》中，经询问，肖婷婷为区委巡察办后期补充加入，杨智和刘妍君为司法系统专项检查并入。未提供相关人员加入的审批证明文件。</w:t>
      </w:r>
    </w:p>
    <w:p w14:paraId="795F28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违反了《区委巡察办财务管理制度》“</w:t>
      </w:r>
      <w:r>
        <w:rPr>
          <w:rFonts w:hint="eastAsia" w:ascii="仿宋" w:hAnsi="仿宋" w:eastAsia="仿宋" w:cs="仿宋"/>
          <w:sz w:val="32"/>
          <w:szCs w:val="32"/>
        </w:rPr>
        <w:t>10000元以上（含30000元）的经费开支，应经区委巡察办领导班子会议审议后，由单位主要负责人签批同意予以列支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原则上财务报账应在经费开支结束三个月内予以申报完毕”及“基本流程,报账人按要求粘贴原始发票及附件—经手人、证明人在发票上签名认可—会计审核票据—根据经费开支额度逐级申报审批—出纳报账。”的规定。</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eastAsia="zh-CN"/>
        </w:rPr>
        <w:t>违反了《中华人民共和国会计法》第十四条“会计凭证包括原始凭证和记账凭证。办理本法第十条所列的经济业务事项，必须填制或者取得原始凭证并及时送交会计机构。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的规定。</w:t>
      </w:r>
    </w:p>
    <w:p w14:paraId="432942FD">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eastAsia="zh-CN"/>
        </w:rPr>
        <w:t>一是会议纪要应作为支付申请的必要附件。规范会议记录纪要，所有涉及经济决策的会议，必须形成规范、完整的会议记录和正式纪要。纪要应清晰载明讨论过程、决策意见和最终结论，并由全体参会人员签字确认。二是实行财务审核“一票否决制”，赋予财务人员明确的审核权，对票据不合规、审批不完整、事由不清晰、附件不齐全的单据，有权予以退回，不予办理支付。加强财务人员培训：定期对财务人员和业务经办人员进行培训，重点讲解常见票据问题、内控要求和报销流程，提升全员的财务合规意识。三是建立“名单制”管理和动态审批机制，所有涉及个人补助的发放，必须以经过审批的正式人员名单（如巡察工作安排表）为唯一依据。对于执行过程中因工作需要临时增加或调整的人员，必须履行正式的报批手续。由用人部门提出申请，说明理由，经主管领导审批同意后，将批复文件作为补助发放的附件。</w:t>
      </w:r>
    </w:p>
    <w:p w14:paraId="73A8FD0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eastAsia="zh-CN"/>
        </w:rPr>
        <w:t>强化发放前的复核，在发放补助前，应由人事部门或办公室对发放名单与审批名单进行最终复核，确保“人、岗、补”三者一致。</w:t>
      </w:r>
    </w:p>
    <w:p w14:paraId="4F25BD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不相容职责未分离</w:t>
      </w:r>
      <w:r>
        <w:rPr>
          <w:rFonts w:hint="eastAsia" w:ascii="仿宋" w:hAnsi="仿宋" w:eastAsia="仿宋" w:cs="仿宋"/>
          <w:b/>
          <w:bCs/>
          <w:sz w:val="32"/>
          <w:szCs w:val="32"/>
          <w:lang w:eastAsia="zh-CN"/>
        </w:rPr>
        <w:t>。</w:t>
      </w:r>
      <w:r>
        <w:rPr>
          <w:rFonts w:hint="eastAsia" w:ascii="仿宋" w:hAnsi="仿宋" w:eastAsia="仿宋" w:cs="仿宋"/>
          <w:sz w:val="32"/>
          <w:szCs w:val="32"/>
        </w:rPr>
        <w:t>如</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号凭证</w:t>
      </w:r>
      <w:r>
        <w:rPr>
          <w:rFonts w:hint="eastAsia" w:ascii="仿宋" w:hAnsi="仿宋" w:eastAsia="仿宋" w:cs="仿宋"/>
          <w:sz w:val="32"/>
          <w:szCs w:val="32"/>
          <w:lang w:eastAsia="zh-CN"/>
        </w:rPr>
        <w:t>加班餐费</w:t>
      </w:r>
      <w:r>
        <w:rPr>
          <w:rFonts w:hint="eastAsia" w:ascii="仿宋" w:hAnsi="仿宋" w:eastAsia="仿宋" w:cs="仿宋"/>
          <w:sz w:val="32"/>
          <w:szCs w:val="32"/>
          <w:lang w:val="en-US" w:eastAsia="zh-CN"/>
        </w:rPr>
        <w:t>120元的</w:t>
      </w:r>
      <w:r>
        <w:rPr>
          <w:rFonts w:hint="eastAsia" w:ascii="仿宋" w:hAnsi="仿宋" w:eastAsia="仿宋" w:cs="仿宋"/>
          <w:sz w:val="32"/>
          <w:szCs w:val="32"/>
          <w:lang w:eastAsia="zh-CN"/>
        </w:rPr>
        <w:t>领款</w:t>
      </w:r>
      <w:r>
        <w:rPr>
          <w:rFonts w:hint="eastAsia" w:ascii="仿宋" w:hAnsi="仿宋" w:eastAsia="仿宋" w:cs="仿宋"/>
          <w:sz w:val="32"/>
          <w:szCs w:val="32"/>
        </w:rPr>
        <w:t>人</w:t>
      </w:r>
      <w:r>
        <w:rPr>
          <w:rFonts w:hint="eastAsia" w:ascii="仿宋" w:hAnsi="仿宋" w:eastAsia="仿宋" w:cs="仿宋"/>
          <w:sz w:val="32"/>
          <w:szCs w:val="32"/>
          <w:lang w:eastAsia="zh-CN"/>
        </w:rPr>
        <w:t>、经办人、财务审核为同一人；</w:t>
      </w:r>
      <w:r>
        <w:rPr>
          <w:rFonts w:hint="eastAsia" w:ascii="仿宋" w:hAnsi="仿宋" w:eastAsia="仿宋" w:cs="仿宋"/>
          <w:sz w:val="32"/>
          <w:szCs w:val="32"/>
          <w:lang w:val="en-US" w:eastAsia="zh-CN"/>
        </w:rPr>
        <w:t>3月4号凭证十二届市委第七轮提级交叉巡察雁峰小分队抽调人员生活用品2,856.1元</w:t>
      </w:r>
      <w:r>
        <w:rPr>
          <w:rFonts w:hint="eastAsia" w:ascii="仿宋" w:hAnsi="仿宋" w:eastAsia="仿宋" w:cs="仿宋"/>
          <w:sz w:val="32"/>
          <w:szCs w:val="32"/>
          <w:lang w:eastAsia="zh-CN"/>
        </w:rPr>
        <w:t>等领款</w:t>
      </w:r>
      <w:r>
        <w:rPr>
          <w:rFonts w:hint="eastAsia" w:ascii="仿宋" w:hAnsi="仿宋" w:eastAsia="仿宋" w:cs="仿宋"/>
          <w:sz w:val="32"/>
          <w:szCs w:val="32"/>
        </w:rPr>
        <w:t>人</w:t>
      </w:r>
      <w:r>
        <w:rPr>
          <w:rFonts w:hint="eastAsia" w:ascii="仿宋" w:hAnsi="仿宋" w:eastAsia="仿宋" w:cs="仿宋"/>
          <w:sz w:val="32"/>
          <w:szCs w:val="32"/>
          <w:lang w:eastAsia="zh-CN"/>
        </w:rPr>
        <w:t>、经办人、出纳</w:t>
      </w:r>
      <w:r>
        <w:rPr>
          <w:rFonts w:hint="eastAsia" w:ascii="仿宋" w:hAnsi="仿宋" w:eastAsia="仿宋" w:cs="仿宋"/>
          <w:sz w:val="32"/>
          <w:szCs w:val="32"/>
        </w:rPr>
        <w:t>和</w:t>
      </w:r>
      <w:r>
        <w:rPr>
          <w:rFonts w:hint="eastAsia" w:ascii="仿宋" w:hAnsi="仿宋" w:eastAsia="仿宋" w:cs="仿宋"/>
          <w:sz w:val="32"/>
          <w:szCs w:val="32"/>
          <w:lang w:eastAsia="zh-CN"/>
        </w:rPr>
        <w:t>记账为</w:t>
      </w:r>
      <w:r>
        <w:rPr>
          <w:rFonts w:hint="eastAsia" w:ascii="仿宋" w:hAnsi="仿宋" w:eastAsia="仿宋" w:cs="仿宋"/>
          <w:sz w:val="32"/>
          <w:szCs w:val="32"/>
        </w:rPr>
        <w:t>同一人。</w:t>
      </w:r>
    </w:p>
    <w:p w14:paraId="50F9F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违反了《中华人民共和国会计法》违反了第二十五条“记账人员与经济业务事项和会计事项的审批人员、经办人员、财物保管人员的职责权限应当明确，并相互分离、相互制约”的规定。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违反了《行政事业单位内部控制规范（试行）》第十二条“单位内部控制的控制方法，不相容岗位相互分离、内部授权审批控制、归口管理、归口管理、会计控制、单据控制等”的规定。</w:t>
      </w:r>
    </w:p>
    <w:p w14:paraId="3B71B80F">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全面梳理单位经济活动中的关键岗位，根据单位规模和人员情况，通过岗位职责说明书进行明确。若人员紧张，可采用交叉审核、轮岗等方式作为过渡性措施，确保核心不相容职务（如经办与审核、出纳与记账）得到有效分离。</w:t>
      </w:r>
    </w:p>
    <w:p w14:paraId="2D227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lang w:val="en-US" w:eastAsia="zh-CN"/>
        </w:rPr>
        <w:t>审批流程不严谨：</w:t>
      </w:r>
      <w:r>
        <w:rPr>
          <w:rFonts w:hint="eastAsia" w:ascii="仿宋" w:hAnsi="仿宋" w:eastAsia="仿宋" w:cs="仿宋"/>
          <w:b w:val="0"/>
          <w:bCs w:val="0"/>
          <w:sz w:val="32"/>
          <w:szCs w:val="32"/>
          <w:lang w:val="en-US" w:eastAsia="zh-CN"/>
        </w:rPr>
        <w:t>如12月4号凭证拨付奇峰村环境工作经费2万元，仅依据《关于解决奇峰村工作经费困难一事》的报告，未提供相关文件及会议决策记录；在申请经费时或使用前，未明确本次资金支持所要达到的具体绩效目标，作为事后考核的依据。</w:t>
      </w:r>
    </w:p>
    <w:p w14:paraId="615730D9">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val="en-US" w:eastAsia="zh-CN"/>
        </w:rPr>
        <w:t>违反了《中共中央 国务院关于全面实施预算绩效管理的意见》要求构建全方位、全过程、全覆盖的预算绩效管理体系。资金使用单位在申请资金时或使用前，必须设定清晰、可衡量的绩效目标，作为事后监督和评价的依据。未设定目标则绩效管理无从谈起。</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sz w:val="32"/>
          <w:szCs w:val="32"/>
          <w:lang w:eastAsia="zh-CN"/>
        </w:rPr>
        <w:t>违反了《区委巡察办财务管理制度》“</w:t>
      </w:r>
      <w:r>
        <w:rPr>
          <w:rFonts w:hint="eastAsia" w:ascii="仿宋" w:hAnsi="仿宋" w:eastAsia="仿宋" w:cs="仿宋"/>
          <w:sz w:val="32"/>
          <w:szCs w:val="32"/>
        </w:rPr>
        <w:t>10000元以上（含30000元）的经费开支，应经区委巡察办领导班子会议审议后，由单位主要负责人签批同意予以列支</w:t>
      </w:r>
      <w:r>
        <w:rPr>
          <w:rFonts w:hint="eastAsia" w:ascii="仿宋" w:hAnsi="仿宋" w:eastAsia="仿宋" w:cs="仿宋"/>
          <w:sz w:val="32"/>
          <w:szCs w:val="32"/>
          <w:lang w:eastAsia="zh-CN"/>
        </w:rPr>
        <w:t>”的规定。</w:t>
      </w:r>
    </w:p>
    <w:p w14:paraId="59D30CC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一是推动制度衔接与融合，建议将预算绩效管理要求深度嵌入单位内部的财务审批流程。在领导班子会议审议大额经费时，《项目绩效目标申报表》应作为核心审议材料之一，实现“决策”与“绩效”的同步审批。二是完善凭证管理，规定所有支付凭证后必须附齐全部证明材料，包括但不限于，申请报告、相关政策文件依据、会议决策记录、绩效目标表、发票等，确保每一项经济业务的决策轨迹和执行痕迹完整、清晰、可追溯。</w:t>
      </w:r>
    </w:p>
    <w:p w14:paraId="56FCCFB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rPr>
        <w:t>资产管理不规范</w:t>
      </w:r>
      <w:r>
        <w:rPr>
          <w:rFonts w:hint="eastAsia" w:ascii="仿宋" w:hAnsi="仿宋" w:eastAsia="仿宋" w:cs="仿宋"/>
          <w:b/>
          <w:bCs/>
          <w:sz w:val="32"/>
          <w:szCs w:val="32"/>
          <w:lang w:eastAsia="zh-CN"/>
        </w:rPr>
        <w:t>：一</w:t>
      </w:r>
      <w:r>
        <w:rPr>
          <w:rFonts w:hint="eastAsia" w:ascii="仿宋" w:hAnsi="仿宋" w:eastAsia="仿宋" w:cs="仿宋"/>
          <w:b w:val="0"/>
          <w:bCs w:val="0"/>
          <w:sz w:val="32"/>
          <w:szCs w:val="32"/>
          <w:lang w:val="en-US" w:eastAsia="zh-CN"/>
        </w:rPr>
        <w:t>是部分</w:t>
      </w:r>
      <w:r>
        <w:rPr>
          <w:rFonts w:hint="eastAsia" w:ascii="仿宋" w:hAnsi="仿宋" w:eastAsia="仿宋" w:cs="仿宋"/>
          <w:b w:val="0"/>
          <w:bCs w:val="0"/>
          <w:sz w:val="32"/>
          <w:szCs w:val="32"/>
          <w:lang w:eastAsia="zh-CN"/>
        </w:rPr>
        <w:t>资产要素有待完善。未标识使用部门，使用人，部分未标识使用状态及存放地点。二是未定期盘点固定资产。</w:t>
      </w:r>
    </w:p>
    <w:p w14:paraId="3B7D782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bidi="ar"/>
        </w:rPr>
        <w:t>：</w:t>
      </w:r>
      <w:r>
        <w:rPr>
          <w:rFonts w:hint="eastAsia" w:ascii="仿宋" w:hAnsi="仿宋" w:eastAsia="仿宋" w:cs="仿宋"/>
          <w:b w:val="0"/>
          <w:bCs w:val="0"/>
          <w:sz w:val="32"/>
          <w:szCs w:val="32"/>
          <w:lang w:val="en-US" w:eastAsia="zh-CN" w:bidi="ar"/>
        </w:rPr>
        <w:t>违反了《行政事业性国有资产管理条例》第三十三条“各部门及其所属单位应当明确资产的维护、保养、维修的岗位责任。因使用不当或者维护、保养、维修不及时造成资产损失的，应当依法承担责任”的规定。违反了第三十四条“各部门及其所属单位应当定期或者不定期对资产进行盘点、对账。出现资产盘盈盘亏的，应当按照财务、会计和资产管理制度有关规定处理，做到账实相符和账账相符”的规定。</w:t>
      </w:r>
    </w:p>
    <w:p w14:paraId="0DDD353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bidi="ar"/>
        </w:rPr>
        <w:t>建议：</w:t>
      </w:r>
      <w:r>
        <w:rPr>
          <w:rFonts w:hint="eastAsia" w:ascii="仿宋" w:hAnsi="仿宋" w:eastAsia="仿宋" w:cs="仿宋"/>
          <w:b w:val="0"/>
          <w:bCs w:val="0"/>
          <w:sz w:val="32"/>
          <w:szCs w:val="32"/>
          <w:lang w:bidi="ar"/>
        </w:rPr>
        <w:t>完善资产管理办法，加强资产管理</w:t>
      </w: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rPr>
        <w:t>为</w:t>
      </w:r>
      <w:r>
        <w:rPr>
          <w:rFonts w:hint="eastAsia" w:ascii="仿宋" w:hAnsi="仿宋" w:eastAsia="仿宋" w:cs="仿宋"/>
          <w:sz w:val="32"/>
          <w:szCs w:val="32"/>
        </w:rPr>
        <w:t>提高资产管理水平，一是完善固定资产管理制度，按制度规范管理固定资产；二是加强固定资产的核算工作。登记固定资产卡片，明确固定资产使用部门，责任人员；三是加强对财务人员、固定资产管理人员的培训，规范财务管理行为，认真落实固定资产管理，确保账账相符、账卡相符、账实相符，避免资产漏记账、多入账、不及时核销等问题；四是加强固定资产实物盘点。认真执行固定资产盘点制度，通过定期或不定期盘点，对发现的账实不符问题，及时查明原因并进行处理。</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208" w:name="_Toc1081"/>
      <w:bookmarkStart w:id="209" w:name="_Toc16466"/>
      <w:bookmarkStart w:id="210" w:name="_Toc19084"/>
      <w:r>
        <w:rPr>
          <w:rFonts w:hint="eastAsia" w:ascii="楷体" w:hAnsi="楷体" w:eastAsia="楷体" w:cs="楷体"/>
          <w:b/>
          <w:bCs/>
          <w:sz w:val="32"/>
          <w:szCs w:val="32"/>
          <w:lang w:val="en-US" w:eastAsia="zh-CN"/>
        </w:rPr>
        <w:t>（三）工资管理方面存在的问题及建议</w:t>
      </w:r>
      <w:bookmarkEnd w:id="208"/>
      <w:bookmarkEnd w:id="209"/>
    </w:p>
    <w:p w14:paraId="60B71572">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1.超预算发放补助等人员经费：</w:t>
      </w:r>
      <w:r>
        <w:rPr>
          <w:rFonts w:hint="eastAsia" w:ascii="仿宋" w:hAnsi="仿宋" w:eastAsia="仿宋" w:cs="仿宋"/>
          <w:b w:val="0"/>
          <w:bCs w:val="0"/>
          <w:sz w:val="32"/>
          <w:szCs w:val="32"/>
          <w:lang w:val="en-US" w:eastAsia="zh-CN"/>
        </w:rPr>
        <w:t>经询问，因2024年纪检系统机构改革，</w:t>
      </w:r>
      <w:r>
        <w:rPr>
          <w:rFonts w:hint="eastAsia" w:ascii="仿宋" w:hAnsi="仿宋" w:eastAsia="仿宋" w:cs="仿宋"/>
          <w:b w:val="0"/>
          <w:bCs w:val="0"/>
          <w:sz w:val="32"/>
          <w:szCs w:val="32"/>
          <w:lang w:eastAsia="zh-CN"/>
        </w:rPr>
        <w:t>区委巡察办的工资等人员经费</w:t>
      </w:r>
      <w:r>
        <w:rPr>
          <w:rFonts w:hint="eastAsia" w:ascii="仿宋" w:hAnsi="仿宋" w:eastAsia="仿宋" w:cs="仿宋"/>
          <w:b w:val="0"/>
          <w:bCs w:val="0"/>
          <w:sz w:val="32"/>
          <w:szCs w:val="32"/>
          <w:lang w:val="en-US" w:eastAsia="zh-CN"/>
        </w:rPr>
        <w:t>均由区纪委统筹发放，预算、决算均未列支人员经费。但核查账目及凭证，发现24年实际发放了补助等共计</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634</w:t>
      </w:r>
      <w:r>
        <w:rPr>
          <w:rFonts w:hint="eastAsia" w:ascii="仿宋" w:hAnsi="仿宋" w:eastAsia="仿宋" w:cs="仿宋"/>
          <w:color w:val="auto"/>
          <w:sz w:val="32"/>
          <w:szCs w:val="32"/>
        </w:rPr>
        <w:t>.10</w:t>
      </w:r>
      <w:r>
        <w:rPr>
          <w:rFonts w:hint="eastAsia" w:ascii="仿宋" w:hAnsi="仿宋" w:eastAsia="仿宋" w:cs="仿宋"/>
          <w:b w:val="0"/>
          <w:bCs w:val="0"/>
          <w:sz w:val="32"/>
          <w:szCs w:val="32"/>
          <w:lang w:val="en-US" w:eastAsia="zh-CN"/>
        </w:rPr>
        <w:t>元，列支在基本支出－公用经费、项目支出及办公室维修改造费内：如5月2号凭证支付十二届市委第七轮巡察补助39,820.00元；8月2号凭证，采购市委机动巡察生活用品电话卡等费用769.10元；6月3号—4号凭证，区委第六轮巡察第一组巡察补助56,210.00元；7月18号凭证，八一慰问（贺文东、涂万里）800.00元；11月8号—11号凭证，第七轮巡察1、2、3、4组补助101,035.00元</w:t>
      </w:r>
    </w:p>
    <w:p w14:paraId="10BDCA64">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巡察补助标准为每人55元/天，补助参照中共湖南省委巡视工作领导小组办公室2023年1月1日施行的《巡视专项经费管理办法（试行）》中关于夜餐公杂费的规定“省委巡视组人员在巡视期间的公杂及因工作需要晚上加班、值班的夜餐补助费按每人每天80元标准核算”（节选），因工作性质，未提供全文，并通过询问得知，区委巡察办55元的补助标准是经过会议传达，但未提供纸面的文件依据。</w:t>
      </w:r>
    </w:p>
    <w:p w14:paraId="6CD6A7A9">
      <w:pPr>
        <w:keepNext w:val="0"/>
        <w:keepLines w:val="0"/>
        <w:pageBreakBefore w:val="0"/>
        <w:widowControl w:val="0"/>
        <w:kinsoku w:val="0"/>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补助支付的凭证，发放附件仅为《考勤表》、巡察组及巡察办签字的《夜餐补助公杂费发放表》，未提供经办人、证明人、财务审核、领导审批等完整的签字审批流程。</w:t>
      </w:r>
    </w:p>
    <w:p w14:paraId="41ACF2C1">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sz w:val="32"/>
          <w:szCs w:val="32"/>
          <w:lang w:eastAsia="zh-CN"/>
        </w:rPr>
        <w:t>违反了《区委巡察办财务管理制度》“</w:t>
      </w:r>
      <w:r>
        <w:rPr>
          <w:rFonts w:hint="eastAsia" w:ascii="仿宋" w:hAnsi="仿宋" w:eastAsia="仿宋" w:cs="仿宋"/>
          <w:sz w:val="32"/>
          <w:szCs w:val="32"/>
        </w:rPr>
        <w:t>10000元以上（含30000元）的经费开支，应经区委巡察办领导班子会议审议后，由单位主要负责人签批同意予以列支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及“基本流程,报账人按要求粘贴原始发票及附件—经手人、证明人在发票上签名认可—会计审核票据—根据经费开支额度逐级申报审批—出纳报账。”的规定</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违反了《中华人民共和国预算法》第十三条“经人民代表大会批准的预算，非经法定程序，不得调整。各级政府、各部门、各单位的支出必须以经批准的预算为依据，未列入预算的不得支出”。</w:t>
      </w:r>
    </w:p>
    <w:p w14:paraId="2B8900A6">
      <w:pPr>
        <w:keepNext w:val="0"/>
        <w:keepLines w:val="0"/>
        <w:pageBreakBefore w:val="0"/>
        <w:widowControl w:val="0"/>
        <w:kinsoku w:val="0"/>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val="en-US" w:eastAsia="zh-CN" w:bidi="ar-SA"/>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一是立即整改，纠正既有问题，补充完善手续，对已发放的补助，应尽可能追溯补全审批手续。包括由经办人、证明人补充签字确认、由财务负责人进行审核确认、由单位主要领导对此次支出进行追认审批、对于名单不符的人员，应补充其被抽调至巡察组工作的正式书面通知或批准文件，作为发放依据的附件。二是明确并固化发放标准，立即制定本单位《巡察工作补助发放管理办法》或类似正式文件，明确补助标准（如55元/天）、发放条件、审批流程和所需附件。该标准应参照上级规定，并结合本区实际情况，经领导班子集体审议后印发执行，杜绝仅凭“会议传达”作为依据的情况。三是建章立制，规范未来操作，强化预算管理主体责任,尽管人员经费由区级统筹，但对于巡察办自身发生的、性质属于人员补助的支出，应在年度预算编制时，主动、准确地向主管部门（如区委办、财政局）申报资金需求，争取单列或纳入统筹预算，确保支出有合法的资金来源。三是完善内部控制和审批流程，严格执行单位财务管理制度，所有支出，无论金额大小，都必须履行完整的“经办-证明-审核-审批”流程。对于巡察补助这类支出，可设计标准化的审批单和发放表，内含所有必要审批要素，确保每次发放都流程完整、责任清晰。严格区分人员支出、公用支出和项目支出，禁止相互挤占挪用。四是加强档案管理，确保每一笔支出的凭证附件齐全、有效。发放巡察补助至少应包括：巡察任务通知、工作人员抽调文件、考勤记录、标准化的补助审批发放表、银行支付回单等。</w:t>
      </w:r>
    </w:p>
    <w:p w14:paraId="47DD1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eastAsia="zh-CN"/>
        </w:rPr>
      </w:pPr>
      <w:bookmarkStart w:id="211" w:name="_Toc19660"/>
      <w:r>
        <w:rPr>
          <w:rFonts w:hint="eastAsia" w:ascii="楷体" w:hAnsi="楷体" w:eastAsia="楷体" w:cs="楷体"/>
          <w:b/>
          <w:bCs/>
          <w:sz w:val="32"/>
          <w:szCs w:val="32"/>
          <w:lang w:val="en-US" w:eastAsia="zh-CN" w:bidi="ar-SA"/>
        </w:rPr>
        <w:t>（四）</w:t>
      </w:r>
      <w:bookmarkEnd w:id="210"/>
      <w:r>
        <w:rPr>
          <w:rFonts w:hint="eastAsia" w:ascii="楷体" w:hAnsi="楷体" w:eastAsia="楷体" w:cs="楷体"/>
          <w:b/>
          <w:bCs/>
          <w:sz w:val="32"/>
          <w:szCs w:val="32"/>
          <w:lang w:val="en-US" w:eastAsia="zh-CN" w:bidi="ar-SA"/>
        </w:rPr>
        <w:t>职能</w:t>
      </w:r>
      <w:r>
        <w:rPr>
          <w:rFonts w:hint="eastAsia" w:ascii="楷体" w:hAnsi="楷体" w:eastAsia="楷体" w:cs="楷体"/>
          <w:b/>
          <w:bCs/>
          <w:sz w:val="32"/>
          <w:szCs w:val="32"/>
          <w:lang w:eastAsia="zh-CN"/>
        </w:rPr>
        <w:t>管理方面存在的问题及建议</w:t>
      </w:r>
      <w:bookmarkEnd w:id="211"/>
    </w:p>
    <w:p w14:paraId="235CD03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bidi="ar-SA"/>
        </w:rPr>
        <w:t>1.职能工作完成不合规：</w:t>
      </w:r>
      <w:r>
        <w:rPr>
          <w:rFonts w:hint="eastAsia" w:ascii="仿宋" w:hAnsi="仿宋" w:eastAsia="仿宋" w:cs="仿宋"/>
          <w:sz w:val="32"/>
          <w:szCs w:val="32"/>
          <w:lang w:val="en-US" w:eastAsia="zh-CN"/>
        </w:rPr>
        <w:t>未提供有关厉行节约保障措施的执行情况及政策效果的文件。</w:t>
      </w:r>
    </w:p>
    <w:p w14:paraId="5E520B9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相关政策</w:t>
      </w:r>
      <w:r>
        <w:rPr>
          <w:rFonts w:hint="eastAsia" w:ascii="仿宋" w:hAnsi="仿宋" w:eastAsia="仿宋" w:cs="仿宋"/>
          <w:sz w:val="32"/>
          <w:szCs w:val="32"/>
          <w:lang w:val="en-US" w:eastAsia="zh-CN"/>
        </w:rPr>
        <w:t>：违反了《党政机关厉行节约反对浪费条例》第五十二条“党政机关应当把加强厉行节约反对浪费教育作为作风建设的重要内容，融入干部队伍建设和机关日常管理之中，建立健全常态化工作机制。对各种铺张浪费现象和行为，应当严肃批评、督促改正”。第五十五条“党委（党组）在每年度向上级党组织报送的落实全面从严治党主体责任情况报告中，应当报告本地区、本部门、本单位厉行节约反对浪费工作情况”。第五十六条“党政机关应当建立健全厉行节约反对浪费信息公开制度，按照及时、方便、多样的原则，依规依法将应当公开的有关情况以适当方式公开”的规定。</w:t>
      </w:r>
    </w:p>
    <w:p w14:paraId="11DD20B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sz w:val="32"/>
          <w:szCs w:val="32"/>
          <w:lang w:val="en-US" w:eastAsia="zh-CN"/>
        </w:rPr>
        <w:t>一是建立健全执行情况记录与报告制度，明确记录内容，系统性地梳理和记录本单位在经费管理、公务接待、公务用车、会议活动、办公用房、资源节约（如节水、节电、节粮）等方面，为落实厉行节约所采取的具体措施。二是形成定期报告，建议按季度或半年度形成本单位的《厉行节约工作成效报告》，全面反映措施执行情况和取得的效果。三是强化内部监督与考核严格落实“党政机关领导班子主要负责人对本地区、本部门、本单位的厉行节约反对浪费工作负总责”的要求。四是主动公开接受监督，在遵守保密规定的前提下，通过单位内部网站、公告栏等适当途径，定期公示“三公”经费等重点领域的支出情况以及节约成效。</w:t>
      </w:r>
    </w:p>
    <w:p w14:paraId="19D36C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eastAsia="zh-CN"/>
        </w:rPr>
      </w:pPr>
    </w:p>
    <w:p w14:paraId="5A02A5DD">
      <w:pPr>
        <w:widowControl w:val="0"/>
        <w:jc w:val="both"/>
        <w:rPr>
          <w:rFonts w:hint="eastAsia" w:ascii="仿宋" w:hAnsi="仿宋" w:eastAsia="仿宋" w:cs="仿宋"/>
          <w:sz w:val="32"/>
          <w:szCs w:val="32"/>
        </w:rPr>
      </w:pPr>
    </w:p>
    <w:p w14:paraId="6EBFC614">
      <w:pPr>
        <w:widowControl w:val="0"/>
        <w:jc w:val="both"/>
        <w:rPr>
          <w:rFonts w:hint="eastAsia" w:ascii="仿宋" w:hAnsi="仿宋" w:eastAsia="仿宋" w:cs="仿宋"/>
          <w:sz w:val="32"/>
          <w:szCs w:val="32"/>
        </w:rPr>
      </w:pPr>
    </w:p>
    <w:p w14:paraId="76FD6F90">
      <w:pPr>
        <w:widowControl w:val="0"/>
        <w:jc w:val="both"/>
        <w:rPr>
          <w:rFonts w:hint="eastAsia" w:ascii="仿宋" w:hAnsi="仿宋" w:eastAsia="仿宋" w:cs="仿宋"/>
          <w:sz w:val="32"/>
          <w:szCs w:val="32"/>
        </w:rPr>
      </w:pPr>
    </w:p>
    <w:p w14:paraId="24D3E26E">
      <w:pPr>
        <w:widowControl w:val="0"/>
        <w:jc w:val="both"/>
        <w:rPr>
          <w:rFonts w:hint="eastAsia" w:ascii="仿宋" w:hAnsi="仿宋" w:eastAsia="仿宋" w:cs="仿宋"/>
          <w:sz w:val="32"/>
          <w:szCs w:val="32"/>
        </w:rPr>
      </w:pPr>
    </w:p>
    <w:p w14:paraId="793EF431">
      <w:pPr>
        <w:widowControl w:val="0"/>
        <w:jc w:val="both"/>
        <w:rPr>
          <w:rFonts w:hint="eastAsia" w:ascii="仿宋" w:hAnsi="仿宋" w:eastAsia="仿宋" w:cs="仿宋"/>
          <w:sz w:val="32"/>
          <w:szCs w:val="32"/>
        </w:rPr>
      </w:pPr>
    </w:p>
    <w:p w14:paraId="1311B2C0">
      <w:pPr>
        <w:widowControl w:val="0"/>
        <w:jc w:val="both"/>
        <w:rPr>
          <w:rFonts w:hint="eastAsia" w:ascii="仿宋" w:hAnsi="仿宋" w:eastAsia="仿宋" w:cs="仿宋"/>
          <w:sz w:val="32"/>
          <w:szCs w:val="32"/>
        </w:rPr>
      </w:pPr>
    </w:p>
    <w:p w14:paraId="5D9BCFED">
      <w:pPr>
        <w:widowControl w:val="0"/>
        <w:jc w:val="both"/>
        <w:rPr>
          <w:rFonts w:hint="eastAsia" w:ascii="仿宋" w:hAnsi="仿宋" w:eastAsia="仿宋" w:cs="仿宋"/>
          <w:sz w:val="32"/>
          <w:szCs w:val="32"/>
        </w:rPr>
      </w:pPr>
    </w:p>
    <w:p w14:paraId="3F0D5D3B">
      <w:pPr>
        <w:widowControl w:val="0"/>
        <w:jc w:val="both"/>
        <w:rPr>
          <w:rFonts w:hint="eastAsia" w:ascii="仿宋" w:hAnsi="仿宋" w:eastAsia="仿宋" w:cs="仿宋"/>
          <w:sz w:val="32"/>
          <w:szCs w:val="32"/>
        </w:rPr>
      </w:pPr>
    </w:p>
    <w:tbl>
      <w:tblPr>
        <w:tblStyle w:val="11"/>
        <w:tblW w:w="8799" w:type="dxa"/>
        <w:tblInd w:w="0" w:type="dxa"/>
        <w:tblLayout w:type="fixed"/>
        <w:tblCellMar>
          <w:top w:w="0" w:type="dxa"/>
          <w:left w:w="108" w:type="dxa"/>
          <w:bottom w:w="0" w:type="dxa"/>
          <w:right w:w="108" w:type="dxa"/>
        </w:tblCellMar>
      </w:tblPr>
      <w:tblGrid>
        <w:gridCol w:w="4525"/>
        <w:gridCol w:w="4274"/>
      </w:tblGrid>
      <w:tr w14:paraId="014DD6D3">
        <w:tblPrEx>
          <w:tblCellMar>
            <w:top w:w="0" w:type="dxa"/>
            <w:left w:w="108" w:type="dxa"/>
            <w:bottom w:w="0" w:type="dxa"/>
            <w:right w:w="108" w:type="dxa"/>
          </w:tblCellMar>
        </w:tblPrEx>
        <w:trPr>
          <w:trHeight w:val="623" w:hRule="atLeast"/>
        </w:trPr>
        <w:tc>
          <w:tcPr>
            <w:tcW w:w="4525" w:type="dxa"/>
          </w:tcPr>
          <w:p w14:paraId="4F203658">
            <w:pPr>
              <w:pStyle w:val="9"/>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湖南浩元会计师事务所</w:t>
            </w:r>
          </w:p>
        </w:tc>
        <w:tc>
          <w:tcPr>
            <w:tcW w:w="4274" w:type="dxa"/>
          </w:tcPr>
          <w:p w14:paraId="21D19BAC">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tc>
      </w:tr>
      <w:tr w14:paraId="2E9A596B">
        <w:trPr>
          <w:trHeight w:val="1267" w:hRule="atLeast"/>
        </w:trPr>
        <w:tc>
          <w:tcPr>
            <w:tcW w:w="4525" w:type="dxa"/>
          </w:tcPr>
          <w:p w14:paraId="22371F1E">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（普通合伙）</w:t>
            </w:r>
          </w:p>
        </w:tc>
        <w:tc>
          <w:tcPr>
            <w:tcW w:w="4274" w:type="dxa"/>
          </w:tcPr>
          <w:p w14:paraId="37B179CC">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50C3B579">
        <w:trPr>
          <w:trHeight w:val="1247" w:hRule="atLeast"/>
        </w:trPr>
        <w:tc>
          <w:tcPr>
            <w:tcW w:w="4525" w:type="dxa"/>
          </w:tcPr>
          <w:p w14:paraId="726538FB">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c>
          <w:tcPr>
            <w:tcW w:w="4274" w:type="dxa"/>
          </w:tcPr>
          <w:p w14:paraId="3047F097">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p w14:paraId="52E5B0FD">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4188F304">
        <w:trPr>
          <w:trHeight w:val="623" w:hRule="atLeast"/>
        </w:trPr>
        <w:tc>
          <w:tcPr>
            <w:tcW w:w="4525" w:type="dxa"/>
          </w:tcPr>
          <w:p w14:paraId="7F15BB72">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 国·长 沙</w:t>
            </w:r>
          </w:p>
        </w:tc>
        <w:tc>
          <w:tcPr>
            <w:tcW w:w="4274" w:type="dxa"/>
          </w:tcPr>
          <w:p w14:paraId="7FC4F21B">
            <w:pPr>
              <w:pStyle w:val="9"/>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2025年</w:t>
            </w:r>
            <w:r>
              <w:rPr>
                <w:rFonts w:hint="eastAsia" w:ascii="仿宋" w:hAnsi="仿宋" w:eastAsia="仿宋" w:cs="仿宋"/>
                <w:color w:val="000000"/>
                <w:sz w:val="32"/>
                <w:szCs w:val="32"/>
                <w:shd w:val="clear" w:color="auto" w:fill="FFFFFF"/>
                <w:lang w:val="en-US" w:eastAsia="zh-CN"/>
              </w:rPr>
              <w:t xml:space="preserve"> 9 </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 xml:space="preserve"> 23 </w:t>
            </w:r>
            <w:r>
              <w:rPr>
                <w:rFonts w:hint="eastAsia" w:ascii="仿宋" w:hAnsi="仿宋" w:eastAsia="仿宋" w:cs="仿宋"/>
                <w:color w:val="000000"/>
                <w:sz w:val="32"/>
                <w:szCs w:val="32"/>
                <w:shd w:val="clear" w:color="auto" w:fill="FFFFFF"/>
              </w:rPr>
              <w:t>日</w:t>
            </w:r>
          </w:p>
        </w:tc>
      </w:tr>
    </w:tbl>
    <w:p w14:paraId="45CCC3B4">
      <w:pPr>
        <w:widowControl w:val="0"/>
        <w:jc w:val="both"/>
        <w:rPr>
          <w:rFonts w:hint="eastAsia" w:ascii="仿宋" w:hAnsi="仿宋" w:eastAsia="仿宋" w:cs="仿宋"/>
          <w:sz w:val="32"/>
          <w:szCs w:val="32"/>
        </w:rPr>
      </w:pPr>
    </w:p>
    <w:sectPr>
      <w:pgSz w:w="11906" w:h="16838"/>
      <w:pgMar w:top="1157"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76E8">
    <w:pPr>
      <w:pStyle w:val="5"/>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1312;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0288;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C763">
    <w:pPr>
      <w:pStyle w:val="5"/>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3D12">
                          <w:pPr>
                            <w:pStyle w:val="5"/>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CF3D12">
                    <w:pPr>
                      <w:pStyle w:val="5"/>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pt;margin-top:505.15pt;height:23.5pt;width:191.45pt;mso-position-horizontal-relative:page;mso-position-vertical-relative:page;z-index:251663360;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72pt;margin-top:505.65pt;height:0pt;width:418.35pt;mso-position-horizontal-relative:page;mso-position-vertical-relative:page;z-index:251662336;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CC16">
    <w:pPr>
      <w:pStyle w:val="6"/>
      <w:rPr>
        <w:rFonts w:hint="eastAsia" w:ascii="仿宋" w:hAnsi="仿宋" w:eastAsia="仿宋" w:cs="仿宋"/>
        <w:b/>
        <w:bCs/>
        <w:sz w:val="21"/>
        <w:szCs w:val="21"/>
        <w:u w:val="single"/>
      </w:rPr>
    </w:pPr>
    <w:r>
      <w:rPr>
        <w:rFonts w:hint="eastAsia" w:ascii="仿宋" w:hAnsi="仿宋" w:eastAsia="仿宋" w:cs="仿宋"/>
        <w:b/>
        <w:bCs/>
        <w:sz w:val="21"/>
        <w:szCs w:val="21"/>
        <w:u w:val="single"/>
      </w:rPr>
      <w:t>2024年中共雁峰区委巡察工作领导小组办公室</w:t>
    </w:r>
    <w:r>
      <w:rPr>
        <w:rFonts w:hint="eastAsia" w:ascii="仿宋" w:hAnsi="仿宋" w:eastAsia="仿宋" w:cs="仿宋"/>
        <w:b/>
        <w:bCs/>
        <w:sz w:val="21"/>
        <w:szCs w:val="21"/>
        <w:u w:val="single"/>
        <w:lang w:eastAsia="zh-CN"/>
      </w:rPr>
      <w:t>部门</w:t>
    </w:r>
    <w:r>
      <w:rPr>
        <w:rFonts w:hint="eastAsia" w:ascii="仿宋" w:hAnsi="仿宋" w:eastAsia="仿宋" w:cs="仿宋"/>
        <w:b/>
        <w:bCs/>
        <w:sz w:val="21"/>
        <w:szCs w:val="21"/>
        <w:u w:val="single"/>
      </w:rPr>
      <w:t>整体支出绩效评价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NzQzNTE0Mjg2ODIyMzJmZDJiYWEwMjNmMWVjZTcifQ=="/>
  </w:docVars>
  <w:rsids>
    <w:rsidRoot w:val="00172A27"/>
    <w:rsid w:val="00053879"/>
    <w:rsid w:val="00053C27"/>
    <w:rsid w:val="00081908"/>
    <w:rsid w:val="000E6C08"/>
    <w:rsid w:val="00137BC7"/>
    <w:rsid w:val="00172A27"/>
    <w:rsid w:val="001B237B"/>
    <w:rsid w:val="001C048E"/>
    <w:rsid w:val="00237A6E"/>
    <w:rsid w:val="0026185C"/>
    <w:rsid w:val="00285085"/>
    <w:rsid w:val="002B6D33"/>
    <w:rsid w:val="002F1434"/>
    <w:rsid w:val="00311A5F"/>
    <w:rsid w:val="00351550"/>
    <w:rsid w:val="003675EE"/>
    <w:rsid w:val="00392EA7"/>
    <w:rsid w:val="00396CDA"/>
    <w:rsid w:val="00414A59"/>
    <w:rsid w:val="0046375D"/>
    <w:rsid w:val="004875B4"/>
    <w:rsid w:val="00494FFB"/>
    <w:rsid w:val="004B2DA3"/>
    <w:rsid w:val="004E0863"/>
    <w:rsid w:val="004E616D"/>
    <w:rsid w:val="00526CBF"/>
    <w:rsid w:val="00543B5B"/>
    <w:rsid w:val="005A1467"/>
    <w:rsid w:val="005E1244"/>
    <w:rsid w:val="006911F9"/>
    <w:rsid w:val="006F21E8"/>
    <w:rsid w:val="00711228"/>
    <w:rsid w:val="00744674"/>
    <w:rsid w:val="00752113"/>
    <w:rsid w:val="007B3B40"/>
    <w:rsid w:val="008A6C6B"/>
    <w:rsid w:val="008D313A"/>
    <w:rsid w:val="008E4038"/>
    <w:rsid w:val="00A205F5"/>
    <w:rsid w:val="00A81D22"/>
    <w:rsid w:val="00A83AD0"/>
    <w:rsid w:val="00AC4065"/>
    <w:rsid w:val="00AC7437"/>
    <w:rsid w:val="00B03FA3"/>
    <w:rsid w:val="00B06E28"/>
    <w:rsid w:val="00B406C6"/>
    <w:rsid w:val="00B527E3"/>
    <w:rsid w:val="00B92390"/>
    <w:rsid w:val="00B92EE2"/>
    <w:rsid w:val="00C11035"/>
    <w:rsid w:val="00C14B91"/>
    <w:rsid w:val="00C52996"/>
    <w:rsid w:val="00CB3C62"/>
    <w:rsid w:val="00D224BF"/>
    <w:rsid w:val="00D348C5"/>
    <w:rsid w:val="00D5688F"/>
    <w:rsid w:val="00D70859"/>
    <w:rsid w:val="00DE3995"/>
    <w:rsid w:val="00ED1E2A"/>
    <w:rsid w:val="00F11150"/>
    <w:rsid w:val="00F431B9"/>
    <w:rsid w:val="00F44F67"/>
    <w:rsid w:val="00F558B0"/>
    <w:rsid w:val="00F76745"/>
    <w:rsid w:val="00F96DAA"/>
    <w:rsid w:val="00FB4547"/>
    <w:rsid w:val="00FB5FF7"/>
    <w:rsid w:val="00FE0086"/>
    <w:rsid w:val="010800FE"/>
    <w:rsid w:val="010D6479"/>
    <w:rsid w:val="01115B19"/>
    <w:rsid w:val="011655D4"/>
    <w:rsid w:val="0119677B"/>
    <w:rsid w:val="011B6997"/>
    <w:rsid w:val="012B68C7"/>
    <w:rsid w:val="012E5B8D"/>
    <w:rsid w:val="014F34AC"/>
    <w:rsid w:val="0155762F"/>
    <w:rsid w:val="017165B7"/>
    <w:rsid w:val="01763BCE"/>
    <w:rsid w:val="01785B98"/>
    <w:rsid w:val="017E2A82"/>
    <w:rsid w:val="018502B5"/>
    <w:rsid w:val="01944054"/>
    <w:rsid w:val="01967D5E"/>
    <w:rsid w:val="019755DD"/>
    <w:rsid w:val="019D115B"/>
    <w:rsid w:val="019F1377"/>
    <w:rsid w:val="01A22C15"/>
    <w:rsid w:val="01A3073B"/>
    <w:rsid w:val="01A52705"/>
    <w:rsid w:val="01A73D87"/>
    <w:rsid w:val="01AA7D1B"/>
    <w:rsid w:val="01B3097E"/>
    <w:rsid w:val="01BF5575"/>
    <w:rsid w:val="01D846CD"/>
    <w:rsid w:val="01EC20E2"/>
    <w:rsid w:val="01F82835"/>
    <w:rsid w:val="020220CB"/>
    <w:rsid w:val="020440B7"/>
    <w:rsid w:val="020C62E0"/>
    <w:rsid w:val="021A09FD"/>
    <w:rsid w:val="021E5540"/>
    <w:rsid w:val="02221849"/>
    <w:rsid w:val="022A6766"/>
    <w:rsid w:val="023A109F"/>
    <w:rsid w:val="023F2351"/>
    <w:rsid w:val="024C492F"/>
    <w:rsid w:val="025739FF"/>
    <w:rsid w:val="025C1016"/>
    <w:rsid w:val="025D4D8E"/>
    <w:rsid w:val="0263637C"/>
    <w:rsid w:val="02641C78"/>
    <w:rsid w:val="02661E94"/>
    <w:rsid w:val="026659F0"/>
    <w:rsid w:val="026E00C7"/>
    <w:rsid w:val="027125E7"/>
    <w:rsid w:val="02714395"/>
    <w:rsid w:val="02820350"/>
    <w:rsid w:val="028413D6"/>
    <w:rsid w:val="028D5673"/>
    <w:rsid w:val="0293255D"/>
    <w:rsid w:val="02963F39"/>
    <w:rsid w:val="029D18A6"/>
    <w:rsid w:val="02A0574E"/>
    <w:rsid w:val="02A1111E"/>
    <w:rsid w:val="02A23A3C"/>
    <w:rsid w:val="02AB5AF9"/>
    <w:rsid w:val="02AE478C"/>
    <w:rsid w:val="02B50726"/>
    <w:rsid w:val="02B726F0"/>
    <w:rsid w:val="02B81FC4"/>
    <w:rsid w:val="02BA21E0"/>
    <w:rsid w:val="02C443E7"/>
    <w:rsid w:val="02CE3596"/>
    <w:rsid w:val="02D2752A"/>
    <w:rsid w:val="02D92666"/>
    <w:rsid w:val="02E903CF"/>
    <w:rsid w:val="02ED4364"/>
    <w:rsid w:val="02ED7EC0"/>
    <w:rsid w:val="02F94384"/>
    <w:rsid w:val="02FE20CD"/>
    <w:rsid w:val="030376E3"/>
    <w:rsid w:val="03062D2F"/>
    <w:rsid w:val="030671D3"/>
    <w:rsid w:val="0307624F"/>
    <w:rsid w:val="03103BAE"/>
    <w:rsid w:val="031713E0"/>
    <w:rsid w:val="03195159"/>
    <w:rsid w:val="031D6EFB"/>
    <w:rsid w:val="03265180"/>
    <w:rsid w:val="03267F2A"/>
    <w:rsid w:val="03275AC4"/>
    <w:rsid w:val="03295034"/>
    <w:rsid w:val="03300D99"/>
    <w:rsid w:val="03327FC8"/>
    <w:rsid w:val="033B527C"/>
    <w:rsid w:val="03435D32"/>
    <w:rsid w:val="035618EA"/>
    <w:rsid w:val="035B12CD"/>
    <w:rsid w:val="035E700F"/>
    <w:rsid w:val="03754F19"/>
    <w:rsid w:val="03764359"/>
    <w:rsid w:val="03773C2D"/>
    <w:rsid w:val="03800D34"/>
    <w:rsid w:val="03822BB9"/>
    <w:rsid w:val="0388408C"/>
    <w:rsid w:val="0391431A"/>
    <w:rsid w:val="039755A9"/>
    <w:rsid w:val="03A10CAA"/>
    <w:rsid w:val="03A47774"/>
    <w:rsid w:val="03AF786B"/>
    <w:rsid w:val="03B1757A"/>
    <w:rsid w:val="03BD3D36"/>
    <w:rsid w:val="03BE360A"/>
    <w:rsid w:val="03C3438E"/>
    <w:rsid w:val="03C47923"/>
    <w:rsid w:val="03CE545F"/>
    <w:rsid w:val="03D25723"/>
    <w:rsid w:val="03D756A0"/>
    <w:rsid w:val="03E64831"/>
    <w:rsid w:val="03F51722"/>
    <w:rsid w:val="0405748B"/>
    <w:rsid w:val="040C6A6B"/>
    <w:rsid w:val="04220309"/>
    <w:rsid w:val="04245B63"/>
    <w:rsid w:val="042E3A1F"/>
    <w:rsid w:val="04351B1E"/>
    <w:rsid w:val="043E5100"/>
    <w:rsid w:val="04421B33"/>
    <w:rsid w:val="04460AFF"/>
    <w:rsid w:val="0449381C"/>
    <w:rsid w:val="04583A5F"/>
    <w:rsid w:val="04642403"/>
    <w:rsid w:val="046C750A"/>
    <w:rsid w:val="04730056"/>
    <w:rsid w:val="047C774D"/>
    <w:rsid w:val="047F1C73"/>
    <w:rsid w:val="048142F6"/>
    <w:rsid w:val="04842AA6"/>
    <w:rsid w:val="048C3708"/>
    <w:rsid w:val="04936845"/>
    <w:rsid w:val="04986613"/>
    <w:rsid w:val="049E2F9E"/>
    <w:rsid w:val="04A10F62"/>
    <w:rsid w:val="04B01547"/>
    <w:rsid w:val="04B213C1"/>
    <w:rsid w:val="04B70785"/>
    <w:rsid w:val="04BD38C2"/>
    <w:rsid w:val="04BF3ADE"/>
    <w:rsid w:val="04C6380B"/>
    <w:rsid w:val="04CD774D"/>
    <w:rsid w:val="04D07A99"/>
    <w:rsid w:val="04E2157A"/>
    <w:rsid w:val="04ED23F9"/>
    <w:rsid w:val="04F35535"/>
    <w:rsid w:val="04FC263C"/>
    <w:rsid w:val="04FC6AE0"/>
    <w:rsid w:val="04FE0667"/>
    <w:rsid w:val="05015EA4"/>
    <w:rsid w:val="05031CD2"/>
    <w:rsid w:val="05080FE1"/>
    <w:rsid w:val="051200B1"/>
    <w:rsid w:val="05353DA0"/>
    <w:rsid w:val="053A13B6"/>
    <w:rsid w:val="053B68BC"/>
    <w:rsid w:val="054C28AE"/>
    <w:rsid w:val="0559183C"/>
    <w:rsid w:val="05636384"/>
    <w:rsid w:val="056B77C2"/>
    <w:rsid w:val="056C5A14"/>
    <w:rsid w:val="05740424"/>
    <w:rsid w:val="0575419C"/>
    <w:rsid w:val="057714C1"/>
    <w:rsid w:val="05791A70"/>
    <w:rsid w:val="05832D5D"/>
    <w:rsid w:val="058B39C0"/>
    <w:rsid w:val="058C131C"/>
    <w:rsid w:val="058C1C12"/>
    <w:rsid w:val="058C6BDD"/>
    <w:rsid w:val="05961C79"/>
    <w:rsid w:val="05974BBC"/>
    <w:rsid w:val="05995FBA"/>
    <w:rsid w:val="059C1EB1"/>
    <w:rsid w:val="059E7B97"/>
    <w:rsid w:val="05A11BAC"/>
    <w:rsid w:val="05A50F26"/>
    <w:rsid w:val="05AF3B52"/>
    <w:rsid w:val="05BA0D70"/>
    <w:rsid w:val="05BC1DCB"/>
    <w:rsid w:val="05C3315A"/>
    <w:rsid w:val="05C56A59"/>
    <w:rsid w:val="05D84E57"/>
    <w:rsid w:val="05DB66F5"/>
    <w:rsid w:val="05DB7947"/>
    <w:rsid w:val="05E0766C"/>
    <w:rsid w:val="05E27A84"/>
    <w:rsid w:val="05F45A09"/>
    <w:rsid w:val="05F81055"/>
    <w:rsid w:val="05FA2A1A"/>
    <w:rsid w:val="0600615C"/>
    <w:rsid w:val="06093E43"/>
    <w:rsid w:val="06106186"/>
    <w:rsid w:val="06144460"/>
    <w:rsid w:val="061B656D"/>
    <w:rsid w:val="06222576"/>
    <w:rsid w:val="062956B3"/>
    <w:rsid w:val="062A4F87"/>
    <w:rsid w:val="062C6F51"/>
    <w:rsid w:val="06341813"/>
    <w:rsid w:val="06345BBB"/>
    <w:rsid w:val="063D115E"/>
    <w:rsid w:val="063F6C84"/>
    <w:rsid w:val="06497B03"/>
    <w:rsid w:val="064A35D0"/>
    <w:rsid w:val="064A387B"/>
    <w:rsid w:val="065D6663"/>
    <w:rsid w:val="0660046B"/>
    <w:rsid w:val="0673692E"/>
    <w:rsid w:val="067369FB"/>
    <w:rsid w:val="067C3406"/>
    <w:rsid w:val="06875F36"/>
    <w:rsid w:val="069112CA"/>
    <w:rsid w:val="06930D7E"/>
    <w:rsid w:val="06952D48"/>
    <w:rsid w:val="069763A4"/>
    <w:rsid w:val="069F3FEC"/>
    <w:rsid w:val="06B12DEF"/>
    <w:rsid w:val="06B64A6C"/>
    <w:rsid w:val="06BE089F"/>
    <w:rsid w:val="06C57799"/>
    <w:rsid w:val="06C74ECC"/>
    <w:rsid w:val="06C92D5A"/>
    <w:rsid w:val="06CC0578"/>
    <w:rsid w:val="06D51397"/>
    <w:rsid w:val="06D53145"/>
    <w:rsid w:val="06D60D20"/>
    <w:rsid w:val="06D86978"/>
    <w:rsid w:val="06DF5D71"/>
    <w:rsid w:val="06E635A4"/>
    <w:rsid w:val="06EF2DF4"/>
    <w:rsid w:val="07015C26"/>
    <w:rsid w:val="070337A4"/>
    <w:rsid w:val="07041C7C"/>
    <w:rsid w:val="070752C8"/>
    <w:rsid w:val="07097643"/>
    <w:rsid w:val="07143785"/>
    <w:rsid w:val="07155C37"/>
    <w:rsid w:val="071E67C4"/>
    <w:rsid w:val="072639A0"/>
    <w:rsid w:val="07267E44"/>
    <w:rsid w:val="073F4A62"/>
    <w:rsid w:val="07407EB6"/>
    <w:rsid w:val="074402CA"/>
    <w:rsid w:val="074D53D1"/>
    <w:rsid w:val="0756191C"/>
    <w:rsid w:val="07630750"/>
    <w:rsid w:val="076444C8"/>
    <w:rsid w:val="076D7821"/>
    <w:rsid w:val="077E37DC"/>
    <w:rsid w:val="07807554"/>
    <w:rsid w:val="0781151E"/>
    <w:rsid w:val="07837045"/>
    <w:rsid w:val="07893F2F"/>
    <w:rsid w:val="078D3874"/>
    <w:rsid w:val="078F59E9"/>
    <w:rsid w:val="07911761"/>
    <w:rsid w:val="079468F0"/>
    <w:rsid w:val="079B120C"/>
    <w:rsid w:val="079C3C62"/>
    <w:rsid w:val="07A1571D"/>
    <w:rsid w:val="07A215BC"/>
    <w:rsid w:val="07A7684E"/>
    <w:rsid w:val="07BA10F5"/>
    <w:rsid w:val="07BB67DE"/>
    <w:rsid w:val="07CC027A"/>
    <w:rsid w:val="07D653C6"/>
    <w:rsid w:val="07D72EEC"/>
    <w:rsid w:val="07E22674"/>
    <w:rsid w:val="07E64C3E"/>
    <w:rsid w:val="07EC6998"/>
    <w:rsid w:val="07ED2710"/>
    <w:rsid w:val="07F40138"/>
    <w:rsid w:val="07F9321E"/>
    <w:rsid w:val="07FF1CDD"/>
    <w:rsid w:val="080A1514"/>
    <w:rsid w:val="08122176"/>
    <w:rsid w:val="08191757"/>
    <w:rsid w:val="081D1247"/>
    <w:rsid w:val="08393BA7"/>
    <w:rsid w:val="083E11BD"/>
    <w:rsid w:val="084542FA"/>
    <w:rsid w:val="08493DEA"/>
    <w:rsid w:val="084D31AF"/>
    <w:rsid w:val="08591B53"/>
    <w:rsid w:val="085B544F"/>
    <w:rsid w:val="085E716A"/>
    <w:rsid w:val="086A6018"/>
    <w:rsid w:val="0875407C"/>
    <w:rsid w:val="08912FDE"/>
    <w:rsid w:val="08941CC3"/>
    <w:rsid w:val="089D3FDB"/>
    <w:rsid w:val="08A70B11"/>
    <w:rsid w:val="08A92ADB"/>
    <w:rsid w:val="08A94889"/>
    <w:rsid w:val="08AF79C5"/>
    <w:rsid w:val="08B1373D"/>
    <w:rsid w:val="08B60D54"/>
    <w:rsid w:val="08BC0A60"/>
    <w:rsid w:val="08C2594B"/>
    <w:rsid w:val="08C8551C"/>
    <w:rsid w:val="08E22EC9"/>
    <w:rsid w:val="08E81855"/>
    <w:rsid w:val="08ED6E6B"/>
    <w:rsid w:val="08F17FDE"/>
    <w:rsid w:val="090441B5"/>
    <w:rsid w:val="09077801"/>
    <w:rsid w:val="09101C07"/>
    <w:rsid w:val="0913264A"/>
    <w:rsid w:val="091D1F66"/>
    <w:rsid w:val="091F2D9D"/>
    <w:rsid w:val="092263E9"/>
    <w:rsid w:val="092403B3"/>
    <w:rsid w:val="09244A18"/>
    <w:rsid w:val="0926237D"/>
    <w:rsid w:val="093018E7"/>
    <w:rsid w:val="09304FAA"/>
    <w:rsid w:val="09322AD0"/>
    <w:rsid w:val="093A688F"/>
    <w:rsid w:val="0949606C"/>
    <w:rsid w:val="09574568"/>
    <w:rsid w:val="096B15C8"/>
    <w:rsid w:val="096D58B6"/>
    <w:rsid w:val="096F2545"/>
    <w:rsid w:val="09736C45"/>
    <w:rsid w:val="097A6225"/>
    <w:rsid w:val="098244A7"/>
    <w:rsid w:val="09827219"/>
    <w:rsid w:val="09840E52"/>
    <w:rsid w:val="098B3F8E"/>
    <w:rsid w:val="09972933"/>
    <w:rsid w:val="09A84B40"/>
    <w:rsid w:val="09AA4D5C"/>
    <w:rsid w:val="09B90AFC"/>
    <w:rsid w:val="09BE6112"/>
    <w:rsid w:val="09C53944"/>
    <w:rsid w:val="09CB557B"/>
    <w:rsid w:val="09CD0A4B"/>
    <w:rsid w:val="09CD27F9"/>
    <w:rsid w:val="09CF031F"/>
    <w:rsid w:val="09D45935"/>
    <w:rsid w:val="09D678FF"/>
    <w:rsid w:val="09D75426"/>
    <w:rsid w:val="09E40A2E"/>
    <w:rsid w:val="09ED69F7"/>
    <w:rsid w:val="09F63AFE"/>
    <w:rsid w:val="09FA2C3E"/>
    <w:rsid w:val="0A0F3905"/>
    <w:rsid w:val="0A116B8A"/>
    <w:rsid w:val="0A1C72DC"/>
    <w:rsid w:val="0A2A37A7"/>
    <w:rsid w:val="0A2A7C4B"/>
    <w:rsid w:val="0A2E424B"/>
    <w:rsid w:val="0A355EA0"/>
    <w:rsid w:val="0A3D472E"/>
    <w:rsid w:val="0A570314"/>
    <w:rsid w:val="0A5B7E05"/>
    <w:rsid w:val="0A5F5B47"/>
    <w:rsid w:val="0A5F7F8F"/>
    <w:rsid w:val="0A652A31"/>
    <w:rsid w:val="0A653918"/>
    <w:rsid w:val="0A6749FB"/>
    <w:rsid w:val="0A7B2255"/>
    <w:rsid w:val="0A8777EC"/>
    <w:rsid w:val="0A891C20"/>
    <w:rsid w:val="0A9E5F43"/>
    <w:rsid w:val="0AA364AD"/>
    <w:rsid w:val="0AAC0F25"/>
    <w:rsid w:val="0AAD6FF2"/>
    <w:rsid w:val="0AAE6186"/>
    <w:rsid w:val="0ABB08A3"/>
    <w:rsid w:val="0ACA0AE6"/>
    <w:rsid w:val="0AD32091"/>
    <w:rsid w:val="0ADB7197"/>
    <w:rsid w:val="0ADD6A6C"/>
    <w:rsid w:val="0ADF27E4"/>
    <w:rsid w:val="0AF53DB5"/>
    <w:rsid w:val="0AF618DB"/>
    <w:rsid w:val="0B022976"/>
    <w:rsid w:val="0B1A34E5"/>
    <w:rsid w:val="0B210D11"/>
    <w:rsid w:val="0B2C5E24"/>
    <w:rsid w:val="0B42710B"/>
    <w:rsid w:val="0B446AEB"/>
    <w:rsid w:val="0B492353"/>
    <w:rsid w:val="0B4B1C27"/>
    <w:rsid w:val="0B536D2E"/>
    <w:rsid w:val="0B553428"/>
    <w:rsid w:val="0B5807E8"/>
    <w:rsid w:val="0B5A4560"/>
    <w:rsid w:val="0B6131F9"/>
    <w:rsid w:val="0B6158EF"/>
    <w:rsid w:val="0B811AED"/>
    <w:rsid w:val="0B835865"/>
    <w:rsid w:val="0B907F82"/>
    <w:rsid w:val="0B957346"/>
    <w:rsid w:val="0B996E37"/>
    <w:rsid w:val="0BB35A1E"/>
    <w:rsid w:val="0BBC48D3"/>
    <w:rsid w:val="0BC1013B"/>
    <w:rsid w:val="0BC419DA"/>
    <w:rsid w:val="0BCD6AE0"/>
    <w:rsid w:val="0BD452F2"/>
    <w:rsid w:val="0BD55995"/>
    <w:rsid w:val="0BD7170D"/>
    <w:rsid w:val="0BE10AC9"/>
    <w:rsid w:val="0BE45812"/>
    <w:rsid w:val="0BE45BD8"/>
    <w:rsid w:val="0BE71C3D"/>
    <w:rsid w:val="0BE72379"/>
    <w:rsid w:val="0BEB6F66"/>
    <w:rsid w:val="0BF16C73"/>
    <w:rsid w:val="0BF4069F"/>
    <w:rsid w:val="0BF978D5"/>
    <w:rsid w:val="0BFE313E"/>
    <w:rsid w:val="0C0043CF"/>
    <w:rsid w:val="0C171B6E"/>
    <w:rsid w:val="0C177D5B"/>
    <w:rsid w:val="0C1E733C"/>
    <w:rsid w:val="0C230DF6"/>
    <w:rsid w:val="0C254C4B"/>
    <w:rsid w:val="0C254F7A"/>
    <w:rsid w:val="0C30706F"/>
    <w:rsid w:val="0C3D1EB8"/>
    <w:rsid w:val="0C3F7D74"/>
    <w:rsid w:val="0C4025D2"/>
    <w:rsid w:val="0C4A1EDF"/>
    <w:rsid w:val="0C564D28"/>
    <w:rsid w:val="0C6F5DE9"/>
    <w:rsid w:val="0C6F7B97"/>
    <w:rsid w:val="0C767178"/>
    <w:rsid w:val="0C7E427E"/>
    <w:rsid w:val="0C7E602C"/>
    <w:rsid w:val="0C853B1A"/>
    <w:rsid w:val="0C882A07"/>
    <w:rsid w:val="0C920566"/>
    <w:rsid w:val="0C925AC4"/>
    <w:rsid w:val="0C931AD8"/>
    <w:rsid w:val="0C9A388A"/>
    <w:rsid w:val="0C9B6BDE"/>
    <w:rsid w:val="0CA35D73"/>
    <w:rsid w:val="0CA75583"/>
    <w:rsid w:val="0CAC044E"/>
    <w:rsid w:val="0CAE6912"/>
    <w:rsid w:val="0CB67574"/>
    <w:rsid w:val="0CBC3E25"/>
    <w:rsid w:val="0CC06645"/>
    <w:rsid w:val="0CCF6888"/>
    <w:rsid w:val="0CD520F0"/>
    <w:rsid w:val="0CD8573D"/>
    <w:rsid w:val="0CDA7707"/>
    <w:rsid w:val="0CDB0A03"/>
    <w:rsid w:val="0CDE190C"/>
    <w:rsid w:val="0CDE6ACB"/>
    <w:rsid w:val="0CE00A95"/>
    <w:rsid w:val="0CE560AB"/>
    <w:rsid w:val="0CE5798A"/>
    <w:rsid w:val="0CEA0782"/>
    <w:rsid w:val="0CEE5747"/>
    <w:rsid w:val="0CF167FE"/>
    <w:rsid w:val="0CF462EF"/>
    <w:rsid w:val="0D0201EA"/>
    <w:rsid w:val="0D0332A3"/>
    <w:rsid w:val="0D136775"/>
    <w:rsid w:val="0D270DA4"/>
    <w:rsid w:val="0D505C1B"/>
    <w:rsid w:val="0D5B011C"/>
    <w:rsid w:val="0D5F7C0C"/>
    <w:rsid w:val="0D613984"/>
    <w:rsid w:val="0D6214AA"/>
    <w:rsid w:val="0D696DCC"/>
    <w:rsid w:val="0D6C6406"/>
    <w:rsid w:val="0D6E42F3"/>
    <w:rsid w:val="0D735465"/>
    <w:rsid w:val="0D81478E"/>
    <w:rsid w:val="0D8238FA"/>
    <w:rsid w:val="0D862FC8"/>
    <w:rsid w:val="0D8A2FED"/>
    <w:rsid w:val="0D940C01"/>
    <w:rsid w:val="0D9C2C0E"/>
    <w:rsid w:val="0D9E6986"/>
    <w:rsid w:val="0DA4187D"/>
    <w:rsid w:val="0DAB4CA3"/>
    <w:rsid w:val="0DBB7938"/>
    <w:rsid w:val="0DC24E06"/>
    <w:rsid w:val="0DC83A03"/>
    <w:rsid w:val="0DCA29A0"/>
    <w:rsid w:val="0DCB704F"/>
    <w:rsid w:val="0DD208F0"/>
    <w:rsid w:val="0DD73C46"/>
    <w:rsid w:val="0DD979BE"/>
    <w:rsid w:val="0DDC7AB4"/>
    <w:rsid w:val="0DE73F9D"/>
    <w:rsid w:val="0DE84FF1"/>
    <w:rsid w:val="0DF540CC"/>
    <w:rsid w:val="0E0F33E0"/>
    <w:rsid w:val="0E180AFA"/>
    <w:rsid w:val="0E303356"/>
    <w:rsid w:val="0E3270CE"/>
    <w:rsid w:val="0E3746E5"/>
    <w:rsid w:val="0E434CA2"/>
    <w:rsid w:val="0E4B0190"/>
    <w:rsid w:val="0E5B6625"/>
    <w:rsid w:val="0E5C414B"/>
    <w:rsid w:val="0E603C3C"/>
    <w:rsid w:val="0E71409B"/>
    <w:rsid w:val="0E761F17"/>
    <w:rsid w:val="0E90419B"/>
    <w:rsid w:val="0EAA7A46"/>
    <w:rsid w:val="0EB151DA"/>
    <w:rsid w:val="0EBD5965"/>
    <w:rsid w:val="0EC266A4"/>
    <w:rsid w:val="0EC40B28"/>
    <w:rsid w:val="0ED2440E"/>
    <w:rsid w:val="0EDC27A4"/>
    <w:rsid w:val="0EDE1004"/>
    <w:rsid w:val="0EE06B2A"/>
    <w:rsid w:val="0EE30765"/>
    <w:rsid w:val="0EE875CA"/>
    <w:rsid w:val="0EEF3211"/>
    <w:rsid w:val="0EF3685E"/>
    <w:rsid w:val="0EF425D6"/>
    <w:rsid w:val="0EF600FC"/>
    <w:rsid w:val="0EF65538"/>
    <w:rsid w:val="0EFD3B60"/>
    <w:rsid w:val="0F00541F"/>
    <w:rsid w:val="0F0947E6"/>
    <w:rsid w:val="0F0B71C2"/>
    <w:rsid w:val="0F0B7F8B"/>
    <w:rsid w:val="0F16254C"/>
    <w:rsid w:val="0F2904D1"/>
    <w:rsid w:val="0F2E527C"/>
    <w:rsid w:val="0F36499C"/>
    <w:rsid w:val="0F3A26DF"/>
    <w:rsid w:val="0F3A448D"/>
    <w:rsid w:val="0F3D3AB4"/>
    <w:rsid w:val="0F3F588B"/>
    <w:rsid w:val="0F501F02"/>
    <w:rsid w:val="0F563291"/>
    <w:rsid w:val="0F572B3C"/>
    <w:rsid w:val="0F6058F8"/>
    <w:rsid w:val="0F655282"/>
    <w:rsid w:val="0F6C03BE"/>
    <w:rsid w:val="0F73174D"/>
    <w:rsid w:val="0F775D3E"/>
    <w:rsid w:val="0F7811AE"/>
    <w:rsid w:val="0F851480"/>
    <w:rsid w:val="0F865924"/>
    <w:rsid w:val="0F890F70"/>
    <w:rsid w:val="0F8B17F6"/>
    <w:rsid w:val="0F9C6EF5"/>
    <w:rsid w:val="0FA270B4"/>
    <w:rsid w:val="0FAB006A"/>
    <w:rsid w:val="0FB10A42"/>
    <w:rsid w:val="0FB26719"/>
    <w:rsid w:val="0FB56209"/>
    <w:rsid w:val="0FC401FA"/>
    <w:rsid w:val="0FD146C5"/>
    <w:rsid w:val="0FD348E1"/>
    <w:rsid w:val="0FDA17CC"/>
    <w:rsid w:val="0FE53F92"/>
    <w:rsid w:val="0FE90290"/>
    <w:rsid w:val="0FFC7697"/>
    <w:rsid w:val="100F5919"/>
    <w:rsid w:val="101822F4"/>
    <w:rsid w:val="101E7BF6"/>
    <w:rsid w:val="10246EEB"/>
    <w:rsid w:val="10362DC0"/>
    <w:rsid w:val="103750DB"/>
    <w:rsid w:val="103A6D61"/>
    <w:rsid w:val="105C0433"/>
    <w:rsid w:val="105C48D7"/>
    <w:rsid w:val="105F6519"/>
    <w:rsid w:val="106043C7"/>
    <w:rsid w:val="106612B1"/>
    <w:rsid w:val="107069BA"/>
    <w:rsid w:val="10762B40"/>
    <w:rsid w:val="10831E63"/>
    <w:rsid w:val="10977032"/>
    <w:rsid w:val="1099323E"/>
    <w:rsid w:val="109B53FF"/>
    <w:rsid w:val="10A337BD"/>
    <w:rsid w:val="10A81917"/>
    <w:rsid w:val="10AA3894"/>
    <w:rsid w:val="10BB15FD"/>
    <w:rsid w:val="10C8771B"/>
    <w:rsid w:val="10D91A83"/>
    <w:rsid w:val="10E16B8A"/>
    <w:rsid w:val="10E24641"/>
    <w:rsid w:val="10E8616A"/>
    <w:rsid w:val="10ED3781"/>
    <w:rsid w:val="10F770B9"/>
    <w:rsid w:val="10F828C6"/>
    <w:rsid w:val="10F9096F"/>
    <w:rsid w:val="1102547E"/>
    <w:rsid w:val="11045D53"/>
    <w:rsid w:val="11045EE1"/>
    <w:rsid w:val="110725CC"/>
    <w:rsid w:val="110C12EC"/>
    <w:rsid w:val="11146F5F"/>
    <w:rsid w:val="11275806"/>
    <w:rsid w:val="11360C84"/>
    <w:rsid w:val="11366ED6"/>
    <w:rsid w:val="1152799A"/>
    <w:rsid w:val="11553800"/>
    <w:rsid w:val="115820C3"/>
    <w:rsid w:val="116339D1"/>
    <w:rsid w:val="11660A66"/>
    <w:rsid w:val="116972AB"/>
    <w:rsid w:val="116C28F7"/>
    <w:rsid w:val="116C6D9B"/>
    <w:rsid w:val="116E041E"/>
    <w:rsid w:val="1170063A"/>
    <w:rsid w:val="117F6ACF"/>
    <w:rsid w:val="11910B2A"/>
    <w:rsid w:val="1193257A"/>
    <w:rsid w:val="11991213"/>
    <w:rsid w:val="119C142F"/>
    <w:rsid w:val="119D4F21"/>
    <w:rsid w:val="11A93B4C"/>
    <w:rsid w:val="11B22984"/>
    <w:rsid w:val="11B34C8E"/>
    <w:rsid w:val="11B60016"/>
    <w:rsid w:val="11BB27B8"/>
    <w:rsid w:val="11BD1BAD"/>
    <w:rsid w:val="11C22644"/>
    <w:rsid w:val="11C664AC"/>
    <w:rsid w:val="11C90F52"/>
    <w:rsid w:val="11C95F9C"/>
    <w:rsid w:val="11CC15E8"/>
    <w:rsid w:val="11D53180"/>
    <w:rsid w:val="11DB182B"/>
    <w:rsid w:val="11E93F48"/>
    <w:rsid w:val="11EA5F58"/>
    <w:rsid w:val="11EC57E6"/>
    <w:rsid w:val="11F72B09"/>
    <w:rsid w:val="11F84BB9"/>
    <w:rsid w:val="12086AC4"/>
    <w:rsid w:val="120945EA"/>
    <w:rsid w:val="12144AEB"/>
    <w:rsid w:val="1215131A"/>
    <w:rsid w:val="121B783C"/>
    <w:rsid w:val="12244F80"/>
    <w:rsid w:val="12266F4A"/>
    <w:rsid w:val="122D2087"/>
    <w:rsid w:val="122E4051"/>
    <w:rsid w:val="122F22A3"/>
    <w:rsid w:val="123478B9"/>
    <w:rsid w:val="12413D84"/>
    <w:rsid w:val="124473D0"/>
    <w:rsid w:val="1246013E"/>
    <w:rsid w:val="124949E7"/>
    <w:rsid w:val="124F64A1"/>
    <w:rsid w:val="125A4E46"/>
    <w:rsid w:val="125E4936"/>
    <w:rsid w:val="126F08F1"/>
    <w:rsid w:val="12745F08"/>
    <w:rsid w:val="127A7296"/>
    <w:rsid w:val="1292638E"/>
    <w:rsid w:val="12A01767"/>
    <w:rsid w:val="12A41E2E"/>
    <w:rsid w:val="12AA36D7"/>
    <w:rsid w:val="12B4722C"/>
    <w:rsid w:val="12C5502F"/>
    <w:rsid w:val="12C66037"/>
    <w:rsid w:val="12CE0BB5"/>
    <w:rsid w:val="12D15108"/>
    <w:rsid w:val="12D40754"/>
    <w:rsid w:val="12D47F8E"/>
    <w:rsid w:val="12EF1689"/>
    <w:rsid w:val="12F232D0"/>
    <w:rsid w:val="12F27A84"/>
    <w:rsid w:val="130A1D43"/>
    <w:rsid w:val="13113756"/>
    <w:rsid w:val="1311486C"/>
    <w:rsid w:val="13134ACB"/>
    <w:rsid w:val="13257202"/>
    <w:rsid w:val="133308DE"/>
    <w:rsid w:val="13367661"/>
    <w:rsid w:val="13390EFF"/>
    <w:rsid w:val="133B6A25"/>
    <w:rsid w:val="133D279D"/>
    <w:rsid w:val="133E63BF"/>
    <w:rsid w:val="134358DA"/>
    <w:rsid w:val="13482EF0"/>
    <w:rsid w:val="134A4EBA"/>
    <w:rsid w:val="135E5661"/>
    <w:rsid w:val="13620456"/>
    <w:rsid w:val="13737F6D"/>
    <w:rsid w:val="137912FC"/>
    <w:rsid w:val="137B5074"/>
    <w:rsid w:val="137F2DB6"/>
    <w:rsid w:val="13853604"/>
    <w:rsid w:val="138959E3"/>
    <w:rsid w:val="138F28CD"/>
    <w:rsid w:val="13954387"/>
    <w:rsid w:val="139F4E30"/>
    <w:rsid w:val="139F5206"/>
    <w:rsid w:val="13A04ADA"/>
    <w:rsid w:val="13A10F7E"/>
    <w:rsid w:val="13A3232F"/>
    <w:rsid w:val="13AC7923"/>
    <w:rsid w:val="13B10A95"/>
    <w:rsid w:val="13BA3DEE"/>
    <w:rsid w:val="13CC54B9"/>
    <w:rsid w:val="13DB5B12"/>
    <w:rsid w:val="13E96481"/>
    <w:rsid w:val="140275A9"/>
    <w:rsid w:val="140C346E"/>
    <w:rsid w:val="140C37B9"/>
    <w:rsid w:val="14157276"/>
    <w:rsid w:val="14182A2A"/>
    <w:rsid w:val="141F1EA3"/>
    <w:rsid w:val="142432AD"/>
    <w:rsid w:val="142E6F34"/>
    <w:rsid w:val="143F0797"/>
    <w:rsid w:val="143F0CC5"/>
    <w:rsid w:val="143F60A1"/>
    <w:rsid w:val="145558C5"/>
    <w:rsid w:val="145C4EA5"/>
    <w:rsid w:val="145E6E6F"/>
    <w:rsid w:val="145F04F1"/>
    <w:rsid w:val="14681A9C"/>
    <w:rsid w:val="14687A87"/>
    <w:rsid w:val="146D2C0E"/>
    <w:rsid w:val="147F0B94"/>
    <w:rsid w:val="148461AA"/>
    <w:rsid w:val="14897C91"/>
    <w:rsid w:val="148A2C9A"/>
    <w:rsid w:val="14A16D5C"/>
    <w:rsid w:val="14AB450A"/>
    <w:rsid w:val="14B1053D"/>
    <w:rsid w:val="14B37C3C"/>
    <w:rsid w:val="14BC1DE8"/>
    <w:rsid w:val="14BC5944"/>
    <w:rsid w:val="14BF2D3F"/>
    <w:rsid w:val="14D25167"/>
    <w:rsid w:val="14D7452C"/>
    <w:rsid w:val="14E530ED"/>
    <w:rsid w:val="14ED5843"/>
    <w:rsid w:val="14F25809"/>
    <w:rsid w:val="15015A4D"/>
    <w:rsid w:val="15032920"/>
    <w:rsid w:val="15051099"/>
    <w:rsid w:val="150F40A9"/>
    <w:rsid w:val="151439D2"/>
    <w:rsid w:val="151A411A"/>
    <w:rsid w:val="151B65FC"/>
    <w:rsid w:val="152A4FA3"/>
    <w:rsid w:val="153328BD"/>
    <w:rsid w:val="15347BD0"/>
    <w:rsid w:val="15386EA9"/>
    <w:rsid w:val="153E5E21"/>
    <w:rsid w:val="153F568C"/>
    <w:rsid w:val="154871D8"/>
    <w:rsid w:val="15542020"/>
    <w:rsid w:val="15545B7C"/>
    <w:rsid w:val="15712BD2"/>
    <w:rsid w:val="157E5BC8"/>
    <w:rsid w:val="158703BA"/>
    <w:rsid w:val="158741A4"/>
    <w:rsid w:val="15894CE1"/>
    <w:rsid w:val="158E5532"/>
    <w:rsid w:val="158F3058"/>
    <w:rsid w:val="159874B9"/>
    <w:rsid w:val="159A3ED7"/>
    <w:rsid w:val="159D39C7"/>
    <w:rsid w:val="159E5049"/>
    <w:rsid w:val="15A22D8C"/>
    <w:rsid w:val="15AB6F48"/>
    <w:rsid w:val="15AF54A9"/>
    <w:rsid w:val="15B14D7D"/>
    <w:rsid w:val="15BB713F"/>
    <w:rsid w:val="15BD5E17"/>
    <w:rsid w:val="15C9656A"/>
    <w:rsid w:val="15CF16A7"/>
    <w:rsid w:val="15D54F0F"/>
    <w:rsid w:val="15D55DE5"/>
    <w:rsid w:val="15DA3CC3"/>
    <w:rsid w:val="15EB4733"/>
    <w:rsid w:val="15EC4007"/>
    <w:rsid w:val="15ED707B"/>
    <w:rsid w:val="15FC518A"/>
    <w:rsid w:val="15FD53D8"/>
    <w:rsid w:val="16041350"/>
    <w:rsid w:val="161A0B74"/>
    <w:rsid w:val="16296B24"/>
    <w:rsid w:val="162B0FD3"/>
    <w:rsid w:val="16301EEC"/>
    <w:rsid w:val="16314110"/>
    <w:rsid w:val="16372A44"/>
    <w:rsid w:val="1638724C"/>
    <w:rsid w:val="163C4C29"/>
    <w:rsid w:val="16465E0D"/>
    <w:rsid w:val="164E6A70"/>
    <w:rsid w:val="165764A9"/>
    <w:rsid w:val="165A3F0C"/>
    <w:rsid w:val="165D428C"/>
    <w:rsid w:val="165F0C7D"/>
    <w:rsid w:val="166718DF"/>
    <w:rsid w:val="167D1103"/>
    <w:rsid w:val="16827510"/>
    <w:rsid w:val="16866209"/>
    <w:rsid w:val="16900E36"/>
    <w:rsid w:val="16931292"/>
    <w:rsid w:val="169721C5"/>
    <w:rsid w:val="169A1CB5"/>
    <w:rsid w:val="169C0F78"/>
    <w:rsid w:val="169F551D"/>
    <w:rsid w:val="16A82624"/>
    <w:rsid w:val="16B03286"/>
    <w:rsid w:val="16B0772A"/>
    <w:rsid w:val="16B40FC8"/>
    <w:rsid w:val="16BB3429"/>
    <w:rsid w:val="16BF34C9"/>
    <w:rsid w:val="16C86822"/>
    <w:rsid w:val="16C94348"/>
    <w:rsid w:val="16C9448E"/>
    <w:rsid w:val="16CD5BE6"/>
    <w:rsid w:val="16D725CF"/>
    <w:rsid w:val="16D76A65"/>
    <w:rsid w:val="16DE1BA1"/>
    <w:rsid w:val="16E573D4"/>
    <w:rsid w:val="16EF70D4"/>
    <w:rsid w:val="16F13FCB"/>
    <w:rsid w:val="16F97785"/>
    <w:rsid w:val="16FE0496"/>
    <w:rsid w:val="16FF09D2"/>
    <w:rsid w:val="1700420E"/>
    <w:rsid w:val="1703785A"/>
    <w:rsid w:val="170B4961"/>
    <w:rsid w:val="170B670F"/>
    <w:rsid w:val="170D5CC4"/>
    <w:rsid w:val="171E28E6"/>
    <w:rsid w:val="17215F32"/>
    <w:rsid w:val="172872C1"/>
    <w:rsid w:val="172A3039"/>
    <w:rsid w:val="172D2B29"/>
    <w:rsid w:val="17465999"/>
    <w:rsid w:val="17555BDC"/>
    <w:rsid w:val="17577BA6"/>
    <w:rsid w:val="175A569D"/>
    <w:rsid w:val="175E0F34"/>
    <w:rsid w:val="177C42CE"/>
    <w:rsid w:val="178070FD"/>
    <w:rsid w:val="17836BED"/>
    <w:rsid w:val="1787048B"/>
    <w:rsid w:val="178F10EE"/>
    <w:rsid w:val="17956A47"/>
    <w:rsid w:val="17A0154D"/>
    <w:rsid w:val="17A6276A"/>
    <w:rsid w:val="17B0031C"/>
    <w:rsid w:val="17B40B54"/>
    <w:rsid w:val="17B53A0E"/>
    <w:rsid w:val="17B62B1E"/>
    <w:rsid w:val="17B84AE8"/>
    <w:rsid w:val="17BB1EE3"/>
    <w:rsid w:val="17C27715"/>
    <w:rsid w:val="17C52AFB"/>
    <w:rsid w:val="17C76AD9"/>
    <w:rsid w:val="17C87E22"/>
    <w:rsid w:val="17CC0594"/>
    <w:rsid w:val="17CE7E68"/>
    <w:rsid w:val="17D411F6"/>
    <w:rsid w:val="17E256C1"/>
    <w:rsid w:val="17E7717C"/>
    <w:rsid w:val="17EC02EE"/>
    <w:rsid w:val="17FB2C27"/>
    <w:rsid w:val="180970F2"/>
    <w:rsid w:val="181141F9"/>
    <w:rsid w:val="18185587"/>
    <w:rsid w:val="18226406"/>
    <w:rsid w:val="1822771A"/>
    <w:rsid w:val="18267CA4"/>
    <w:rsid w:val="183323C1"/>
    <w:rsid w:val="1845140F"/>
    <w:rsid w:val="184F5194"/>
    <w:rsid w:val="18624A54"/>
    <w:rsid w:val="1862727E"/>
    <w:rsid w:val="18647C7D"/>
    <w:rsid w:val="186E164B"/>
    <w:rsid w:val="18784278"/>
    <w:rsid w:val="187A7FF0"/>
    <w:rsid w:val="187C5B16"/>
    <w:rsid w:val="18866D07"/>
    <w:rsid w:val="188B7B07"/>
    <w:rsid w:val="18930AC2"/>
    <w:rsid w:val="18952734"/>
    <w:rsid w:val="189F35B2"/>
    <w:rsid w:val="18A16A6C"/>
    <w:rsid w:val="18B232E6"/>
    <w:rsid w:val="18B31317"/>
    <w:rsid w:val="18D05E62"/>
    <w:rsid w:val="18D07C10"/>
    <w:rsid w:val="18D33CA4"/>
    <w:rsid w:val="18E5190D"/>
    <w:rsid w:val="18E611E1"/>
    <w:rsid w:val="18ED431E"/>
    <w:rsid w:val="18EE0096"/>
    <w:rsid w:val="18F267C3"/>
    <w:rsid w:val="18F71640"/>
    <w:rsid w:val="19000E9A"/>
    <w:rsid w:val="190F0738"/>
    <w:rsid w:val="19121FD6"/>
    <w:rsid w:val="19173A91"/>
    <w:rsid w:val="191B532F"/>
    <w:rsid w:val="192166BD"/>
    <w:rsid w:val="192E3215"/>
    <w:rsid w:val="193208CA"/>
    <w:rsid w:val="1934019F"/>
    <w:rsid w:val="19362169"/>
    <w:rsid w:val="193A067F"/>
    <w:rsid w:val="193C52A5"/>
    <w:rsid w:val="193F3921"/>
    <w:rsid w:val="19445F08"/>
    <w:rsid w:val="19526877"/>
    <w:rsid w:val="19532FE4"/>
    <w:rsid w:val="195C14A3"/>
    <w:rsid w:val="196A3BC0"/>
    <w:rsid w:val="196B6713"/>
    <w:rsid w:val="196C5B8A"/>
    <w:rsid w:val="197B7B7C"/>
    <w:rsid w:val="19831DCC"/>
    <w:rsid w:val="198A065A"/>
    <w:rsid w:val="199944A6"/>
    <w:rsid w:val="199A427B"/>
    <w:rsid w:val="19A277FE"/>
    <w:rsid w:val="19A364CF"/>
    <w:rsid w:val="19AD7F51"/>
    <w:rsid w:val="19B4308D"/>
    <w:rsid w:val="19C12E1A"/>
    <w:rsid w:val="19C31523"/>
    <w:rsid w:val="19C33487"/>
    <w:rsid w:val="19D76D7C"/>
    <w:rsid w:val="19D83220"/>
    <w:rsid w:val="19DA2BE1"/>
    <w:rsid w:val="19E05346"/>
    <w:rsid w:val="19E613F2"/>
    <w:rsid w:val="19E9095D"/>
    <w:rsid w:val="19EA6AAF"/>
    <w:rsid w:val="1A02204B"/>
    <w:rsid w:val="1A041DA9"/>
    <w:rsid w:val="1A0C111B"/>
    <w:rsid w:val="1A0E6C42"/>
    <w:rsid w:val="1A1136AE"/>
    <w:rsid w:val="1A116732"/>
    <w:rsid w:val="1A1520AE"/>
    <w:rsid w:val="1A1911FD"/>
    <w:rsid w:val="1A1C14C0"/>
    <w:rsid w:val="1A2024D1"/>
    <w:rsid w:val="1A275223"/>
    <w:rsid w:val="1A336C1E"/>
    <w:rsid w:val="1A367F46"/>
    <w:rsid w:val="1A3F504D"/>
    <w:rsid w:val="1A4268EB"/>
    <w:rsid w:val="1A43382E"/>
    <w:rsid w:val="1A495ECC"/>
    <w:rsid w:val="1A4E5A90"/>
    <w:rsid w:val="1A570B02"/>
    <w:rsid w:val="1A5C123E"/>
    <w:rsid w:val="1A6D284D"/>
    <w:rsid w:val="1A6E148E"/>
    <w:rsid w:val="1A736AA5"/>
    <w:rsid w:val="1A766595"/>
    <w:rsid w:val="1A782418"/>
    <w:rsid w:val="1A8011C2"/>
    <w:rsid w:val="1A8667BD"/>
    <w:rsid w:val="1A8769F4"/>
    <w:rsid w:val="1A956CF1"/>
    <w:rsid w:val="1A98650B"/>
    <w:rsid w:val="1A9A2283"/>
    <w:rsid w:val="1A9E31DD"/>
    <w:rsid w:val="1A9E44A3"/>
    <w:rsid w:val="1AA141FF"/>
    <w:rsid w:val="1AA17AB6"/>
    <w:rsid w:val="1AA42D85"/>
    <w:rsid w:val="1AAB623F"/>
    <w:rsid w:val="1AAE7B07"/>
    <w:rsid w:val="1AB8583A"/>
    <w:rsid w:val="1ABC669E"/>
    <w:rsid w:val="1AC436A6"/>
    <w:rsid w:val="1AD11A1D"/>
    <w:rsid w:val="1AD3193F"/>
    <w:rsid w:val="1AD339E7"/>
    <w:rsid w:val="1AD627EF"/>
    <w:rsid w:val="1ADC289C"/>
    <w:rsid w:val="1ADE4866"/>
    <w:rsid w:val="1AE479A2"/>
    <w:rsid w:val="1AEB0D31"/>
    <w:rsid w:val="1AF5570C"/>
    <w:rsid w:val="1AF63684"/>
    <w:rsid w:val="1AFA6A9C"/>
    <w:rsid w:val="1AFD2812"/>
    <w:rsid w:val="1B0818E3"/>
    <w:rsid w:val="1B083691"/>
    <w:rsid w:val="1B0B3181"/>
    <w:rsid w:val="1B131612"/>
    <w:rsid w:val="1B340DA3"/>
    <w:rsid w:val="1B455F02"/>
    <w:rsid w:val="1B46065D"/>
    <w:rsid w:val="1B522B5E"/>
    <w:rsid w:val="1B55264E"/>
    <w:rsid w:val="1B5B5EB7"/>
    <w:rsid w:val="1B5C1C2F"/>
    <w:rsid w:val="1B60171F"/>
    <w:rsid w:val="1B650AE3"/>
    <w:rsid w:val="1B66485B"/>
    <w:rsid w:val="1B707488"/>
    <w:rsid w:val="1B746F78"/>
    <w:rsid w:val="1B7A0AA9"/>
    <w:rsid w:val="1B7B1DBB"/>
    <w:rsid w:val="1B7F5E71"/>
    <w:rsid w:val="1B8F4A8D"/>
    <w:rsid w:val="1B901651"/>
    <w:rsid w:val="1B9C027D"/>
    <w:rsid w:val="1BAA299A"/>
    <w:rsid w:val="1BAD2058"/>
    <w:rsid w:val="1BB3704B"/>
    <w:rsid w:val="1BB65A6F"/>
    <w:rsid w:val="1BC51582"/>
    <w:rsid w:val="1BE83F4F"/>
    <w:rsid w:val="1BF30CD3"/>
    <w:rsid w:val="1BF81957"/>
    <w:rsid w:val="1BFB31F6"/>
    <w:rsid w:val="1BFF71F2"/>
    <w:rsid w:val="1C00080C"/>
    <w:rsid w:val="1C0302FC"/>
    <w:rsid w:val="1C0320AA"/>
    <w:rsid w:val="1C0876C1"/>
    <w:rsid w:val="1C142509"/>
    <w:rsid w:val="1C146065"/>
    <w:rsid w:val="1C1D2128"/>
    <w:rsid w:val="1C1F6B10"/>
    <w:rsid w:val="1C2344FA"/>
    <w:rsid w:val="1C286643"/>
    <w:rsid w:val="1C36422E"/>
    <w:rsid w:val="1C381D54"/>
    <w:rsid w:val="1C4032FE"/>
    <w:rsid w:val="1C597F1C"/>
    <w:rsid w:val="1C5A616E"/>
    <w:rsid w:val="1C5C1B50"/>
    <w:rsid w:val="1C6F7740"/>
    <w:rsid w:val="1C705992"/>
    <w:rsid w:val="1C7A05BE"/>
    <w:rsid w:val="1C7B644A"/>
    <w:rsid w:val="1C7F10E3"/>
    <w:rsid w:val="1C837694"/>
    <w:rsid w:val="1C856F63"/>
    <w:rsid w:val="1C8D4427"/>
    <w:rsid w:val="1C8E406A"/>
    <w:rsid w:val="1C986C96"/>
    <w:rsid w:val="1C9F39A1"/>
    <w:rsid w:val="1C9F475A"/>
    <w:rsid w:val="1CA94A00"/>
    <w:rsid w:val="1CAC44F0"/>
    <w:rsid w:val="1CAF3521"/>
    <w:rsid w:val="1CC25AC1"/>
    <w:rsid w:val="1CD25DDB"/>
    <w:rsid w:val="1CDD0B4D"/>
    <w:rsid w:val="1CE974F2"/>
    <w:rsid w:val="1CF2284B"/>
    <w:rsid w:val="1D061B33"/>
    <w:rsid w:val="1D0924B1"/>
    <w:rsid w:val="1D104E5D"/>
    <w:rsid w:val="1D1641DF"/>
    <w:rsid w:val="1D291FE4"/>
    <w:rsid w:val="1D293D92"/>
    <w:rsid w:val="1D305121"/>
    <w:rsid w:val="1D37200B"/>
    <w:rsid w:val="1D3A5FA0"/>
    <w:rsid w:val="1D4110DC"/>
    <w:rsid w:val="1D434E54"/>
    <w:rsid w:val="1D444728"/>
    <w:rsid w:val="1D4A5B59"/>
    <w:rsid w:val="1D50131F"/>
    <w:rsid w:val="1D61177E"/>
    <w:rsid w:val="1D7023BC"/>
    <w:rsid w:val="1D756FD8"/>
    <w:rsid w:val="1D79711E"/>
    <w:rsid w:val="1D845CE8"/>
    <w:rsid w:val="1D89551A"/>
    <w:rsid w:val="1D8B67FB"/>
    <w:rsid w:val="1D8D3444"/>
    <w:rsid w:val="1DA23326"/>
    <w:rsid w:val="1DA24769"/>
    <w:rsid w:val="1DAB37E2"/>
    <w:rsid w:val="1DBB1717"/>
    <w:rsid w:val="1DC85359"/>
    <w:rsid w:val="1DCB2F5B"/>
    <w:rsid w:val="1DDE4B7D"/>
    <w:rsid w:val="1DE06B47"/>
    <w:rsid w:val="1DF919B7"/>
    <w:rsid w:val="1E004AF3"/>
    <w:rsid w:val="1E0068A1"/>
    <w:rsid w:val="1E0565AE"/>
    <w:rsid w:val="1E1124CF"/>
    <w:rsid w:val="1E197963"/>
    <w:rsid w:val="1E1C5753"/>
    <w:rsid w:val="1E1E31CB"/>
    <w:rsid w:val="1E200CF1"/>
    <w:rsid w:val="1E221057"/>
    <w:rsid w:val="1E23318F"/>
    <w:rsid w:val="1E2C58E8"/>
    <w:rsid w:val="1E334EC9"/>
    <w:rsid w:val="1E3F1E9B"/>
    <w:rsid w:val="1E450758"/>
    <w:rsid w:val="1E4F15D7"/>
    <w:rsid w:val="1E5D5BA1"/>
    <w:rsid w:val="1E606CD7"/>
    <w:rsid w:val="1E635A1F"/>
    <w:rsid w:val="1E6C2189"/>
    <w:rsid w:val="1E6E5F01"/>
    <w:rsid w:val="1E731769"/>
    <w:rsid w:val="1E783EF3"/>
    <w:rsid w:val="1E7B1B91"/>
    <w:rsid w:val="1E8219AC"/>
    <w:rsid w:val="1E82375A"/>
    <w:rsid w:val="1E845CFB"/>
    <w:rsid w:val="1E847375"/>
    <w:rsid w:val="1E8528CF"/>
    <w:rsid w:val="1E8A0861"/>
    <w:rsid w:val="1E8F0415"/>
    <w:rsid w:val="1E903CEC"/>
    <w:rsid w:val="1E91399D"/>
    <w:rsid w:val="1EAA2CB1"/>
    <w:rsid w:val="1EAF2075"/>
    <w:rsid w:val="1EB8717C"/>
    <w:rsid w:val="1EB93895"/>
    <w:rsid w:val="1EBF49AE"/>
    <w:rsid w:val="1EC93137"/>
    <w:rsid w:val="1ECB5101"/>
    <w:rsid w:val="1ECC0E79"/>
    <w:rsid w:val="1ECE699F"/>
    <w:rsid w:val="1ECE79DD"/>
    <w:rsid w:val="1ED20A4F"/>
    <w:rsid w:val="1ED55F80"/>
    <w:rsid w:val="1EDE08FF"/>
    <w:rsid w:val="1EE77A61"/>
    <w:rsid w:val="1EFD2393"/>
    <w:rsid w:val="1F110314"/>
    <w:rsid w:val="1F1620F4"/>
    <w:rsid w:val="1F1D3483"/>
    <w:rsid w:val="1F2C36C6"/>
    <w:rsid w:val="1F2D7B6A"/>
    <w:rsid w:val="1F3360E0"/>
    <w:rsid w:val="1F38206B"/>
    <w:rsid w:val="1F394761"/>
    <w:rsid w:val="1F443106"/>
    <w:rsid w:val="1F464788"/>
    <w:rsid w:val="1F4B7FF0"/>
    <w:rsid w:val="1F5570C1"/>
    <w:rsid w:val="1F5C21FD"/>
    <w:rsid w:val="1F6F3700"/>
    <w:rsid w:val="1F7076AA"/>
    <w:rsid w:val="1F707A57"/>
    <w:rsid w:val="1F751511"/>
    <w:rsid w:val="1F78274B"/>
    <w:rsid w:val="1F7A08D5"/>
    <w:rsid w:val="1F937D4E"/>
    <w:rsid w:val="1F9F3F6D"/>
    <w:rsid w:val="1FA94D17"/>
    <w:rsid w:val="1FAE057F"/>
    <w:rsid w:val="1FB6085B"/>
    <w:rsid w:val="1FB65DB1"/>
    <w:rsid w:val="1FC72E8E"/>
    <w:rsid w:val="1FD03E69"/>
    <w:rsid w:val="1FD06EA3"/>
    <w:rsid w:val="1FE04BDC"/>
    <w:rsid w:val="1FE16BA6"/>
    <w:rsid w:val="1FEE56C8"/>
    <w:rsid w:val="1FF74D8F"/>
    <w:rsid w:val="20036B1D"/>
    <w:rsid w:val="200563F1"/>
    <w:rsid w:val="2011123A"/>
    <w:rsid w:val="20142AD8"/>
    <w:rsid w:val="20196340"/>
    <w:rsid w:val="201D63C9"/>
    <w:rsid w:val="201E74B3"/>
    <w:rsid w:val="20210D51"/>
    <w:rsid w:val="202B7E95"/>
    <w:rsid w:val="202F346E"/>
    <w:rsid w:val="20427F48"/>
    <w:rsid w:val="2043516B"/>
    <w:rsid w:val="204F1D62"/>
    <w:rsid w:val="204F50E3"/>
    <w:rsid w:val="20586E69"/>
    <w:rsid w:val="205B4263"/>
    <w:rsid w:val="20740615"/>
    <w:rsid w:val="207B4B49"/>
    <w:rsid w:val="20983709"/>
    <w:rsid w:val="209E23A2"/>
    <w:rsid w:val="20A53730"/>
    <w:rsid w:val="20AA51EA"/>
    <w:rsid w:val="20AB775B"/>
    <w:rsid w:val="20B028B9"/>
    <w:rsid w:val="20B82C45"/>
    <w:rsid w:val="20B83463"/>
    <w:rsid w:val="20B83D89"/>
    <w:rsid w:val="20BE38C9"/>
    <w:rsid w:val="20C53DD2"/>
    <w:rsid w:val="20CC30EE"/>
    <w:rsid w:val="20CE712B"/>
    <w:rsid w:val="20CF69FF"/>
    <w:rsid w:val="20D47DCE"/>
    <w:rsid w:val="20D51E07"/>
    <w:rsid w:val="20D9164A"/>
    <w:rsid w:val="20DA5073"/>
    <w:rsid w:val="20DD55C0"/>
    <w:rsid w:val="20E22BD6"/>
    <w:rsid w:val="20EF3A5F"/>
    <w:rsid w:val="20F473E1"/>
    <w:rsid w:val="20FA05C4"/>
    <w:rsid w:val="20FA0A99"/>
    <w:rsid w:val="20FC3C98"/>
    <w:rsid w:val="2107361C"/>
    <w:rsid w:val="210E6EDF"/>
    <w:rsid w:val="210E7F88"/>
    <w:rsid w:val="21156B08"/>
    <w:rsid w:val="21241E16"/>
    <w:rsid w:val="212925B3"/>
    <w:rsid w:val="212A1E87"/>
    <w:rsid w:val="212E1977"/>
    <w:rsid w:val="213608D5"/>
    <w:rsid w:val="213673FE"/>
    <w:rsid w:val="21464F13"/>
    <w:rsid w:val="21482894"/>
    <w:rsid w:val="215B0293"/>
    <w:rsid w:val="21676E41"/>
    <w:rsid w:val="21747CD2"/>
    <w:rsid w:val="217537B9"/>
    <w:rsid w:val="217E5989"/>
    <w:rsid w:val="21837F15"/>
    <w:rsid w:val="2190618E"/>
    <w:rsid w:val="219E4D4F"/>
    <w:rsid w:val="219F2875"/>
    <w:rsid w:val="21A13B19"/>
    <w:rsid w:val="21AA3056"/>
    <w:rsid w:val="21AF0D0A"/>
    <w:rsid w:val="21B52099"/>
    <w:rsid w:val="21B7196D"/>
    <w:rsid w:val="21C422DC"/>
    <w:rsid w:val="21C916A0"/>
    <w:rsid w:val="21CC6CC6"/>
    <w:rsid w:val="21D0786F"/>
    <w:rsid w:val="21D20555"/>
    <w:rsid w:val="21EC1864"/>
    <w:rsid w:val="21ED1832"/>
    <w:rsid w:val="21F42BC1"/>
    <w:rsid w:val="21F726B1"/>
    <w:rsid w:val="21F901D7"/>
    <w:rsid w:val="21FC1A76"/>
    <w:rsid w:val="21FF50C2"/>
    <w:rsid w:val="220041D9"/>
    <w:rsid w:val="220A23E4"/>
    <w:rsid w:val="220B3CA8"/>
    <w:rsid w:val="22123047"/>
    <w:rsid w:val="2217240B"/>
    <w:rsid w:val="22192627"/>
    <w:rsid w:val="222004BD"/>
    <w:rsid w:val="222C68BF"/>
    <w:rsid w:val="222D1C2F"/>
    <w:rsid w:val="22361059"/>
    <w:rsid w:val="2238523E"/>
    <w:rsid w:val="223B259E"/>
    <w:rsid w:val="223E3E3C"/>
    <w:rsid w:val="22431452"/>
    <w:rsid w:val="22435553"/>
    <w:rsid w:val="224B0307"/>
    <w:rsid w:val="224B5175"/>
    <w:rsid w:val="22603DB2"/>
    <w:rsid w:val="2265761B"/>
    <w:rsid w:val="2268110B"/>
    <w:rsid w:val="227D2BB6"/>
    <w:rsid w:val="22A53EBB"/>
    <w:rsid w:val="22B83BEE"/>
    <w:rsid w:val="22B96452"/>
    <w:rsid w:val="22BF31CF"/>
    <w:rsid w:val="22CC769A"/>
    <w:rsid w:val="22D12F02"/>
    <w:rsid w:val="22DD18A7"/>
    <w:rsid w:val="22E542B8"/>
    <w:rsid w:val="22EC725D"/>
    <w:rsid w:val="22EF3388"/>
    <w:rsid w:val="22F56BF1"/>
    <w:rsid w:val="22FB3ADB"/>
    <w:rsid w:val="230230BC"/>
    <w:rsid w:val="230633CA"/>
    <w:rsid w:val="230C7A96"/>
    <w:rsid w:val="230E236D"/>
    <w:rsid w:val="230F0CBA"/>
    <w:rsid w:val="2318468D"/>
    <w:rsid w:val="231A4A0C"/>
    <w:rsid w:val="231D7E1D"/>
    <w:rsid w:val="2331574F"/>
    <w:rsid w:val="23333275"/>
    <w:rsid w:val="23377209"/>
    <w:rsid w:val="23492CC6"/>
    <w:rsid w:val="23494ECF"/>
    <w:rsid w:val="234A05BF"/>
    <w:rsid w:val="234C4318"/>
    <w:rsid w:val="234E4979"/>
    <w:rsid w:val="234F4ED7"/>
    <w:rsid w:val="234F5625"/>
    <w:rsid w:val="23542AC1"/>
    <w:rsid w:val="236203FB"/>
    <w:rsid w:val="23645B24"/>
    <w:rsid w:val="2369138D"/>
    <w:rsid w:val="237613B4"/>
    <w:rsid w:val="238910E7"/>
    <w:rsid w:val="238B30B1"/>
    <w:rsid w:val="2393500F"/>
    <w:rsid w:val="239A1546"/>
    <w:rsid w:val="23AF7BA4"/>
    <w:rsid w:val="23B87C1E"/>
    <w:rsid w:val="23BA1BE8"/>
    <w:rsid w:val="23BC0464"/>
    <w:rsid w:val="23C73455"/>
    <w:rsid w:val="23C860B3"/>
    <w:rsid w:val="23D039F6"/>
    <w:rsid w:val="23D20CE0"/>
    <w:rsid w:val="23D22A8E"/>
    <w:rsid w:val="23D5432C"/>
    <w:rsid w:val="23DB4530"/>
    <w:rsid w:val="23EA427B"/>
    <w:rsid w:val="23EB3B50"/>
    <w:rsid w:val="23EB7FF4"/>
    <w:rsid w:val="23F43032"/>
    <w:rsid w:val="23FA133C"/>
    <w:rsid w:val="240B5FA0"/>
    <w:rsid w:val="24100849"/>
    <w:rsid w:val="24116CB2"/>
    <w:rsid w:val="24122984"/>
    <w:rsid w:val="241E3F25"/>
    <w:rsid w:val="242A1C80"/>
    <w:rsid w:val="242F6132"/>
    <w:rsid w:val="243B6690"/>
    <w:rsid w:val="24461D0B"/>
    <w:rsid w:val="244F40DF"/>
    <w:rsid w:val="245D6B87"/>
    <w:rsid w:val="24661428"/>
    <w:rsid w:val="2471674B"/>
    <w:rsid w:val="24792C9E"/>
    <w:rsid w:val="247F0210"/>
    <w:rsid w:val="2480073C"/>
    <w:rsid w:val="24850BE6"/>
    <w:rsid w:val="248A3369"/>
    <w:rsid w:val="249C309C"/>
    <w:rsid w:val="24AE34FB"/>
    <w:rsid w:val="24B10234"/>
    <w:rsid w:val="24B16B47"/>
    <w:rsid w:val="24B91EA0"/>
    <w:rsid w:val="24BB1774"/>
    <w:rsid w:val="24C70119"/>
    <w:rsid w:val="24D25EE9"/>
    <w:rsid w:val="24D32F62"/>
    <w:rsid w:val="24D61CD0"/>
    <w:rsid w:val="24DB1E16"/>
    <w:rsid w:val="24DC16EA"/>
    <w:rsid w:val="24DE36B4"/>
    <w:rsid w:val="250467D9"/>
    <w:rsid w:val="250A44A9"/>
    <w:rsid w:val="250A5253"/>
    <w:rsid w:val="251D3FC0"/>
    <w:rsid w:val="25254322"/>
    <w:rsid w:val="25270BB7"/>
    <w:rsid w:val="252C4420"/>
    <w:rsid w:val="253124CB"/>
    <w:rsid w:val="253B0B07"/>
    <w:rsid w:val="253D2630"/>
    <w:rsid w:val="254221F3"/>
    <w:rsid w:val="25453733"/>
    <w:rsid w:val="2547125A"/>
    <w:rsid w:val="254774AC"/>
    <w:rsid w:val="2563762C"/>
    <w:rsid w:val="257007B0"/>
    <w:rsid w:val="257302A1"/>
    <w:rsid w:val="25787665"/>
    <w:rsid w:val="257D2ECD"/>
    <w:rsid w:val="25821466"/>
    <w:rsid w:val="25A03144"/>
    <w:rsid w:val="25A4045A"/>
    <w:rsid w:val="25A466AC"/>
    <w:rsid w:val="25A8619C"/>
    <w:rsid w:val="25A91F14"/>
    <w:rsid w:val="25B14925"/>
    <w:rsid w:val="25B52AD9"/>
    <w:rsid w:val="25C52C92"/>
    <w:rsid w:val="25DE6C64"/>
    <w:rsid w:val="25DF76E4"/>
    <w:rsid w:val="25E35426"/>
    <w:rsid w:val="25EC2454"/>
    <w:rsid w:val="25EE5B79"/>
    <w:rsid w:val="25F018F1"/>
    <w:rsid w:val="25F0544D"/>
    <w:rsid w:val="25F3318F"/>
    <w:rsid w:val="2601765A"/>
    <w:rsid w:val="261A4BC0"/>
    <w:rsid w:val="261E6BA2"/>
    <w:rsid w:val="26301CEE"/>
    <w:rsid w:val="26306192"/>
    <w:rsid w:val="26385E8A"/>
    <w:rsid w:val="26607A60"/>
    <w:rsid w:val="266D2F42"/>
    <w:rsid w:val="266D4CF0"/>
    <w:rsid w:val="26773DC1"/>
    <w:rsid w:val="26795443"/>
    <w:rsid w:val="26797B39"/>
    <w:rsid w:val="267C4ECF"/>
    <w:rsid w:val="268931AA"/>
    <w:rsid w:val="268B161A"/>
    <w:rsid w:val="26995161"/>
    <w:rsid w:val="26995AE5"/>
    <w:rsid w:val="269F41B3"/>
    <w:rsid w:val="26A37F72"/>
    <w:rsid w:val="26A526DC"/>
    <w:rsid w:val="26AD77E2"/>
    <w:rsid w:val="26B20955"/>
    <w:rsid w:val="26C1503C"/>
    <w:rsid w:val="26C443E1"/>
    <w:rsid w:val="26CA5616"/>
    <w:rsid w:val="26CD1C32"/>
    <w:rsid w:val="26D0702D"/>
    <w:rsid w:val="26D81C86"/>
    <w:rsid w:val="26DB60FD"/>
    <w:rsid w:val="26DD00C8"/>
    <w:rsid w:val="26DF742E"/>
    <w:rsid w:val="26E8081A"/>
    <w:rsid w:val="26FB2E83"/>
    <w:rsid w:val="270A253F"/>
    <w:rsid w:val="270C275B"/>
    <w:rsid w:val="270C4FC5"/>
    <w:rsid w:val="27127645"/>
    <w:rsid w:val="2714160F"/>
    <w:rsid w:val="271433BD"/>
    <w:rsid w:val="27153016"/>
    <w:rsid w:val="27166D4B"/>
    <w:rsid w:val="272301A4"/>
    <w:rsid w:val="27244E5A"/>
    <w:rsid w:val="2725381D"/>
    <w:rsid w:val="27306174"/>
    <w:rsid w:val="273121F9"/>
    <w:rsid w:val="27337CE7"/>
    <w:rsid w:val="27354EC1"/>
    <w:rsid w:val="273B34AE"/>
    <w:rsid w:val="27435A51"/>
    <w:rsid w:val="274A3283"/>
    <w:rsid w:val="274C129A"/>
    <w:rsid w:val="27554102"/>
    <w:rsid w:val="2755492F"/>
    <w:rsid w:val="275639D6"/>
    <w:rsid w:val="27577AEE"/>
    <w:rsid w:val="275D4004"/>
    <w:rsid w:val="2762425F"/>
    <w:rsid w:val="276C6C91"/>
    <w:rsid w:val="276F6846"/>
    <w:rsid w:val="277A3B68"/>
    <w:rsid w:val="277B343D"/>
    <w:rsid w:val="277E47A4"/>
    <w:rsid w:val="278C389C"/>
    <w:rsid w:val="278D3D61"/>
    <w:rsid w:val="2791112C"/>
    <w:rsid w:val="27934C2A"/>
    <w:rsid w:val="279D1605"/>
    <w:rsid w:val="27A40BE5"/>
    <w:rsid w:val="27A6495D"/>
    <w:rsid w:val="27BD1CA7"/>
    <w:rsid w:val="27C22E19"/>
    <w:rsid w:val="27C313CD"/>
    <w:rsid w:val="27C60B5C"/>
    <w:rsid w:val="27CE17BE"/>
    <w:rsid w:val="27D56FF1"/>
    <w:rsid w:val="27DB6949"/>
    <w:rsid w:val="27DD762A"/>
    <w:rsid w:val="27EB05C2"/>
    <w:rsid w:val="27ED7B74"/>
    <w:rsid w:val="27FB46DA"/>
    <w:rsid w:val="28096C9A"/>
    <w:rsid w:val="280C1DC8"/>
    <w:rsid w:val="280E605F"/>
    <w:rsid w:val="28133675"/>
    <w:rsid w:val="281C69CE"/>
    <w:rsid w:val="281E2746"/>
    <w:rsid w:val="282D2989"/>
    <w:rsid w:val="282E6701"/>
    <w:rsid w:val="28373807"/>
    <w:rsid w:val="283D6944"/>
    <w:rsid w:val="283F090E"/>
    <w:rsid w:val="28427C92"/>
    <w:rsid w:val="284F17D4"/>
    <w:rsid w:val="28565770"/>
    <w:rsid w:val="28575047"/>
    <w:rsid w:val="28612632"/>
    <w:rsid w:val="28754330"/>
    <w:rsid w:val="287E3CFF"/>
    <w:rsid w:val="287F0D0A"/>
    <w:rsid w:val="288051AE"/>
    <w:rsid w:val="288307FB"/>
    <w:rsid w:val="28836A4D"/>
    <w:rsid w:val="288376B0"/>
    <w:rsid w:val="2886653D"/>
    <w:rsid w:val="288A1B89"/>
    <w:rsid w:val="289447B6"/>
    <w:rsid w:val="289742A6"/>
    <w:rsid w:val="289C7436"/>
    <w:rsid w:val="28AC5FA3"/>
    <w:rsid w:val="28C05396"/>
    <w:rsid w:val="28CA467C"/>
    <w:rsid w:val="28CF3A40"/>
    <w:rsid w:val="28D61561"/>
    <w:rsid w:val="28D63020"/>
    <w:rsid w:val="28E61013"/>
    <w:rsid w:val="28E84B02"/>
    <w:rsid w:val="28EC2844"/>
    <w:rsid w:val="28F12CF2"/>
    <w:rsid w:val="28F416F8"/>
    <w:rsid w:val="28F456A7"/>
    <w:rsid w:val="28F827CB"/>
    <w:rsid w:val="28F90ABD"/>
    <w:rsid w:val="2908648D"/>
    <w:rsid w:val="290B259E"/>
    <w:rsid w:val="29115E06"/>
    <w:rsid w:val="29143B49"/>
    <w:rsid w:val="291E22D1"/>
    <w:rsid w:val="2921262B"/>
    <w:rsid w:val="29220014"/>
    <w:rsid w:val="29233D8C"/>
    <w:rsid w:val="29257B04"/>
    <w:rsid w:val="292B0388"/>
    <w:rsid w:val="293F5790"/>
    <w:rsid w:val="294A30C6"/>
    <w:rsid w:val="294D0EDE"/>
    <w:rsid w:val="29512576"/>
    <w:rsid w:val="29514455"/>
    <w:rsid w:val="2953583E"/>
    <w:rsid w:val="29567CBD"/>
    <w:rsid w:val="296070AC"/>
    <w:rsid w:val="29614FDF"/>
    <w:rsid w:val="29696464"/>
    <w:rsid w:val="296F240F"/>
    <w:rsid w:val="296F5223"/>
    <w:rsid w:val="29736AC1"/>
    <w:rsid w:val="297445E7"/>
    <w:rsid w:val="29756479"/>
    <w:rsid w:val="2979274E"/>
    <w:rsid w:val="297D349C"/>
    <w:rsid w:val="297F67EF"/>
    <w:rsid w:val="298C36DF"/>
    <w:rsid w:val="299010C2"/>
    <w:rsid w:val="29910CF5"/>
    <w:rsid w:val="2999739E"/>
    <w:rsid w:val="29997556"/>
    <w:rsid w:val="29AE780A"/>
    <w:rsid w:val="29B36EBE"/>
    <w:rsid w:val="29C42E79"/>
    <w:rsid w:val="29C56184"/>
    <w:rsid w:val="29CC761E"/>
    <w:rsid w:val="29D07A70"/>
    <w:rsid w:val="29E05449"/>
    <w:rsid w:val="29E11C7D"/>
    <w:rsid w:val="29F13DA9"/>
    <w:rsid w:val="29F251A1"/>
    <w:rsid w:val="2A056A4F"/>
    <w:rsid w:val="2A0D0CC4"/>
    <w:rsid w:val="2A135BAE"/>
    <w:rsid w:val="2A151926"/>
    <w:rsid w:val="2A257690"/>
    <w:rsid w:val="2A353D77"/>
    <w:rsid w:val="2A375D41"/>
    <w:rsid w:val="2A4E4E38"/>
    <w:rsid w:val="2A502FEB"/>
    <w:rsid w:val="2A554419"/>
    <w:rsid w:val="2A596352"/>
    <w:rsid w:val="2A6428AE"/>
    <w:rsid w:val="2A757AF1"/>
    <w:rsid w:val="2AA016B4"/>
    <w:rsid w:val="2AAE4D1A"/>
    <w:rsid w:val="2AAE58D7"/>
    <w:rsid w:val="2AB4113F"/>
    <w:rsid w:val="2AB47391"/>
    <w:rsid w:val="2AB71864"/>
    <w:rsid w:val="2AB729DE"/>
    <w:rsid w:val="2AB949A8"/>
    <w:rsid w:val="2ABC4FEF"/>
    <w:rsid w:val="2AC60E73"/>
    <w:rsid w:val="2AD510B6"/>
    <w:rsid w:val="2AD551AF"/>
    <w:rsid w:val="2AD9612A"/>
    <w:rsid w:val="2AEC2D35"/>
    <w:rsid w:val="2AED4651"/>
    <w:rsid w:val="2AF23A16"/>
    <w:rsid w:val="2AF91248"/>
    <w:rsid w:val="2AFC4894"/>
    <w:rsid w:val="2B013C59"/>
    <w:rsid w:val="2B09317D"/>
    <w:rsid w:val="2B0F6376"/>
    <w:rsid w:val="2B116592"/>
    <w:rsid w:val="2B12230A"/>
    <w:rsid w:val="2B165956"/>
    <w:rsid w:val="2B2C6BA2"/>
    <w:rsid w:val="2B2F1D5F"/>
    <w:rsid w:val="2B3202B6"/>
    <w:rsid w:val="2B354D70"/>
    <w:rsid w:val="2B3C1135"/>
    <w:rsid w:val="2B3D4992"/>
    <w:rsid w:val="2B3D7387"/>
    <w:rsid w:val="2B4F2C16"/>
    <w:rsid w:val="2B591CE7"/>
    <w:rsid w:val="2B6C37C8"/>
    <w:rsid w:val="2B764647"/>
    <w:rsid w:val="2B785FB3"/>
    <w:rsid w:val="2B7E174D"/>
    <w:rsid w:val="2B842DE8"/>
    <w:rsid w:val="2B847EDB"/>
    <w:rsid w:val="2B876668"/>
    <w:rsid w:val="2B8815F9"/>
    <w:rsid w:val="2B8F1669"/>
    <w:rsid w:val="2B960AC3"/>
    <w:rsid w:val="2B9C3BC7"/>
    <w:rsid w:val="2B9D6077"/>
    <w:rsid w:val="2BA75E7D"/>
    <w:rsid w:val="2BAA42F0"/>
    <w:rsid w:val="2BAA609E"/>
    <w:rsid w:val="2BAE2033"/>
    <w:rsid w:val="2BB37649"/>
    <w:rsid w:val="2BBD4024"/>
    <w:rsid w:val="2BCA6741"/>
    <w:rsid w:val="2BDB6BA0"/>
    <w:rsid w:val="2BDD1F05"/>
    <w:rsid w:val="2BDE5160"/>
    <w:rsid w:val="2BDF043E"/>
    <w:rsid w:val="2BE5357A"/>
    <w:rsid w:val="2BE75544"/>
    <w:rsid w:val="2BEC2B5B"/>
    <w:rsid w:val="2BF57C61"/>
    <w:rsid w:val="2BF612E4"/>
    <w:rsid w:val="2C0559CB"/>
    <w:rsid w:val="2C091017"/>
    <w:rsid w:val="2C181352"/>
    <w:rsid w:val="2C194CF3"/>
    <w:rsid w:val="2C1D7A22"/>
    <w:rsid w:val="2C210A56"/>
    <w:rsid w:val="2C22657D"/>
    <w:rsid w:val="2C230DA4"/>
    <w:rsid w:val="2C2E0D4E"/>
    <w:rsid w:val="2C31056E"/>
    <w:rsid w:val="2C3D33B6"/>
    <w:rsid w:val="2C414C55"/>
    <w:rsid w:val="2C493B09"/>
    <w:rsid w:val="2C5A7AC4"/>
    <w:rsid w:val="2C5F157F"/>
    <w:rsid w:val="2C66290D"/>
    <w:rsid w:val="2C6B3A80"/>
    <w:rsid w:val="2C6D5A4A"/>
    <w:rsid w:val="2C703257"/>
    <w:rsid w:val="2C7A1F15"/>
    <w:rsid w:val="2C7F6DBF"/>
    <w:rsid w:val="2C8763E0"/>
    <w:rsid w:val="2C895EB5"/>
    <w:rsid w:val="2C981092"/>
    <w:rsid w:val="2C9C00DD"/>
    <w:rsid w:val="2C9D3A89"/>
    <w:rsid w:val="2C9F5E1F"/>
    <w:rsid w:val="2C9F7BCD"/>
    <w:rsid w:val="2CA84CD4"/>
    <w:rsid w:val="2CAA6134"/>
    <w:rsid w:val="2CAD4098"/>
    <w:rsid w:val="2CB11C4E"/>
    <w:rsid w:val="2CB2345D"/>
    <w:rsid w:val="2CB35427"/>
    <w:rsid w:val="2CB9045D"/>
    <w:rsid w:val="2CB92402"/>
    <w:rsid w:val="2CBA0563"/>
    <w:rsid w:val="2CBB4661"/>
    <w:rsid w:val="2CBF7478"/>
    <w:rsid w:val="2CDC672B"/>
    <w:rsid w:val="2CEC5E40"/>
    <w:rsid w:val="2CF12AEA"/>
    <w:rsid w:val="2D123224"/>
    <w:rsid w:val="2D1D2518"/>
    <w:rsid w:val="2D2D1B91"/>
    <w:rsid w:val="2D2D6F87"/>
    <w:rsid w:val="2D32459D"/>
    <w:rsid w:val="2D3447B9"/>
    <w:rsid w:val="2D346567"/>
    <w:rsid w:val="2D4254F8"/>
    <w:rsid w:val="2D452523"/>
    <w:rsid w:val="2D4875BA"/>
    <w:rsid w:val="2D4A7B39"/>
    <w:rsid w:val="2D4C0AA8"/>
    <w:rsid w:val="2D5409B8"/>
    <w:rsid w:val="2D560DCD"/>
    <w:rsid w:val="2D57575B"/>
    <w:rsid w:val="2D720E3E"/>
    <w:rsid w:val="2D75237C"/>
    <w:rsid w:val="2D83129D"/>
    <w:rsid w:val="2D8A43D9"/>
    <w:rsid w:val="2D9B1C5E"/>
    <w:rsid w:val="2D9B47A0"/>
    <w:rsid w:val="2D9E7E85"/>
    <w:rsid w:val="2DA326E8"/>
    <w:rsid w:val="2DAA74E0"/>
    <w:rsid w:val="2DAC07F4"/>
    <w:rsid w:val="2DB72CF5"/>
    <w:rsid w:val="2DBB27E5"/>
    <w:rsid w:val="2DBD50E7"/>
    <w:rsid w:val="2DCF4E03"/>
    <w:rsid w:val="2DD1025A"/>
    <w:rsid w:val="2DE53D06"/>
    <w:rsid w:val="2DEA3ADD"/>
    <w:rsid w:val="2DEC6E42"/>
    <w:rsid w:val="2DFD4BAB"/>
    <w:rsid w:val="2E060D0E"/>
    <w:rsid w:val="2E0C1CE2"/>
    <w:rsid w:val="2E0C4DEE"/>
    <w:rsid w:val="2E1562CD"/>
    <w:rsid w:val="2E1D3A94"/>
    <w:rsid w:val="2E262354"/>
    <w:rsid w:val="2E2843FB"/>
    <w:rsid w:val="2E294772"/>
    <w:rsid w:val="2E2E799A"/>
    <w:rsid w:val="2E336C50"/>
    <w:rsid w:val="2E374561"/>
    <w:rsid w:val="2E3A195C"/>
    <w:rsid w:val="2E3A5DFF"/>
    <w:rsid w:val="2E3F45EA"/>
    <w:rsid w:val="2E400F3C"/>
    <w:rsid w:val="2E424AD5"/>
    <w:rsid w:val="2E516CA5"/>
    <w:rsid w:val="2E520E27"/>
    <w:rsid w:val="2E573717"/>
    <w:rsid w:val="2E5E07DC"/>
    <w:rsid w:val="2E6279C6"/>
    <w:rsid w:val="2E6469D8"/>
    <w:rsid w:val="2E76670C"/>
    <w:rsid w:val="2E796FD4"/>
    <w:rsid w:val="2E8157DC"/>
    <w:rsid w:val="2E861045"/>
    <w:rsid w:val="2E8B49B7"/>
    <w:rsid w:val="2E8E614B"/>
    <w:rsid w:val="2E914DF2"/>
    <w:rsid w:val="2E9F2106"/>
    <w:rsid w:val="2EA94D33"/>
    <w:rsid w:val="2EAA5F11"/>
    <w:rsid w:val="2EAE40F8"/>
    <w:rsid w:val="2EB536D8"/>
    <w:rsid w:val="2EC41B6D"/>
    <w:rsid w:val="2ECB4CA9"/>
    <w:rsid w:val="2ED95618"/>
    <w:rsid w:val="2EE45D6B"/>
    <w:rsid w:val="2EE713B8"/>
    <w:rsid w:val="2EF35FAE"/>
    <w:rsid w:val="2EF75A9F"/>
    <w:rsid w:val="2EFE507F"/>
    <w:rsid w:val="2F012479"/>
    <w:rsid w:val="2F1C5505"/>
    <w:rsid w:val="2F1E302B"/>
    <w:rsid w:val="2F2443BA"/>
    <w:rsid w:val="2F5922B5"/>
    <w:rsid w:val="2F594288"/>
    <w:rsid w:val="2F6110DD"/>
    <w:rsid w:val="2F6856D6"/>
    <w:rsid w:val="2F77098D"/>
    <w:rsid w:val="2F9C1305"/>
    <w:rsid w:val="2FAA0D63"/>
    <w:rsid w:val="2FAD5BD5"/>
    <w:rsid w:val="2FAD5F0B"/>
    <w:rsid w:val="2FB120F1"/>
    <w:rsid w:val="2FBE78D3"/>
    <w:rsid w:val="2FC02334"/>
    <w:rsid w:val="2FC736C3"/>
    <w:rsid w:val="2FCF4325"/>
    <w:rsid w:val="2FDB0F1C"/>
    <w:rsid w:val="2FE05895"/>
    <w:rsid w:val="2FE5067A"/>
    <w:rsid w:val="2FE74BAE"/>
    <w:rsid w:val="2FED0C50"/>
    <w:rsid w:val="2FF540FA"/>
    <w:rsid w:val="2FF54C06"/>
    <w:rsid w:val="2FFE2E5D"/>
    <w:rsid w:val="30003A4C"/>
    <w:rsid w:val="30030473"/>
    <w:rsid w:val="3014442E"/>
    <w:rsid w:val="301461DC"/>
    <w:rsid w:val="301B756B"/>
    <w:rsid w:val="30234671"/>
    <w:rsid w:val="3029612C"/>
    <w:rsid w:val="302E3AEA"/>
    <w:rsid w:val="303B7C0D"/>
    <w:rsid w:val="30466CDD"/>
    <w:rsid w:val="305807BF"/>
    <w:rsid w:val="30801AC4"/>
    <w:rsid w:val="3082680F"/>
    <w:rsid w:val="309243C0"/>
    <w:rsid w:val="309C68FD"/>
    <w:rsid w:val="30A457B2"/>
    <w:rsid w:val="30AD45FE"/>
    <w:rsid w:val="30B52A83"/>
    <w:rsid w:val="30BF439A"/>
    <w:rsid w:val="30C419B0"/>
    <w:rsid w:val="30C9346B"/>
    <w:rsid w:val="30C95EA8"/>
    <w:rsid w:val="30DA0556"/>
    <w:rsid w:val="30E107B4"/>
    <w:rsid w:val="30E7256B"/>
    <w:rsid w:val="30E81B43"/>
    <w:rsid w:val="30ED1A33"/>
    <w:rsid w:val="30ED267A"/>
    <w:rsid w:val="30FC114A"/>
    <w:rsid w:val="31012C04"/>
    <w:rsid w:val="310D3357"/>
    <w:rsid w:val="310E70CF"/>
    <w:rsid w:val="311A1F18"/>
    <w:rsid w:val="311D7312"/>
    <w:rsid w:val="312227A7"/>
    <w:rsid w:val="31254CEB"/>
    <w:rsid w:val="312707D0"/>
    <w:rsid w:val="312B7E40"/>
    <w:rsid w:val="31327262"/>
    <w:rsid w:val="31375948"/>
    <w:rsid w:val="3138414C"/>
    <w:rsid w:val="313F4FFA"/>
    <w:rsid w:val="314760EE"/>
    <w:rsid w:val="314D5E4A"/>
    <w:rsid w:val="3150593A"/>
    <w:rsid w:val="315076E8"/>
    <w:rsid w:val="315A745C"/>
    <w:rsid w:val="315C608D"/>
    <w:rsid w:val="315E1E05"/>
    <w:rsid w:val="31634B42"/>
    <w:rsid w:val="31684A32"/>
    <w:rsid w:val="318178A1"/>
    <w:rsid w:val="318B24CE"/>
    <w:rsid w:val="319A665C"/>
    <w:rsid w:val="319F44D0"/>
    <w:rsid w:val="31A72A29"/>
    <w:rsid w:val="31A83080"/>
    <w:rsid w:val="31AD2471"/>
    <w:rsid w:val="31AD7BE9"/>
    <w:rsid w:val="31B9528D"/>
    <w:rsid w:val="31D50D66"/>
    <w:rsid w:val="31DA4405"/>
    <w:rsid w:val="31DB16A7"/>
    <w:rsid w:val="31E00A6C"/>
    <w:rsid w:val="31E63BA8"/>
    <w:rsid w:val="31EA3699"/>
    <w:rsid w:val="31EC5663"/>
    <w:rsid w:val="31F14A27"/>
    <w:rsid w:val="320329AC"/>
    <w:rsid w:val="32087FC3"/>
    <w:rsid w:val="320A7897"/>
    <w:rsid w:val="320F30FF"/>
    <w:rsid w:val="32133CA5"/>
    <w:rsid w:val="32144BB9"/>
    <w:rsid w:val="32186458"/>
    <w:rsid w:val="321E77E6"/>
    <w:rsid w:val="321F3CD8"/>
    <w:rsid w:val="32292413"/>
    <w:rsid w:val="32313075"/>
    <w:rsid w:val="3236068C"/>
    <w:rsid w:val="323D5EBE"/>
    <w:rsid w:val="32472899"/>
    <w:rsid w:val="3260443B"/>
    <w:rsid w:val="32672F3B"/>
    <w:rsid w:val="32676A97"/>
    <w:rsid w:val="32790B1D"/>
    <w:rsid w:val="327A0EC0"/>
    <w:rsid w:val="327A1535"/>
    <w:rsid w:val="327D37D4"/>
    <w:rsid w:val="327F2033"/>
    <w:rsid w:val="327F76D8"/>
    <w:rsid w:val="32851613"/>
    <w:rsid w:val="3288246C"/>
    <w:rsid w:val="328F5FEE"/>
    <w:rsid w:val="32935ADE"/>
    <w:rsid w:val="32A001FB"/>
    <w:rsid w:val="32A63A63"/>
    <w:rsid w:val="32A95302"/>
    <w:rsid w:val="32AF0265"/>
    <w:rsid w:val="32B67A1F"/>
    <w:rsid w:val="32BB5035"/>
    <w:rsid w:val="32D17C89"/>
    <w:rsid w:val="32D22AAA"/>
    <w:rsid w:val="32D47F84"/>
    <w:rsid w:val="32D87995"/>
    <w:rsid w:val="32D92CDB"/>
    <w:rsid w:val="32DB1C5F"/>
    <w:rsid w:val="32DD144F"/>
    <w:rsid w:val="32DD4FAB"/>
    <w:rsid w:val="32EC5C70"/>
    <w:rsid w:val="32EE1841"/>
    <w:rsid w:val="32FD73FC"/>
    <w:rsid w:val="32FF13C6"/>
    <w:rsid w:val="32FF4F22"/>
    <w:rsid w:val="33014A95"/>
    <w:rsid w:val="33022C64"/>
    <w:rsid w:val="33044C2E"/>
    <w:rsid w:val="33062754"/>
    <w:rsid w:val="33082BEB"/>
    <w:rsid w:val="33095248"/>
    <w:rsid w:val="33095DA0"/>
    <w:rsid w:val="330B38C7"/>
    <w:rsid w:val="33131907"/>
    <w:rsid w:val="33136C1F"/>
    <w:rsid w:val="331656FD"/>
    <w:rsid w:val="3324596F"/>
    <w:rsid w:val="332B3F69"/>
    <w:rsid w:val="332C69B5"/>
    <w:rsid w:val="333746BC"/>
    <w:rsid w:val="33423F49"/>
    <w:rsid w:val="33460345"/>
    <w:rsid w:val="33514C1C"/>
    <w:rsid w:val="335C57D6"/>
    <w:rsid w:val="33694A91"/>
    <w:rsid w:val="33727DEA"/>
    <w:rsid w:val="33753436"/>
    <w:rsid w:val="337551E4"/>
    <w:rsid w:val="337E053C"/>
    <w:rsid w:val="33812D41"/>
    <w:rsid w:val="338D32F1"/>
    <w:rsid w:val="33941B0E"/>
    <w:rsid w:val="339733AC"/>
    <w:rsid w:val="33A65CE5"/>
    <w:rsid w:val="33A66585"/>
    <w:rsid w:val="33AB32FB"/>
    <w:rsid w:val="33B201E6"/>
    <w:rsid w:val="33B51A84"/>
    <w:rsid w:val="33C61EE3"/>
    <w:rsid w:val="33E915F3"/>
    <w:rsid w:val="33EC7B9C"/>
    <w:rsid w:val="33ED56C2"/>
    <w:rsid w:val="33F14E3F"/>
    <w:rsid w:val="33F43719"/>
    <w:rsid w:val="33FE6037"/>
    <w:rsid w:val="34002C60"/>
    <w:rsid w:val="340C4C6E"/>
    <w:rsid w:val="34190265"/>
    <w:rsid w:val="342C61EA"/>
    <w:rsid w:val="343017E0"/>
    <w:rsid w:val="343155AF"/>
    <w:rsid w:val="34390DE3"/>
    <w:rsid w:val="34394463"/>
    <w:rsid w:val="343F6B5B"/>
    <w:rsid w:val="344057F2"/>
    <w:rsid w:val="34470F4D"/>
    <w:rsid w:val="344D7F0F"/>
    <w:rsid w:val="345474EF"/>
    <w:rsid w:val="3458039D"/>
    <w:rsid w:val="34593FB8"/>
    <w:rsid w:val="345E036E"/>
    <w:rsid w:val="34602FDD"/>
    <w:rsid w:val="346040E6"/>
    <w:rsid w:val="34757B91"/>
    <w:rsid w:val="34761214"/>
    <w:rsid w:val="34790259"/>
    <w:rsid w:val="347D07F4"/>
    <w:rsid w:val="347E1FD2"/>
    <w:rsid w:val="34833825"/>
    <w:rsid w:val="34840C3D"/>
    <w:rsid w:val="348558FB"/>
    <w:rsid w:val="34943D90"/>
    <w:rsid w:val="34AC2E87"/>
    <w:rsid w:val="34AE2A73"/>
    <w:rsid w:val="34B45226"/>
    <w:rsid w:val="34BB69B8"/>
    <w:rsid w:val="34BD32E6"/>
    <w:rsid w:val="34C40D15"/>
    <w:rsid w:val="34C5219B"/>
    <w:rsid w:val="34CD748C"/>
    <w:rsid w:val="34D10B40"/>
    <w:rsid w:val="34D36666"/>
    <w:rsid w:val="34DB5183"/>
    <w:rsid w:val="34DC4632"/>
    <w:rsid w:val="34E24AFB"/>
    <w:rsid w:val="34EC3BCC"/>
    <w:rsid w:val="34F14D3E"/>
    <w:rsid w:val="34FA1E45"/>
    <w:rsid w:val="34FD1935"/>
    <w:rsid w:val="350902DA"/>
    <w:rsid w:val="35132F06"/>
    <w:rsid w:val="3518051D"/>
    <w:rsid w:val="352132DA"/>
    <w:rsid w:val="35247EFC"/>
    <w:rsid w:val="352672B2"/>
    <w:rsid w:val="35496928"/>
    <w:rsid w:val="35577297"/>
    <w:rsid w:val="355A6D87"/>
    <w:rsid w:val="355C2792"/>
    <w:rsid w:val="355C2AFF"/>
    <w:rsid w:val="355D23D3"/>
    <w:rsid w:val="356D0868"/>
    <w:rsid w:val="35707279"/>
    <w:rsid w:val="3578720D"/>
    <w:rsid w:val="357D4824"/>
    <w:rsid w:val="358160C2"/>
    <w:rsid w:val="35977890"/>
    <w:rsid w:val="359849D9"/>
    <w:rsid w:val="35A26038"/>
    <w:rsid w:val="35A27F45"/>
    <w:rsid w:val="35A973C7"/>
    <w:rsid w:val="35AD1CD3"/>
    <w:rsid w:val="35AF0108"/>
    <w:rsid w:val="35B20971"/>
    <w:rsid w:val="35B5220F"/>
    <w:rsid w:val="35B632F6"/>
    <w:rsid w:val="35BB5CBB"/>
    <w:rsid w:val="35C802BA"/>
    <w:rsid w:val="35D346B8"/>
    <w:rsid w:val="35D408E8"/>
    <w:rsid w:val="35E36D7D"/>
    <w:rsid w:val="35F13CF7"/>
    <w:rsid w:val="35F92264"/>
    <w:rsid w:val="35FA48FF"/>
    <w:rsid w:val="360401E9"/>
    <w:rsid w:val="36056CF3"/>
    <w:rsid w:val="36120683"/>
    <w:rsid w:val="361909F0"/>
    <w:rsid w:val="361E6007"/>
    <w:rsid w:val="36266C69"/>
    <w:rsid w:val="36294A38"/>
    <w:rsid w:val="362A49AB"/>
    <w:rsid w:val="362C0724"/>
    <w:rsid w:val="362D624A"/>
    <w:rsid w:val="36326BC5"/>
    <w:rsid w:val="363E0457"/>
    <w:rsid w:val="36402219"/>
    <w:rsid w:val="36407D2B"/>
    <w:rsid w:val="3649562D"/>
    <w:rsid w:val="3653029E"/>
    <w:rsid w:val="36592A97"/>
    <w:rsid w:val="36631BE4"/>
    <w:rsid w:val="366A0915"/>
    <w:rsid w:val="366D6646"/>
    <w:rsid w:val="36721CF2"/>
    <w:rsid w:val="36747A1D"/>
    <w:rsid w:val="3679148F"/>
    <w:rsid w:val="36792EB9"/>
    <w:rsid w:val="367D0F7F"/>
    <w:rsid w:val="36820344"/>
    <w:rsid w:val="36827D9D"/>
    <w:rsid w:val="368340BC"/>
    <w:rsid w:val="368A5F83"/>
    <w:rsid w:val="368D6C58"/>
    <w:rsid w:val="369D6F2B"/>
    <w:rsid w:val="369E4A52"/>
    <w:rsid w:val="36BA5D2F"/>
    <w:rsid w:val="36BE6EA2"/>
    <w:rsid w:val="36CA1CEB"/>
    <w:rsid w:val="36DB7A54"/>
    <w:rsid w:val="36E0506A"/>
    <w:rsid w:val="36E515F1"/>
    <w:rsid w:val="36E56B24"/>
    <w:rsid w:val="36E903C3"/>
    <w:rsid w:val="36EC1C61"/>
    <w:rsid w:val="36F01AF3"/>
    <w:rsid w:val="37033793"/>
    <w:rsid w:val="37177E68"/>
    <w:rsid w:val="371A4A20"/>
    <w:rsid w:val="37214898"/>
    <w:rsid w:val="37255FFD"/>
    <w:rsid w:val="37377380"/>
    <w:rsid w:val="373F7FE3"/>
    <w:rsid w:val="3747333B"/>
    <w:rsid w:val="37490126"/>
    <w:rsid w:val="374A4436"/>
    <w:rsid w:val="374A6F7B"/>
    <w:rsid w:val="374C6AA7"/>
    <w:rsid w:val="375021F0"/>
    <w:rsid w:val="37621F23"/>
    <w:rsid w:val="37623CD1"/>
    <w:rsid w:val="37691503"/>
    <w:rsid w:val="377203B8"/>
    <w:rsid w:val="377D0B0B"/>
    <w:rsid w:val="377F2AD5"/>
    <w:rsid w:val="378D6FA0"/>
    <w:rsid w:val="379522F8"/>
    <w:rsid w:val="379540A7"/>
    <w:rsid w:val="3798060A"/>
    <w:rsid w:val="37A662B4"/>
    <w:rsid w:val="37AB1B1C"/>
    <w:rsid w:val="37AC319E"/>
    <w:rsid w:val="37B426A3"/>
    <w:rsid w:val="37C329C2"/>
    <w:rsid w:val="37C83096"/>
    <w:rsid w:val="37C96CE5"/>
    <w:rsid w:val="37CB5D1A"/>
    <w:rsid w:val="37CD245F"/>
    <w:rsid w:val="37D2672A"/>
    <w:rsid w:val="37D3697D"/>
    <w:rsid w:val="37E172EC"/>
    <w:rsid w:val="37E82428"/>
    <w:rsid w:val="37FA50C2"/>
    <w:rsid w:val="37FE39FA"/>
    <w:rsid w:val="37FE7E9E"/>
    <w:rsid w:val="38003C16"/>
    <w:rsid w:val="380803DD"/>
    <w:rsid w:val="380D40C9"/>
    <w:rsid w:val="380E46BF"/>
    <w:rsid w:val="38152F68"/>
    <w:rsid w:val="38170F5F"/>
    <w:rsid w:val="382835A3"/>
    <w:rsid w:val="38313807"/>
    <w:rsid w:val="383832E4"/>
    <w:rsid w:val="38412DA1"/>
    <w:rsid w:val="384A512D"/>
    <w:rsid w:val="384B29B7"/>
    <w:rsid w:val="3853724F"/>
    <w:rsid w:val="38547ABE"/>
    <w:rsid w:val="38563836"/>
    <w:rsid w:val="386341A5"/>
    <w:rsid w:val="387A2D4D"/>
    <w:rsid w:val="389A08FE"/>
    <w:rsid w:val="38A241A6"/>
    <w:rsid w:val="38A528A2"/>
    <w:rsid w:val="38A7195D"/>
    <w:rsid w:val="38A74DA6"/>
    <w:rsid w:val="38B059AF"/>
    <w:rsid w:val="38B14F10"/>
    <w:rsid w:val="38B30C88"/>
    <w:rsid w:val="38B557C0"/>
    <w:rsid w:val="38C06F01"/>
    <w:rsid w:val="38D62BC9"/>
    <w:rsid w:val="38E31684"/>
    <w:rsid w:val="38E33981"/>
    <w:rsid w:val="38E36F47"/>
    <w:rsid w:val="38E52E0C"/>
    <w:rsid w:val="38EC5F48"/>
    <w:rsid w:val="38FA30DF"/>
    <w:rsid w:val="38FE5C7B"/>
    <w:rsid w:val="390908A8"/>
    <w:rsid w:val="391060DB"/>
    <w:rsid w:val="391334D5"/>
    <w:rsid w:val="39193F34"/>
    <w:rsid w:val="39205BF2"/>
    <w:rsid w:val="392576AC"/>
    <w:rsid w:val="392A081F"/>
    <w:rsid w:val="392A2F11"/>
    <w:rsid w:val="392A6A70"/>
    <w:rsid w:val="39363667"/>
    <w:rsid w:val="393B2A2C"/>
    <w:rsid w:val="39462F2A"/>
    <w:rsid w:val="394F0285"/>
    <w:rsid w:val="39564958"/>
    <w:rsid w:val="395D6E46"/>
    <w:rsid w:val="395F671A"/>
    <w:rsid w:val="396C150B"/>
    <w:rsid w:val="396F26D5"/>
    <w:rsid w:val="39720087"/>
    <w:rsid w:val="39730417"/>
    <w:rsid w:val="398B750F"/>
    <w:rsid w:val="399D7242"/>
    <w:rsid w:val="39A14F85"/>
    <w:rsid w:val="39A15CD6"/>
    <w:rsid w:val="39A700C1"/>
    <w:rsid w:val="39B506F2"/>
    <w:rsid w:val="39BA7DF4"/>
    <w:rsid w:val="39C42A21"/>
    <w:rsid w:val="39C66799"/>
    <w:rsid w:val="39D215E2"/>
    <w:rsid w:val="39DC7D6B"/>
    <w:rsid w:val="39E33D31"/>
    <w:rsid w:val="39E7589A"/>
    <w:rsid w:val="39F350B4"/>
    <w:rsid w:val="39FC040D"/>
    <w:rsid w:val="3A0D261A"/>
    <w:rsid w:val="3A145757"/>
    <w:rsid w:val="3A1A6AE5"/>
    <w:rsid w:val="3A1E0383"/>
    <w:rsid w:val="3A234D7B"/>
    <w:rsid w:val="3A355331"/>
    <w:rsid w:val="3A3A1AE8"/>
    <w:rsid w:val="3A4A73CA"/>
    <w:rsid w:val="3A4F678F"/>
    <w:rsid w:val="3A667F7C"/>
    <w:rsid w:val="3A6A181A"/>
    <w:rsid w:val="3A6B7341"/>
    <w:rsid w:val="3A726921"/>
    <w:rsid w:val="3A766F89"/>
    <w:rsid w:val="3A791A5E"/>
    <w:rsid w:val="3A804B9A"/>
    <w:rsid w:val="3A8B353F"/>
    <w:rsid w:val="3A8C79E3"/>
    <w:rsid w:val="3A8E29D3"/>
    <w:rsid w:val="3A9C574C"/>
    <w:rsid w:val="3A9E3272"/>
    <w:rsid w:val="3AA27206"/>
    <w:rsid w:val="3AA36ADA"/>
    <w:rsid w:val="3AA50161"/>
    <w:rsid w:val="3AA50AA5"/>
    <w:rsid w:val="3AAB598F"/>
    <w:rsid w:val="3AB331C1"/>
    <w:rsid w:val="3AB40624"/>
    <w:rsid w:val="3AB92E8B"/>
    <w:rsid w:val="3ABD5DEE"/>
    <w:rsid w:val="3AC0143A"/>
    <w:rsid w:val="3AD11FD9"/>
    <w:rsid w:val="3AD249E7"/>
    <w:rsid w:val="3AD43138"/>
    <w:rsid w:val="3AE11DE1"/>
    <w:rsid w:val="3AE16E49"/>
    <w:rsid w:val="3AEF1D20"/>
    <w:rsid w:val="3AF31810"/>
    <w:rsid w:val="3AFA0DF0"/>
    <w:rsid w:val="3AFB2473"/>
    <w:rsid w:val="3B003F2D"/>
    <w:rsid w:val="3B0F5F1E"/>
    <w:rsid w:val="3B135A0E"/>
    <w:rsid w:val="3B217306"/>
    <w:rsid w:val="3B273268"/>
    <w:rsid w:val="3B293484"/>
    <w:rsid w:val="3B2A2D58"/>
    <w:rsid w:val="3B2D74E8"/>
    <w:rsid w:val="3B312338"/>
    <w:rsid w:val="3B377223"/>
    <w:rsid w:val="3B4262F3"/>
    <w:rsid w:val="3B4A3779"/>
    <w:rsid w:val="3B4E4C98"/>
    <w:rsid w:val="3B563B4D"/>
    <w:rsid w:val="3B575229"/>
    <w:rsid w:val="3B5953EB"/>
    <w:rsid w:val="3B607FB3"/>
    <w:rsid w:val="3B781D15"/>
    <w:rsid w:val="3B7874E6"/>
    <w:rsid w:val="3B8406BA"/>
    <w:rsid w:val="3B997AE8"/>
    <w:rsid w:val="3B9D79CE"/>
    <w:rsid w:val="3BA54333"/>
    <w:rsid w:val="3BAB20EB"/>
    <w:rsid w:val="3BAB3E99"/>
    <w:rsid w:val="3BAC1821"/>
    <w:rsid w:val="3BAC5E63"/>
    <w:rsid w:val="3BAC628D"/>
    <w:rsid w:val="3BC60A9D"/>
    <w:rsid w:val="3BC82C9D"/>
    <w:rsid w:val="3BD31641"/>
    <w:rsid w:val="3BD81646"/>
    <w:rsid w:val="3BE81FCD"/>
    <w:rsid w:val="3BFC64A2"/>
    <w:rsid w:val="3C0B0DDB"/>
    <w:rsid w:val="3C0F0B15"/>
    <w:rsid w:val="3C1C08F2"/>
    <w:rsid w:val="3C1F0094"/>
    <w:rsid w:val="3C205D00"/>
    <w:rsid w:val="3C2B322B"/>
    <w:rsid w:val="3C3025F0"/>
    <w:rsid w:val="3C4877ED"/>
    <w:rsid w:val="3C495674"/>
    <w:rsid w:val="3C4E0CC8"/>
    <w:rsid w:val="3C547B47"/>
    <w:rsid w:val="3C5A58BF"/>
    <w:rsid w:val="3C5A766D"/>
    <w:rsid w:val="3C5B37E7"/>
    <w:rsid w:val="3C5F6A31"/>
    <w:rsid w:val="3C610609"/>
    <w:rsid w:val="3C6127A9"/>
    <w:rsid w:val="3C636171"/>
    <w:rsid w:val="3C664263"/>
    <w:rsid w:val="3C706B34"/>
    <w:rsid w:val="3C797AF3"/>
    <w:rsid w:val="3C812E4B"/>
    <w:rsid w:val="3C8A7F52"/>
    <w:rsid w:val="3C8B3CCA"/>
    <w:rsid w:val="3C90308E"/>
    <w:rsid w:val="3C911248"/>
    <w:rsid w:val="3CC61931"/>
    <w:rsid w:val="3CC72F54"/>
    <w:rsid w:val="3CCD5318"/>
    <w:rsid w:val="3CD147A4"/>
    <w:rsid w:val="3CD45671"/>
    <w:rsid w:val="3CD66855"/>
    <w:rsid w:val="3CDA6FAE"/>
    <w:rsid w:val="3CDF60CE"/>
    <w:rsid w:val="3CE753A4"/>
    <w:rsid w:val="3CF655E7"/>
    <w:rsid w:val="3CF93E6F"/>
    <w:rsid w:val="3D031AB2"/>
    <w:rsid w:val="3D0329CE"/>
    <w:rsid w:val="3D0A1093"/>
    <w:rsid w:val="3D0C3994"/>
    <w:rsid w:val="3D167A38"/>
    <w:rsid w:val="3D393726"/>
    <w:rsid w:val="3D3A30E3"/>
    <w:rsid w:val="3D424389"/>
    <w:rsid w:val="3D474095"/>
    <w:rsid w:val="3D5347E8"/>
    <w:rsid w:val="3D5B544A"/>
    <w:rsid w:val="3D5E3B4D"/>
    <w:rsid w:val="3D63018E"/>
    <w:rsid w:val="3D6407A3"/>
    <w:rsid w:val="3D670293"/>
    <w:rsid w:val="3D6975F0"/>
    <w:rsid w:val="3D712EC0"/>
    <w:rsid w:val="3D74475E"/>
    <w:rsid w:val="3D74650C"/>
    <w:rsid w:val="3D801355"/>
    <w:rsid w:val="3D8449A1"/>
    <w:rsid w:val="3D9B618F"/>
    <w:rsid w:val="3DAE5EC2"/>
    <w:rsid w:val="3DB334D8"/>
    <w:rsid w:val="3DB64D77"/>
    <w:rsid w:val="3DB95AEB"/>
    <w:rsid w:val="3DBC024A"/>
    <w:rsid w:val="3DCC27F4"/>
    <w:rsid w:val="3DCF659A"/>
    <w:rsid w:val="3DD0408A"/>
    <w:rsid w:val="3DD5344F"/>
    <w:rsid w:val="3DD96D0B"/>
    <w:rsid w:val="3DEC0798"/>
    <w:rsid w:val="3DEC564C"/>
    <w:rsid w:val="3DF633C5"/>
    <w:rsid w:val="3DFB432B"/>
    <w:rsid w:val="3DFD4AF1"/>
    <w:rsid w:val="3E043D34"/>
    <w:rsid w:val="3E0755D2"/>
    <w:rsid w:val="3E0B50C2"/>
    <w:rsid w:val="3E1A70B4"/>
    <w:rsid w:val="3E3C34CE"/>
    <w:rsid w:val="3E5D6467"/>
    <w:rsid w:val="3E636451"/>
    <w:rsid w:val="3E6D3687"/>
    <w:rsid w:val="3E6E11AD"/>
    <w:rsid w:val="3E6F5651"/>
    <w:rsid w:val="3E720C9E"/>
    <w:rsid w:val="3E76096C"/>
    <w:rsid w:val="3E7B5510"/>
    <w:rsid w:val="3E8D3D29"/>
    <w:rsid w:val="3E90381A"/>
    <w:rsid w:val="3E95498C"/>
    <w:rsid w:val="3E9A01F4"/>
    <w:rsid w:val="3E9E1A93"/>
    <w:rsid w:val="3EAD7F28"/>
    <w:rsid w:val="3EB86356"/>
    <w:rsid w:val="3EBA2645"/>
    <w:rsid w:val="3EBC016B"/>
    <w:rsid w:val="3EC6723B"/>
    <w:rsid w:val="3ECB4852"/>
    <w:rsid w:val="3ECD2378"/>
    <w:rsid w:val="3ED63527"/>
    <w:rsid w:val="3ED67B55"/>
    <w:rsid w:val="3EE70C7C"/>
    <w:rsid w:val="3EE951D0"/>
    <w:rsid w:val="3EEF6C51"/>
    <w:rsid w:val="3EF142B8"/>
    <w:rsid w:val="3F057D64"/>
    <w:rsid w:val="3F075CC4"/>
    <w:rsid w:val="3F0A791B"/>
    <w:rsid w:val="3F177A97"/>
    <w:rsid w:val="3F21712E"/>
    <w:rsid w:val="3F220916"/>
    <w:rsid w:val="3F2226C4"/>
    <w:rsid w:val="3F253F62"/>
    <w:rsid w:val="3F275F2C"/>
    <w:rsid w:val="3F285DF0"/>
    <w:rsid w:val="3F2C29E1"/>
    <w:rsid w:val="3F312907"/>
    <w:rsid w:val="3F384C10"/>
    <w:rsid w:val="3F43088C"/>
    <w:rsid w:val="3F4E5442"/>
    <w:rsid w:val="3F591E5E"/>
    <w:rsid w:val="3F632CDC"/>
    <w:rsid w:val="3F656A54"/>
    <w:rsid w:val="3F6B75FC"/>
    <w:rsid w:val="3F6C7DE3"/>
    <w:rsid w:val="3F6F1681"/>
    <w:rsid w:val="3F7E3672"/>
    <w:rsid w:val="3F827A5D"/>
    <w:rsid w:val="3F84512C"/>
    <w:rsid w:val="3F9B2476"/>
    <w:rsid w:val="3FA4757D"/>
    <w:rsid w:val="3FAE03FB"/>
    <w:rsid w:val="3FB43DF9"/>
    <w:rsid w:val="3FB86B84"/>
    <w:rsid w:val="3FBB48C6"/>
    <w:rsid w:val="3FD3204B"/>
    <w:rsid w:val="3FD61700"/>
    <w:rsid w:val="3FD80FD4"/>
    <w:rsid w:val="3FE77469"/>
    <w:rsid w:val="3FF51B86"/>
    <w:rsid w:val="3FFD6C8D"/>
    <w:rsid w:val="40193A36"/>
    <w:rsid w:val="40204729"/>
    <w:rsid w:val="402E6E46"/>
    <w:rsid w:val="403D52DB"/>
    <w:rsid w:val="40402FA6"/>
    <w:rsid w:val="40414DCB"/>
    <w:rsid w:val="404709C9"/>
    <w:rsid w:val="40514E2B"/>
    <w:rsid w:val="40584539"/>
    <w:rsid w:val="405D1A2A"/>
    <w:rsid w:val="40612D9E"/>
    <w:rsid w:val="406F4DA3"/>
    <w:rsid w:val="40774C91"/>
    <w:rsid w:val="40782251"/>
    <w:rsid w:val="40784565"/>
    <w:rsid w:val="40896772"/>
    <w:rsid w:val="40955117"/>
    <w:rsid w:val="40A13ABC"/>
    <w:rsid w:val="40AF5E62"/>
    <w:rsid w:val="40B3559D"/>
    <w:rsid w:val="40BA4B7E"/>
    <w:rsid w:val="40C55EA8"/>
    <w:rsid w:val="40C61775"/>
    <w:rsid w:val="40C854ED"/>
    <w:rsid w:val="40CF687B"/>
    <w:rsid w:val="40E57E4D"/>
    <w:rsid w:val="40ED136E"/>
    <w:rsid w:val="40F24318"/>
    <w:rsid w:val="40F24F08"/>
    <w:rsid w:val="40F41E3E"/>
    <w:rsid w:val="40FF740D"/>
    <w:rsid w:val="41110C42"/>
    <w:rsid w:val="411E6EBB"/>
    <w:rsid w:val="41250249"/>
    <w:rsid w:val="4125649B"/>
    <w:rsid w:val="412D5718"/>
    <w:rsid w:val="414601C0"/>
    <w:rsid w:val="414B08D8"/>
    <w:rsid w:val="414F018F"/>
    <w:rsid w:val="414F3F68"/>
    <w:rsid w:val="4151103E"/>
    <w:rsid w:val="41630D72"/>
    <w:rsid w:val="41656EA0"/>
    <w:rsid w:val="417411D1"/>
    <w:rsid w:val="417E7959"/>
    <w:rsid w:val="418238EE"/>
    <w:rsid w:val="418408ED"/>
    <w:rsid w:val="41872CB2"/>
    <w:rsid w:val="41874A60"/>
    <w:rsid w:val="418F1B67"/>
    <w:rsid w:val="41911D83"/>
    <w:rsid w:val="41923405"/>
    <w:rsid w:val="419B3242"/>
    <w:rsid w:val="419D4283"/>
    <w:rsid w:val="41BA3087"/>
    <w:rsid w:val="41BA6D64"/>
    <w:rsid w:val="41C54F62"/>
    <w:rsid w:val="41CD7D0D"/>
    <w:rsid w:val="41D57EC1"/>
    <w:rsid w:val="41DA7286"/>
    <w:rsid w:val="41E5640E"/>
    <w:rsid w:val="41E77BF5"/>
    <w:rsid w:val="41F369F6"/>
    <w:rsid w:val="41FD2F74"/>
    <w:rsid w:val="42063A3A"/>
    <w:rsid w:val="42116A20"/>
    <w:rsid w:val="4214405D"/>
    <w:rsid w:val="42171D70"/>
    <w:rsid w:val="421A1D78"/>
    <w:rsid w:val="421C27EF"/>
    <w:rsid w:val="422E137F"/>
    <w:rsid w:val="4230143F"/>
    <w:rsid w:val="42380450"/>
    <w:rsid w:val="425012F6"/>
    <w:rsid w:val="42507548"/>
    <w:rsid w:val="425132C0"/>
    <w:rsid w:val="4253528A"/>
    <w:rsid w:val="42552DB0"/>
    <w:rsid w:val="42613503"/>
    <w:rsid w:val="4269060A"/>
    <w:rsid w:val="427721CF"/>
    <w:rsid w:val="42784CF1"/>
    <w:rsid w:val="42815953"/>
    <w:rsid w:val="428627B5"/>
    <w:rsid w:val="42894808"/>
    <w:rsid w:val="428C60A6"/>
    <w:rsid w:val="42975177"/>
    <w:rsid w:val="429A07C3"/>
    <w:rsid w:val="429A0F55"/>
    <w:rsid w:val="429A6A15"/>
    <w:rsid w:val="42A31D6D"/>
    <w:rsid w:val="42A94EAA"/>
    <w:rsid w:val="42AD499A"/>
    <w:rsid w:val="42AD609A"/>
    <w:rsid w:val="42B20202"/>
    <w:rsid w:val="42BB0B2F"/>
    <w:rsid w:val="42BB7663"/>
    <w:rsid w:val="42C45840"/>
    <w:rsid w:val="42C700D1"/>
    <w:rsid w:val="42C70B31"/>
    <w:rsid w:val="42CB3072"/>
    <w:rsid w:val="42D40179"/>
    <w:rsid w:val="42D9578F"/>
    <w:rsid w:val="42DD6902"/>
    <w:rsid w:val="42E3216A"/>
    <w:rsid w:val="42EB54C2"/>
    <w:rsid w:val="42F558B3"/>
    <w:rsid w:val="42F779C3"/>
    <w:rsid w:val="42FB03BD"/>
    <w:rsid w:val="43016A94"/>
    <w:rsid w:val="430D368B"/>
    <w:rsid w:val="430E3D19"/>
    <w:rsid w:val="43144A19"/>
    <w:rsid w:val="431A1BD8"/>
    <w:rsid w:val="431E02ED"/>
    <w:rsid w:val="43201866"/>
    <w:rsid w:val="43212C92"/>
    <w:rsid w:val="4323451C"/>
    <w:rsid w:val="432D5ADB"/>
    <w:rsid w:val="433E55F2"/>
    <w:rsid w:val="43432C09"/>
    <w:rsid w:val="43516693"/>
    <w:rsid w:val="4355293C"/>
    <w:rsid w:val="435B2648"/>
    <w:rsid w:val="435E496B"/>
    <w:rsid w:val="436F7031"/>
    <w:rsid w:val="43741014"/>
    <w:rsid w:val="437B47DE"/>
    <w:rsid w:val="43827BD5"/>
    <w:rsid w:val="438356FB"/>
    <w:rsid w:val="438374A9"/>
    <w:rsid w:val="43853221"/>
    <w:rsid w:val="4387343D"/>
    <w:rsid w:val="438D657A"/>
    <w:rsid w:val="438F22F2"/>
    <w:rsid w:val="43994DD7"/>
    <w:rsid w:val="439B2A45"/>
    <w:rsid w:val="439D56D9"/>
    <w:rsid w:val="43AC3ED1"/>
    <w:rsid w:val="43B90147"/>
    <w:rsid w:val="43BE41CB"/>
    <w:rsid w:val="43CA332A"/>
    <w:rsid w:val="43CD6976"/>
    <w:rsid w:val="43D47D05"/>
    <w:rsid w:val="43DA3792"/>
    <w:rsid w:val="43E4722E"/>
    <w:rsid w:val="43E67164"/>
    <w:rsid w:val="43EC32A0"/>
    <w:rsid w:val="43F202D8"/>
    <w:rsid w:val="43F45BD0"/>
    <w:rsid w:val="43F81C45"/>
    <w:rsid w:val="43FB478E"/>
    <w:rsid w:val="43FC6D22"/>
    <w:rsid w:val="43FD54AD"/>
    <w:rsid w:val="440873F8"/>
    <w:rsid w:val="4411001F"/>
    <w:rsid w:val="442A5B77"/>
    <w:rsid w:val="442C18EF"/>
    <w:rsid w:val="44301B45"/>
    <w:rsid w:val="443C78D0"/>
    <w:rsid w:val="443F3F3E"/>
    <w:rsid w:val="44496945"/>
    <w:rsid w:val="44555450"/>
    <w:rsid w:val="44586B88"/>
    <w:rsid w:val="445D5F4C"/>
    <w:rsid w:val="445D7297"/>
    <w:rsid w:val="44613C8E"/>
    <w:rsid w:val="44697144"/>
    <w:rsid w:val="446A1915"/>
    <w:rsid w:val="446B0669"/>
    <w:rsid w:val="446E7C5F"/>
    <w:rsid w:val="447A4D50"/>
    <w:rsid w:val="449C1238"/>
    <w:rsid w:val="449F0024"/>
    <w:rsid w:val="449F6565"/>
    <w:rsid w:val="44A1052F"/>
    <w:rsid w:val="44B00772"/>
    <w:rsid w:val="44B10EA1"/>
    <w:rsid w:val="44B20090"/>
    <w:rsid w:val="44B53FC2"/>
    <w:rsid w:val="44B546FA"/>
    <w:rsid w:val="44BC27B9"/>
    <w:rsid w:val="44BF2CE3"/>
    <w:rsid w:val="44CD30D2"/>
    <w:rsid w:val="44D07D4A"/>
    <w:rsid w:val="44D83825"/>
    <w:rsid w:val="44E14D9A"/>
    <w:rsid w:val="44E16B7D"/>
    <w:rsid w:val="44E64193"/>
    <w:rsid w:val="44EC452F"/>
    <w:rsid w:val="44FC39B7"/>
    <w:rsid w:val="44FC597B"/>
    <w:rsid w:val="44FE2636"/>
    <w:rsid w:val="450A021D"/>
    <w:rsid w:val="451707F1"/>
    <w:rsid w:val="45171C9F"/>
    <w:rsid w:val="45181E73"/>
    <w:rsid w:val="451A1577"/>
    <w:rsid w:val="451A255E"/>
    <w:rsid w:val="452901CE"/>
    <w:rsid w:val="45344EFF"/>
    <w:rsid w:val="453E08E3"/>
    <w:rsid w:val="4544327D"/>
    <w:rsid w:val="45622B78"/>
    <w:rsid w:val="4565155C"/>
    <w:rsid w:val="456F753C"/>
    <w:rsid w:val="4573600A"/>
    <w:rsid w:val="45751852"/>
    <w:rsid w:val="45765517"/>
    <w:rsid w:val="458B6AE9"/>
    <w:rsid w:val="458D35C1"/>
    <w:rsid w:val="4597723C"/>
    <w:rsid w:val="45A26798"/>
    <w:rsid w:val="45A656D1"/>
    <w:rsid w:val="45AA3413"/>
    <w:rsid w:val="45B44292"/>
    <w:rsid w:val="45B812CC"/>
    <w:rsid w:val="45B93656"/>
    <w:rsid w:val="45C02C36"/>
    <w:rsid w:val="45C30031"/>
    <w:rsid w:val="45CF4C28"/>
    <w:rsid w:val="45D43FEC"/>
    <w:rsid w:val="45D60368"/>
    <w:rsid w:val="45E51F31"/>
    <w:rsid w:val="45E87A97"/>
    <w:rsid w:val="46001285"/>
    <w:rsid w:val="460421F7"/>
    <w:rsid w:val="46050649"/>
    <w:rsid w:val="4607616F"/>
    <w:rsid w:val="461D5993"/>
    <w:rsid w:val="461F5BAF"/>
    <w:rsid w:val="462211FB"/>
    <w:rsid w:val="462417D4"/>
    <w:rsid w:val="462431C5"/>
    <w:rsid w:val="46396545"/>
    <w:rsid w:val="463A4797"/>
    <w:rsid w:val="463C5F52"/>
    <w:rsid w:val="46431172"/>
    <w:rsid w:val="4643491A"/>
    <w:rsid w:val="464521E7"/>
    <w:rsid w:val="46455732"/>
    <w:rsid w:val="464E3D9E"/>
    <w:rsid w:val="464F5D68"/>
    <w:rsid w:val="464F7B16"/>
    <w:rsid w:val="466B19C4"/>
    <w:rsid w:val="466F1F67"/>
    <w:rsid w:val="467D4684"/>
    <w:rsid w:val="46804174"/>
    <w:rsid w:val="46AB281B"/>
    <w:rsid w:val="46AE6F33"/>
    <w:rsid w:val="46B61944"/>
    <w:rsid w:val="46B67B95"/>
    <w:rsid w:val="46D00C57"/>
    <w:rsid w:val="46D6477E"/>
    <w:rsid w:val="46DC7FF2"/>
    <w:rsid w:val="46DD5D6D"/>
    <w:rsid w:val="46DF0E9A"/>
    <w:rsid w:val="46E42955"/>
    <w:rsid w:val="46E91D19"/>
    <w:rsid w:val="46EF27ED"/>
    <w:rsid w:val="46FC1A4C"/>
    <w:rsid w:val="470B3A79"/>
    <w:rsid w:val="471054F8"/>
    <w:rsid w:val="471274C2"/>
    <w:rsid w:val="47150D60"/>
    <w:rsid w:val="472114B3"/>
    <w:rsid w:val="472657A6"/>
    <w:rsid w:val="47307948"/>
    <w:rsid w:val="473D6A6E"/>
    <w:rsid w:val="473F3908"/>
    <w:rsid w:val="47406A95"/>
    <w:rsid w:val="474C71FC"/>
    <w:rsid w:val="474D6260"/>
    <w:rsid w:val="47543636"/>
    <w:rsid w:val="4754581B"/>
    <w:rsid w:val="475A6773"/>
    <w:rsid w:val="47625A6E"/>
    <w:rsid w:val="477261B2"/>
    <w:rsid w:val="47737835"/>
    <w:rsid w:val="47791740"/>
    <w:rsid w:val="4779309D"/>
    <w:rsid w:val="477F442B"/>
    <w:rsid w:val="478A7058"/>
    <w:rsid w:val="478B41B5"/>
    <w:rsid w:val="47925F0D"/>
    <w:rsid w:val="479512C3"/>
    <w:rsid w:val="47963FF7"/>
    <w:rsid w:val="47A3636C"/>
    <w:rsid w:val="47A85096"/>
    <w:rsid w:val="47AA76FA"/>
    <w:rsid w:val="47AC3472"/>
    <w:rsid w:val="47AD0D2F"/>
    <w:rsid w:val="47AF44AD"/>
    <w:rsid w:val="47AF4D11"/>
    <w:rsid w:val="47AF6ABF"/>
    <w:rsid w:val="47BA1BF2"/>
    <w:rsid w:val="47BB1907"/>
    <w:rsid w:val="47C54BA4"/>
    <w:rsid w:val="47CD0DEC"/>
    <w:rsid w:val="47CD5197"/>
    <w:rsid w:val="47D112E0"/>
    <w:rsid w:val="47E26E94"/>
    <w:rsid w:val="47F00E85"/>
    <w:rsid w:val="47F92430"/>
    <w:rsid w:val="4803505C"/>
    <w:rsid w:val="480D3A23"/>
    <w:rsid w:val="4846741F"/>
    <w:rsid w:val="484D0086"/>
    <w:rsid w:val="484D0E76"/>
    <w:rsid w:val="484E4529"/>
    <w:rsid w:val="484F2050"/>
    <w:rsid w:val="485C55E7"/>
    <w:rsid w:val="48624C3F"/>
    <w:rsid w:val="486637E6"/>
    <w:rsid w:val="48671147"/>
    <w:rsid w:val="4867383D"/>
    <w:rsid w:val="486C49B0"/>
    <w:rsid w:val="487A29A7"/>
    <w:rsid w:val="489D725F"/>
    <w:rsid w:val="48B06F92"/>
    <w:rsid w:val="48B56357"/>
    <w:rsid w:val="48B7612A"/>
    <w:rsid w:val="48B9571B"/>
    <w:rsid w:val="48BF2D31"/>
    <w:rsid w:val="48C04CFB"/>
    <w:rsid w:val="48C12F4D"/>
    <w:rsid w:val="48CA7928"/>
    <w:rsid w:val="48D16F09"/>
    <w:rsid w:val="48D367DD"/>
    <w:rsid w:val="48DA7B6B"/>
    <w:rsid w:val="48E72288"/>
    <w:rsid w:val="48E7759C"/>
    <w:rsid w:val="48E77B38"/>
    <w:rsid w:val="48EB621C"/>
    <w:rsid w:val="48EC3D42"/>
    <w:rsid w:val="48EC5AF0"/>
    <w:rsid w:val="49075B6C"/>
    <w:rsid w:val="49132795"/>
    <w:rsid w:val="49175151"/>
    <w:rsid w:val="49227829"/>
    <w:rsid w:val="49374FBE"/>
    <w:rsid w:val="493A64EB"/>
    <w:rsid w:val="4941669C"/>
    <w:rsid w:val="494A7DB3"/>
    <w:rsid w:val="494B6C4D"/>
    <w:rsid w:val="495711BC"/>
    <w:rsid w:val="49575660"/>
    <w:rsid w:val="496C2214"/>
    <w:rsid w:val="496D7ED3"/>
    <w:rsid w:val="497247D5"/>
    <w:rsid w:val="497E2BEC"/>
    <w:rsid w:val="49861160"/>
    <w:rsid w:val="498B765A"/>
    <w:rsid w:val="498F4DBB"/>
    <w:rsid w:val="49933A5A"/>
    <w:rsid w:val="499A379E"/>
    <w:rsid w:val="49A308A5"/>
    <w:rsid w:val="49A34401"/>
    <w:rsid w:val="49AF0FF8"/>
    <w:rsid w:val="49C03205"/>
    <w:rsid w:val="49C2084A"/>
    <w:rsid w:val="49CA5E32"/>
    <w:rsid w:val="49D16BE6"/>
    <w:rsid w:val="49D40A5E"/>
    <w:rsid w:val="49DE190E"/>
    <w:rsid w:val="49EA2030"/>
    <w:rsid w:val="49F27137"/>
    <w:rsid w:val="49F7474D"/>
    <w:rsid w:val="49FD12F9"/>
    <w:rsid w:val="49FE3D2D"/>
    <w:rsid w:val="49FE5F91"/>
    <w:rsid w:val="4A026F25"/>
    <w:rsid w:val="4A070E34"/>
    <w:rsid w:val="4A0E4BFD"/>
    <w:rsid w:val="4A1452FF"/>
    <w:rsid w:val="4A174DEF"/>
    <w:rsid w:val="4A1A5506"/>
    <w:rsid w:val="4A282B58"/>
    <w:rsid w:val="4A3459A1"/>
    <w:rsid w:val="4A372155"/>
    <w:rsid w:val="4A3749D0"/>
    <w:rsid w:val="4A3A62EE"/>
    <w:rsid w:val="4A3D7280"/>
    <w:rsid w:val="4A443E36"/>
    <w:rsid w:val="4A49144C"/>
    <w:rsid w:val="4A4D0811"/>
    <w:rsid w:val="4A4E6A63"/>
    <w:rsid w:val="4A553B36"/>
    <w:rsid w:val="4A5B1180"/>
    <w:rsid w:val="4A5B2F2E"/>
    <w:rsid w:val="4A5C2802"/>
    <w:rsid w:val="4A6504DB"/>
    <w:rsid w:val="4A657908"/>
    <w:rsid w:val="4A6726BA"/>
    <w:rsid w:val="4A71390E"/>
    <w:rsid w:val="4A783AE0"/>
    <w:rsid w:val="4A802994"/>
    <w:rsid w:val="4A8A55C1"/>
    <w:rsid w:val="4AA448D5"/>
    <w:rsid w:val="4AAA2FAB"/>
    <w:rsid w:val="4AC9433B"/>
    <w:rsid w:val="4AD827D0"/>
    <w:rsid w:val="4AD8457E"/>
    <w:rsid w:val="4AD877C8"/>
    <w:rsid w:val="4AD9363D"/>
    <w:rsid w:val="4AD93E52"/>
    <w:rsid w:val="4AE271AB"/>
    <w:rsid w:val="4AEA67B3"/>
    <w:rsid w:val="4AF22E11"/>
    <w:rsid w:val="4B090BDC"/>
    <w:rsid w:val="4B0E1D4E"/>
    <w:rsid w:val="4B133808"/>
    <w:rsid w:val="4B1A06F3"/>
    <w:rsid w:val="4B412124"/>
    <w:rsid w:val="4B49547C"/>
    <w:rsid w:val="4B58121B"/>
    <w:rsid w:val="4B5C51AF"/>
    <w:rsid w:val="4B5D2CD5"/>
    <w:rsid w:val="4B6021EA"/>
    <w:rsid w:val="4B663938"/>
    <w:rsid w:val="4B682DDF"/>
    <w:rsid w:val="4B692A55"/>
    <w:rsid w:val="4B6B0F4E"/>
    <w:rsid w:val="4B6F679E"/>
    <w:rsid w:val="4B7D6ED4"/>
    <w:rsid w:val="4B83273C"/>
    <w:rsid w:val="4BA426B2"/>
    <w:rsid w:val="4BA97CC9"/>
    <w:rsid w:val="4BB5666E"/>
    <w:rsid w:val="4BC44B03"/>
    <w:rsid w:val="4BCE14DD"/>
    <w:rsid w:val="4BDE5BC4"/>
    <w:rsid w:val="4BE13907"/>
    <w:rsid w:val="4BEB6533"/>
    <w:rsid w:val="4BEC7610"/>
    <w:rsid w:val="4BF30464"/>
    <w:rsid w:val="4BF52F0E"/>
    <w:rsid w:val="4BFE6267"/>
    <w:rsid w:val="4C0D5795"/>
    <w:rsid w:val="4C107D48"/>
    <w:rsid w:val="4C1D417B"/>
    <w:rsid w:val="4C2555A1"/>
    <w:rsid w:val="4C266086"/>
    <w:rsid w:val="4C3618DB"/>
    <w:rsid w:val="4C3D6719"/>
    <w:rsid w:val="4C4243A5"/>
    <w:rsid w:val="4C4F0AB3"/>
    <w:rsid w:val="4C531C47"/>
    <w:rsid w:val="4C572F7B"/>
    <w:rsid w:val="4C5D0796"/>
    <w:rsid w:val="4C5E0AB3"/>
    <w:rsid w:val="4C633D3F"/>
    <w:rsid w:val="4C714E75"/>
    <w:rsid w:val="4C72455F"/>
    <w:rsid w:val="4C793B3F"/>
    <w:rsid w:val="4C7D58FE"/>
    <w:rsid w:val="4C8E1F3B"/>
    <w:rsid w:val="4C8E75EA"/>
    <w:rsid w:val="4C9269AF"/>
    <w:rsid w:val="4C982E02"/>
    <w:rsid w:val="4C9C194B"/>
    <w:rsid w:val="4CA54934"/>
    <w:rsid w:val="4CAF7561"/>
    <w:rsid w:val="4CC35BEB"/>
    <w:rsid w:val="4CCC0113"/>
    <w:rsid w:val="4CCE3E8B"/>
    <w:rsid w:val="4CCF60BD"/>
    <w:rsid w:val="4CD02929"/>
    <w:rsid w:val="4CD11285"/>
    <w:rsid w:val="4CD15729"/>
    <w:rsid w:val="4CD370C7"/>
    <w:rsid w:val="4CD52BD1"/>
    <w:rsid w:val="4CE41265"/>
    <w:rsid w:val="4CE76CFB"/>
    <w:rsid w:val="4CE94821"/>
    <w:rsid w:val="4CEA7877"/>
    <w:rsid w:val="4CEE1E37"/>
    <w:rsid w:val="4CF17B79"/>
    <w:rsid w:val="4CF47178"/>
    <w:rsid w:val="4CFB079B"/>
    <w:rsid w:val="4D002688"/>
    <w:rsid w:val="4D103667"/>
    <w:rsid w:val="4D1A59F9"/>
    <w:rsid w:val="4D251398"/>
    <w:rsid w:val="4D363E53"/>
    <w:rsid w:val="4D3701CB"/>
    <w:rsid w:val="4D386DDA"/>
    <w:rsid w:val="4D491763"/>
    <w:rsid w:val="4D4B7AFC"/>
    <w:rsid w:val="4D551EB6"/>
    <w:rsid w:val="4D645C96"/>
    <w:rsid w:val="4D673998"/>
    <w:rsid w:val="4D9229C5"/>
    <w:rsid w:val="4D9E1AAF"/>
    <w:rsid w:val="4DA501AA"/>
    <w:rsid w:val="4DA70238"/>
    <w:rsid w:val="4DAA3EA7"/>
    <w:rsid w:val="4DB51455"/>
    <w:rsid w:val="4DB72B71"/>
    <w:rsid w:val="4DBE4E9F"/>
    <w:rsid w:val="4DC112FA"/>
    <w:rsid w:val="4DC62FE4"/>
    <w:rsid w:val="4DCC2604"/>
    <w:rsid w:val="4DDC25D7"/>
    <w:rsid w:val="4DE1199C"/>
    <w:rsid w:val="4DED4BFE"/>
    <w:rsid w:val="4DEF230B"/>
    <w:rsid w:val="4DF72F6D"/>
    <w:rsid w:val="4DFB3E66"/>
    <w:rsid w:val="4E0568D0"/>
    <w:rsid w:val="4E0B0FD9"/>
    <w:rsid w:val="4E0E6509"/>
    <w:rsid w:val="4E101E6E"/>
    <w:rsid w:val="4E1251ED"/>
    <w:rsid w:val="4E156F2E"/>
    <w:rsid w:val="4E186966"/>
    <w:rsid w:val="4E261B2B"/>
    <w:rsid w:val="4E361CE8"/>
    <w:rsid w:val="4E3A10AC"/>
    <w:rsid w:val="4E3E0B9C"/>
    <w:rsid w:val="4E3E0D43"/>
    <w:rsid w:val="4E516B22"/>
    <w:rsid w:val="4E52289A"/>
    <w:rsid w:val="4E523276"/>
    <w:rsid w:val="4E5263F6"/>
    <w:rsid w:val="4E5C4D9A"/>
    <w:rsid w:val="4E6600F3"/>
    <w:rsid w:val="4E6951D8"/>
    <w:rsid w:val="4E6D3230"/>
    <w:rsid w:val="4E78439B"/>
    <w:rsid w:val="4E796078"/>
    <w:rsid w:val="4E7B594C"/>
    <w:rsid w:val="4E8567CB"/>
    <w:rsid w:val="4E892302"/>
    <w:rsid w:val="4E8A3DE2"/>
    <w:rsid w:val="4E992277"/>
    <w:rsid w:val="4EA2737D"/>
    <w:rsid w:val="4EA47A73"/>
    <w:rsid w:val="4EAA7FE0"/>
    <w:rsid w:val="4EB470B0"/>
    <w:rsid w:val="4EB92C0F"/>
    <w:rsid w:val="4EB95335"/>
    <w:rsid w:val="4EBB21ED"/>
    <w:rsid w:val="4EC8490A"/>
    <w:rsid w:val="4ED11A10"/>
    <w:rsid w:val="4ED27537"/>
    <w:rsid w:val="4ED65CB0"/>
    <w:rsid w:val="4EE3108F"/>
    <w:rsid w:val="4EE71234"/>
    <w:rsid w:val="4EE84443"/>
    <w:rsid w:val="4EEF00E8"/>
    <w:rsid w:val="4EF676C9"/>
    <w:rsid w:val="4EFB6A8D"/>
    <w:rsid w:val="4F020998"/>
    <w:rsid w:val="4F033485"/>
    <w:rsid w:val="4F0352F3"/>
    <w:rsid w:val="4F041DE6"/>
    <w:rsid w:val="4F0E16C8"/>
    <w:rsid w:val="4F135B85"/>
    <w:rsid w:val="4F275616"/>
    <w:rsid w:val="4F277882"/>
    <w:rsid w:val="4F2D30F6"/>
    <w:rsid w:val="4F361873"/>
    <w:rsid w:val="4F3A75B6"/>
    <w:rsid w:val="4F3F2683"/>
    <w:rsid w:val="4F455F5A"/>
    <w:rsid w:val="4F58517B"/>
    <w:rsid w:val="4F5E5D57"/>
    <w:rsid w:val="4F5F526E"/>
    <w:rsid w:val="4F664600"/>
    <w:rsid w:val="4F6B3C13"/>
    <w:rsid w:val="4F6B59C1"/>
    <w:rsid w:val="4F6C109F"/>
    <w:rsid w:val="4F716D4F"/>
    <w:rsid w:val="4F734876"/>
    <w:rsid w:val="4F786A15"/>
    <w:rsid w:val="4F792DE3"/>
    <w:rsid w:val="4F7A20A8"/>
    <w:rsid w:val="4F806F93"/>
    <w:rsid w:val="4F846A83"/>
    <w:rsid w:val="4F90367A"/>
    <w:rsid w:val="4F98252E"/>
    <w:rsid w:val="4F993C1F"/>
    <w:rsid w:val="4F9A241D"/>
    <w:rsid w:val="4F9F1B0F"/>
    <w:rsid w:val="4FA52839"/>
    <w:rsid w:val="4FA830FD"/>
    <w:rsid w:val="4FA831D2"/>
    <w:rsid w:val="4FA964E9"/>
    <w:rsid w:val="4FAE3B00"/>
    <w:rsid w:val="4FB6798D"/>
    <w:rsid w:val="4FB82BD0"/>
    <w:rsid w:val="4FBC575D"/>
    <w:rsid w:val="4FC1120E"/>
    <w:rsid w:val="4FC275AB"/>
    <w:rsid w:val="4FC7696F"/>
    <w:rsid w:val="4FD35314"/>
    <w:rsid w:val="4FD77F76"/>
    <w:rsid w:val="4FDC68BF"/>
    <w:rsid w:val="4FDF1F0B"/>
    <w:rsid w:val="4FEC63D6"/>
    <w:rsid w:val="4FEE65F2"/>
    <w:rsid w:val="4FFC486B"/>
    <w:rsid w:val="50025BF9"/>
    <w:rsid w:val="5003209D"/>
    <w:rsid w:val="500B0F52"/>
    <w:rsid w:val="500B3F63"/>
    <w:rsid w:val="50100316"/>
    <w:rsid w:val="50165391"/>
    <w:rsid w:val="501716A5"/>
    <w:rsid w:val="501A73E7"/>
    <w:rsid w:val="50210776"/>
    <w:rsid w:val="502142D2"/>
    <w:rsid w:val="502D711A"/>
    <w:rsid w:val="503469BD"/>
    <w:rsid w:val="503844DC"/>
    <w:rsid w:val="50412BC6"/>
    <w:rsid w:val="504E0E81"/>
    <w:rsid w:val="50506965"/>
    <w:rsid w:val="5057648D"/>
    <w:rsid w:val="505B18D4"/>
    <w:rsid w:val="505E72D4"/>
    <w:rsid w:val="50621059"/>
    <w:rsid w:val="5076286F"/>
    <w:rsid w:val="5076288D"/>
    <w:rsid w:val="50827466"/>
    <w:rsid w:val="508A5DF4"/>
    <w:rsid w:val="50940F47"/>
    <w:rsid w:val="50962F12"/>
    <w:rsid w:val="50970A38"/>
    <w:rsid w:val="509B4084"/>
    <w:rsid w:val="509B4D1B"/>
    <w:rsid w:val="50A26728"/>
    <w:rsid w:val="50A32F39"/>
    <w:rsid w:val="50A54F03"/>
    <w:rsid w:val="50A70C7B"/>
    <w:rsid w:val="50A8054F"/>
    <w:rsid w:val="50A820D4"/>
    <w:rsid w:val="50AD422D"/>
    <w:rsid w:val="50AD4A4F"/>
    <w:rsid w:val="50B11AF9"/>
    <w:rsid w:val="50B9275C"/>
    <w:rsid w:val="50BB2978"/>
    <w:rsid w:val="50BE7D72"/>
    <w:rsid w:val="50C35389"/>
    <w:rsid w:val="50C555A5"/>
    <w:rsid w:val="50C8299F"/>
    <w:rsid w:val="50CA2BBB"/>
    <w:rsid w:val="50D37CC2"/>
    <w:rsid w:val="50D57015"/>
    <w:rsid w:val="50DB599F"/>
    <w:rsid w:val="50E84DEF"/>
    <w:rsid w:val="50EC0D83"/>
    <w:rsid w:val="50F1639A"/>
    <w:rsid w:val="50F56EA0"/>
    <w:rsid w:val="50F639B0"/>
    <w:rsid w:val="50F6750C"/>
    <w:rsid w:val="50FB2D75"/>
    <w:rsid w:val="51002139"/>
    <w:rsid w:val="5107796B"/>
    <w:rsid w:val="5108607B"/>
    <w:rsid w:val="511107EA"/>
    <w:rsid w:val="51171918"/>
    <w:rsid w:val="511B41EA"/>
    <w:rsid w:val="512C73D2"/>
    <w:rsid w:val="512C7ED2"/>
    <w:rsid w:val="51361FFF"/>
    <w:rsid w:val="51402E7D"/>
    <w:rsid w:val="51450494"/>
    <w:rsid w:val="5148134E"/>
    <w:rsid w:val="514E559A"/>
    <w:rsid w:val="51510BE7"/>
    <w:rsid w:val="51600E2A"/>
    <w:rsid w:val="5164091A"/>
    <w:rsid w:val="51677F27"/>
    <w:rsid w:val="516D0A56"/>
    <w:rsid w:val="518F170F"/>
    <w:rsid w:val="5191714E"/>
    <w:rsid w:val="51917235"/>
    <w:rsid w:val="51A056CA"/>
    <w:rsid w:val="51A451BA"/>
    <w:rsid w:val="51A46F68"/>
    <w:rsid w:val="51AB479B"/>
    <w:rsid w:val="51B80BAA"/>
    <w:rsid w:val="51B86EB8"/>
    <w:rsid w:val="51BF28E4"/>
    <w:rsid w:val="51C1288B"/>
    <w:rsid w:val="51CE0489"/>
    <w:rsid w:val="51DC2283"/>
    <w:rsid w:val="51E657D3"/>
    <w:rsid w:val="51EA1F0C"/>
    <w:rsid w:val="51FB798D"/>
    <w:rsid w:val="51FC4FF6"/>
    <w:rsid w:val="52081BED"/>
    <w:rsid w:val="520B348B"/>
    <w:rsid w:val="521560B8"/>
    <w:rsid w:val="52181704"/>
    <w:rsid w:val="522400A9"/>
    <w:rsid w:val="522B58DB"/>
    <w:rsid w:val="522E0F28"/>
    <w:rsid w:val="523F3135"/>
    <w:rsid w:val="523F4EE3"/>
    <w:rsid w:val="52471944"/>
    <w:rsid w:val="52477F24"/>
    <w:rsid w:val="52495D62"/>
    <w:rsid w:val="524B7D2C"/>
    <w:rsid w:val="52501DAB"/>
    <w:rsid w:val="52636E23"/>
    <w:rsid w:val="52651081"/>
    <w:rsid w:val="526679D0"/>
    <w:rsid w:val="5268443A"/>
    <w:rsid w:val="526B23B2"/>
    <w:rsid w:val="52701540"/>
    <w:rsid w:val="52730B44"/>
    <w:rsid w:val="52733A71"/>
    <w:rsid w:val="5277467D"/>
    <w:rsid w:val="52846D9A"/>
    <w:rsid w:val="52850DC6"/>
    <w:rsid w:val="52972F71"/>
    <w:rsid w:val="529C0587"/>
    <w:rsid w:val="529F5982"/>
    <w:rsid w:val="52A15B9E"/>
    <w:rsid w:val="52A33A2B"/>
    <w:rsid w:val="52AE4870"/>
    <w:rsid w:val="52BD5936"/>
    <w:rsid w:val="52C378C2"/>
    <w:rsid w:val="52C61160"/>
    <w:rsid w:val="52C8137C"/>
    <w:rsid w:val="52C86D86"/>
    <w:rsid w:val="52CB49C9"/>
    <w:rsid w:val="52D27B05"/>
    <w:rsid w:val="52E141EC"/>
    <w:rsid w:val="52E53CDC"/>
    <w:rsid w:val="52E55A8A"/>
    <w:rsid w:val="52E73435"/>
    <w:rsid w:val="52EB0BC7"/>
    <w:rsid w:val="52EC6E19"/>
    <w:rsid w:val="52EF6909"/>
    <w:rsid w:val="53000B16"/>
    <w:rsid w:val="5311062D"/>
    <w:rsid w:val="531C2A96"/>
    <w:rsid w:val="531E2D4A"/>
    <w:rsid w:val="53332C9A"/>
    <w:rsid w:val="53364538"/>
    <w:rsid w:val="533802B0"/>
    <w:rsid w:val="5342371F"/>
    <w:rsid w:val="5349426B"/>
    <w:rsid w:val="53570DD0"/>
    <w:rsid w:val="535C7948"/>
    <w:rsid w:val="535E75EB"/>
    <w:rsid w:val="53672943"/>
    <w:rsid w:val="536C61AC"/>
    <w:rsid w:val="537979E1"/>
    <w:rsid w:val="537B63EF"/>
    <w:rsid w:val="537D2167"/>
    <w:rsid w:val="537D3F15"/>
    <w:rsid w:val="53861A20"/>
    <w:rsid w:val="538B4884"/>
    <w:rsid w:val="539D0113"/>
    <w:rsid w:val="53AD7D9F"/>
    <w:rsid w:val="53B33F6B"/>
    <w:rsid w:val="53B536AF"/>
    <w:rsid w:val="53BD18F1"/>
    <w:rsid w:val="53C73DC0"/>
    <w:rsid w:val="53CB1124"/>
    <w:rsid w:val="53D0673A"/>
    <w:rsid w:val="53D36321"/>
    <w:rsid w:val="53D4408D"/>
    <w:rsid w:val="53D8114B"/>
    <w:rsid w:val="53E04DBD"/>
    <w:rsid w:val="53E126F6"/>
    <w:rsid w:val="53EC33B3"/>
    <w:rsid w:val="53EF674A"/>
    <w:rsid w:val="53F57F4F"/>
    <w:rsid w:val="53F669EB"/>
    <w:rsid w:val="53FA754C"/>
    <w:rsid w:val="53FE2BF7"/>
    <w:rsid w:val="54041F40"/>
    <w:rsid w:val="540B0A8E"/>
    <w:rsid w:val="54181E8F"/>
    <w:rsid w:val="5420228D"/>
    <w:rsid w:val="54215965"/>
    <w:rsid w:val="54216F96"/>
    <w:rsid w:val="54322F51"/>
    <w:rsid w:val="543547EF"/>
    <w:rsid w:val="543D1818"/>
    <w:rsid w:val="54414F42"/>
    <w:rsid w:val="54475B4B"/>
    <w:rsid w:val="544B3EE9"/>
    <w:rsid w:val="545D78A2"/>
    <w:rsid w:val="546538BA"/>
    <w:rsid w:val="5468108F"/>
    <w:rsid w:val="547277F2"/>
    <w:rsid w:val="547370C6"/>
    <w:rsid w:val="54756AF5"/>
    <w:rsid w:val="547E6196"/>
    <w:rsid w:val="5483555B"/>
    <w:rsid w:val="548968E9"/>
    <w:rsid w:val="548A4B3B"/>
    <w:rsid w:val="549A28A4"/>
    <w:rsid w:val="549A6186"/>
    <w:rsid w:val="549F69EF"/>
    <w:rsid w:val="54B33197"/>
    <w:rsid w:val="54B4698A"/>
    <w:rsid w:val="54BC6CBF"/>
    <w:rsid w:val="54D45DB6"/>
    <w:rsid w:val="54D51413"/>
    <w:rsid w:val="54E0475B"/>
    <w:rsid w:val="54E56216"/>
    <w:rsid w:val="54EA382C"/>
    <w:rsid w:val="54EA6C0E"/>
    <w:rsid w:val="54EB1352"/>
    <w:rsid w:val="54FE72D7"/>
    <w:rsid w:val="5503044A"/>
    <w:rsid w:val="550D3076"/>
    <w:rsid w:val="55180399"/>
    <w:rsid w:val="551E5284"/>
    <w:rsid w:val="55201C9C"/>
    <w:rsid w:val="5520724E"/>
    <w:rsid w:val="552B0501"/>
    <w:rsid w:val="552F123F"/>
    <w:rsid w:val="552F56E3"/>
    <w:rsid w:val="554051FA"/>
    <w:rsid w:val="5549554B"/>
    <w:rsid w:val="554D1A31"/>
    <w:rsid w:val="554F7B33"/>
    <w:rsid w:val="55546EF7"/>
    <w:rsid w:val="555F0C24"/>
    <w:rsid w:val="5563538C"/>
    <w:rsid w:val="55652EB2"/>
    <w:rsid w:val="556F5ADF"/>
    <w:rsid w:val="557355CF"/>
    <w:rsid w:val="55782BA3"/>
    <w:rsid w:val="55807CEC"/>
    <w:rsid w:val="558F7F2F"/>
    <w:rsid w:val="55911EF9"/>
    <w:rsid w:val="5592206E"/>
    <w:rsid w:val="559D089E"/>
    <w:rsid w:val="559E632D"/>
    <w:rsid w:val="55A27C63"/>
    <w:rsid w:val="55A35789"/>
    <w:rsid w:val="55AC0AE1"/>
    <w:rsid w:val="55B33C1E"/>
    <w:rsid w:val="55BA31FE"/>
    <w:rsid w:val="55C776C9"/>
    <w:rsid w:val="55D5675E"/>
    <w:rsid w:val="55DB2EFA"/>
    <w:rsid w:val="55DD6540"/>
    <w:rsid w:val="55E53FF3"/>
    <w:rsid w:val="55EB160A"/>
    <w:rsid w:val="55EB238D"/>
    <w:rsid w:val="55F34962"/>
    <w:rsid w:val="55F87E98"/>
    <w:rsid w:val="55FD758F"/>
    <w:rsid w:val="56097CE2"/>
    <w:rsid w:val="560A5808"/>
    <w:rsid w:val="560B1CAC"/>
    <w:rsid w:val="560F068E"/>
    <w:rsid w:val="561346BC"/>
    <w:rsid w:val="561548D9"/>
    <w:rsid w:val="561A3C9D"/>
    <w:rsid w:val="56200B13"/>
    <w:rsid w:val="56226FF5"/>
    <w:rsid w:val="562B4FD7"/>
    <w:rsid w:val="562C277F"/>
    <w:rsid w:val="562E4C15"/>
    <w:rsid w:val="56382375"/>
    <w:rsid w:val="56384123"/>
    <w:rsid w:val="563F1955"/>
    <w:rsid w:val="563F5053"/>
    <w:rsid w:val="564E1B99"/>
    <w:rsid w:val="56521689"/>
    <w:rsid w:val="56535401"/>
    <w:rsid w:val="5655106E"/>
    <w:rsid w:val="565C6063"/>
    <w:rsid w:val="566B62A7"/>
    <w:rsid w:val="566C201F"/>
    <w:rsid w:val="56725887"/>
    <w:rsid w:val="56772E01"/>
    <w:rsid w:val="567E247E"/>
    <w:rsid w:val="56861332"/>
    <w:rsid w:val="569752EE"/>
    <w:rsid w:val="569D24F0"/>
    <w:rsid w:val="569F23F4"/>
    <w:rsid w:val="569F41A2"/>
    <w:rsid w:val="56AA5F28"/>
    <w:rsid w:val="56AD12F0"/>
    <w:rsid w:val="56B506F1"/>
    <w:rsid w:val="56B7303F"/>
    <w:rsid w:val="56B934B6"/>
    <w:rsid w:val="56D02B61"/>
    <w:rsid w:val="56D627B6"/>
    <w:rsid w:val="56D71B8E"/>
    <w:rsid w:val="56DF6C95"/>
    <w:rsid w:val="56F00EA2"/>
    <w:rsid w:val="56F40992"/>
    <w:rsid w:val="56F44F15"/>
    <w:rsid w:val="57081D47"/>
    <w:rsid w:val="571406EC"/>
    <w:rsid w:val="57305C46"/>
    <w:rsid w:val="573174F0"/>
    <w:rsid w:val="573214BA"/>
    <w:rsid w:val="57392849"/>
    <w:rsid w:val="574A2360"/>
    <w:rsid w:val="57547004"/>
    <w:rsid w:val="575B27BF"/>
    <w:rsid w:val="575C2093"/>
    <w:rsid w:val="57631EDC"/>
    <w:rsid w:val="57671164"/>
    <w:rsid w:val="576F0018"/>
    <w:rsid w:val="576F626A"/>
    <w:rsid w:val="5774562F"/>
    <w:rsid w:val="57833AC4"/>
    <w:rsid w:val="578D049F"/>
    <w:rsid w:val="57917F8F"/>
    <w:rsid w:val="579857A6"/>
    <w:rsid w:val="57A36349"/>
    <w:rsid w:val="57AC4DC9"/>
    <w:rsid w:val="57B44CCE"/>
    <w:rsid w:val="57C245EC"/>
    <w:rsid w:val="57C675ED"/>
    <w:rsid w:val="57C71C02"/>
    <w:rsid w:val="57DA4E42"/>
    <w:rsid w:val="57E74DAE"/>
    <w:rsid w:val="57F76E7D"/>
    <w:rsid w:val="580249E9"/>
    <w:rsid w:val="580544D9"/>
    <w:rsid w:val="580C5867"/>
    <w:rsid w:val="5814471C"/>
    <w:rsid w:val="58187D01"/>
    <w:rsid w:val="581D1822"/>
    <w:rsid w:val="583F52BD"/>
    <w:rsid w:val="584315C4"/>
    <w:rsid w:val="584F2D6B"/>
    <w:rsid w:val="58501BF8"/>
    <w:rsid w:val="58515970"/>
    <w:rsid w:val="58692CBA"/>
    <w:rsid w:val="586E207E"/>
    <w:rsid w:val="586E3461"/>
    <w:rsid w:val="586E7274"/>
    <w:rsid w:val="5870229A"/>
    <w:rsid w:val="58711B6E"/>
    <w:rsid w:val="58801DB1"/>
    <w:rsid w:val="58957990"/>
    <w:rsid w:val="589917F1"/>
    <w:rsid w:val="589D0BB5"/>
    <w:rsid w:val="58BC103B"/>
    <w:rsid w:val="58BF6D7E"/>
    <w:rsid w:val="58C12EE1"/>
    <w:rsid w:val="58DE5456"/>
    <w:rsid w:val="58E16365"/>
    <w:rsid w:val="58F76517"/>
    <w:rsid w:val="59060509"/>
    <w:rsid w:val="5906675A"/>
    <w:rsid w:val="591744C4"/>
    <w:rsid w:val="5923730C"/>
    <w:rsid w:val="59246BE1"/>
    <w:rsid w:val="592D018B"/>
    <w:rsid w:val="593307DD"/>
    <w:rsid w:val="594204CF"/>
    <w:rsid w:val="594A2AEB"/>
    <w:rsid w:val="59513E7A"/>
    <w:rsid w:val="5952374E"/>
    <w:rsid w:val="59544BDF"/>
    <w:rsid w:val="59745DBA"/>
    <w:rsid w:val="597A0260"/>
    <w:rsid w:val="597B2CA5"/>
    <w:rsid w:val="59854011"/>
    <w:rsid w:val="5988716F"/>
    <w:rsid w:val="598A738C"/>
    <w:rsid w:val="599223FD"/>
    <w:rsid w:val="59941601"/>
    <w:rsid w:val="59965D30"/>
    <w:rsid w:val="59A117BD"/>
    <w:rsid w:val="59B03041"/>
    <w:rsid w:val="59BA45FA"/>
    <w:rsid w:val="59C33F06"/>
    <w:rsid w:val="59C962AE"/>
    <w:rsid w:val="59D2488F"/>
    <w:rsid w:val="59D625D1"/>
    <w:rsid w:val="59DD74BB"/>
    <w:rsid w:val="59DE3233"/>
    <w:rsid w:val="59E00D5A"/>
    <w:rsid w:val="59FB5B93"/>
    <w:rsid w:val="59FE5684"/>
    <w:rsid w:val="5A040EEC"/>
    <w:rsid w:val="5A0A04CC"/>
    <w:rsid w:val="5A126AC9"/>
    <w:rsid w:val="5A1D5B0A"/>
    <w:rsid w:val="5A20479B"/>
    <w:rsid w:val="5A221372"/>
    <w:rsid w:val="5A405C9C"/>
    <w:rsid w:val="5A47527D"/>
    <w:rsid w:val="5A4E2167"/>
    <w:rsid w:val="5A594B8D"/>
    <w:rsid w:val="5A661E4F"/>
    <w:rsid w:val="5A6C2FE9"/>
    <w:rsid w:val="5A7122F9"/>
    <w:rsid w:val="5A731BCE"/>
    <w:rsid w:val="5A767910"/>
    <w:rsid w:val="5A7B0A82"/>
    <w:rsid w:val="5A7C4F26"/>
    <w:rsid w:val="5A871B1D"/>
    <w:rsid w:val="5A8C0EE1"/>
    <w:rsid w:val="5A8E36CC"/>
    <w:rsid w:val="5A98196C"/>
    <w:rsid w:val="5AAC3332"/>
    <w:rsid w:val="5AB81CD6"/>
    <w:rsid w:val="5ABF4E13"/>
    <w:rsid w:val="5AC16DDD"/>
    <w:rsid w:val="5AC3781F"/>
    <w:rsid w:val="5AC93EE4"/>
    <w:rsid w:val="5ACC7530"/>
    <w:rsid w:val="5AD71A00"/>
    <w:rsid w:val="5AD82E87"/>
    <w:rsid w:val="5AE64A95"/>
    <w:rsid w:val="5B101B12"/>
    <w:rsid w:val="5B13515F"/>
    <w:rsid w:val="5B1A64ED"/>
    <w:rsid w:val="5B21162A"/>
    <w:rsid w:val="5B2335F4"/>
    <w:rsid w:val="5B242EC8"/>
    <w:rsid w:val="5B280C0A"/>
    <w:rsid w:val="5B305D11"/>
    <w:rsid w:val="5B307ABF"/>
    <w:rsid w:val="5B351579"/>
    <w:rsid w:val="5B3E6680"/>
    <w:rsid w:val="5B413A7A"/>
    <w:rsid w:val="5B4325A2"/>
    <w:rsid w:val="5B435A44"/>
    <w:rsid w:val="5B4672E2"/>
    <w:rsid w:val="5B4E481E"/>
    <w:rsid w:val="5B527A35"/>
    <w:rsid w:val="5B601CC1"/>
    <w:rsid w:val="5B6360E6"/>
    <w:rsid w:val="5B636542"/>
    <w:rsid w:val="5B7A6F8C"/>
    <w:rsid w:val="5B7B51DE"/>
    <w:rsid w:val="5B813346"/>
    <w:rsid w:val="5B871DD5"/>
    <w:rsid w:val="5B8C73EB"/>
    <w:rsid w:val="5BA11CDC"/>
    <w:rsid w:val="5BA46CE2"/>
    <w:rsid w:val="5BBA55DA"/>
    <w:rsid w:val="5BBC5C29"/>
    <w:rsid w:val="5BC64B0E"/>
    <w:rsid w:val="5BCE7981"/>
    <w:rsid w:val="5BD112A2"/>
    <w:rsid w:val="5BD41136"/>
    <w:rsid w:val="5BD424E2"/>
    <w:rsid w:val="5BD54692"/>
    <w:rsid w:val="5BD92F2A"/>
    <w:rsid w:val="5BE2525D"/>
    <w:rsid w:val="5BE32D83"/>
    <w:rsid w:val="5BEA4FCD"/>
    <w:rsid w:val="5BEC1C38"/>
    <w:rsid w:val="5BF131C0"/>
    <w:rsid w:val="5BF46D3E"/>
    <w:rsid w:val="5BF84A80"/>
    <w:rsid w:val="5BF907F8"/>
    <w:rsid w:val="5BFA4B6A"/>
    <w:rsid w:val="5C003935"/>
    <w:rsid w:val="5C043425"/>
    <w:rsid w:val="5C0763B0"/>
    <w:rsid w:val="5C0F5926"/>
    <w:rsid w:val="5C115B42"/>
    <w:rsid w:val="5C1178F0"/>
    <w:rsid w:val="5C124BEB"/>
    <w:rsid w:val="5C182A2D"/>
    <w:rsid w:val="5C1B251D"/>
    <w:rsid w:val="5C1D05D0"/>
    <w:rsid w:val="5C1F498A"/>
    <w:rsid w:val="5C25339C"/>
    <w:rsid w:val="5C390BF5"/>
    <w:rsid w:val="5C3F26AF"/>
    <w:rsid w:val="5C4708E2"/>
    <w:rsid w:val="5C4B3416"/>
    <w:rsid w:val="5C4D0F4D"/>
    <w:rsid w:val="5C4F21C6"/>
    <w:rsid w:val="5C504241"/>
    <w:rsid w:val="5C533A65"/>
    <w:rsid w:val="5C550CA5"/>
    <w:rsid w:val="5C5B298D"/>
    <w:rsid w:val="5C6550CC"/>
    <w:rsid w:val="5C7731D7"/>
    <w:rsid w:val="5C7834CB"/>
    <w:rsid w:val="5C826B51"/>
    <w:rsid w:val="5C8C6F77"/>
    <w:rsid w:val="5C983B6D"/>
    <w:rsid w:val="5C993DFF"/>
    <w:rsid w:val="5C9F314E"/>
    <w:rsid w:val="5CA47E6E"/>
    <w:rsid w:val="5CA50038"/>
    <w:rsid w:val="5CA61CCA"/>
    <w:rsid w:val="5CA61FE4"/>
    <w:rsid w:val="5CAC7619"/>
    <w:rsid w:val="5CB84210"/>
    <w:rsid w:val="5CC67A06"/>
    <w:rsid w:val="5CD718AB"/>
    <w:rsid w:val="5CE609DA"/>
    <w:rsid w:val="5CEB1EEF"/>
    <w:rsid w:val="5CEE5E83"/>
    <w:rsid w:val="5CF36FF6"/>
    <w:rsid w:val="5CF84A82"/>
    <w:rsid w:val="5D017965"/>
    <w:rsid w:val="5D064F7B"/>
    <w:rsid w:val="5D094A6B"/>
    <w:rsid w:val="5D131446"/>
    <w:rsid w:val="5D1551BE"/>
    <w:rsid w:val="5D213E13"/>
    <w:rsid w:val="5D292A17"/>
    <w:rsid w:val="5D2C3FDA"/>
    <w:rsid w:val="5D301FF8"/>
    <w:rsid w:val="5D333896"/>
    <w:rsid w:val="5D3D7B55"/>
    <w:rsid w:val="5D3F64F7"/>
    <w:rsid w:val="5D4D4B67"/>
    <w:rsid w:val="5D680DAC"/>
    <w:rsid w:val="5D692B4A"/>
    <w:rsid w:val="5D760DFE"/>
    <w:rsid w:val="5D867E6A"/>
    <w:rsid w:val="5D8A5BAC"/>
    <w:rsid w:val="5D9545A0"/>
    <w:rsid w:val="5D972077"/>
    <w:rsid w:val="5D9F2CDA"/>
    <w:rsid w:val="5DA87DE0"/>
    <w:rsid w:val="5DAB1143"/>
    <w:rsid w:val="5DB17D02"/>
    <w:rsid w:val="5DC0337C"/>
    <w:rsid w:val="5DC56BE4"/>
    <w:rsid w:val="5DCC7F73"/>
    <w:rsid w:val="5DCF2503"/>
    <w:rsid w:val="5DD619A0"/>
    <w:rsid w:val="5DD97B2E"/>
    <w:rsid w:val="5DE0757A"/>
    <w:rsid w:val="5DE33377"/>
    <w:rsid w:val="5DF179D9"/>
    <w:rsid w:val="5DF50B4C"/>
    <w:rsid w:val="5E082F75"/>
    <w:rsid w:val="5E110C5E"/>
    <w:rsid w:val="5E183CFF"/>
    <w:rsid w:val="5E1E394A"/>
    <w:rsid w:val="5E2B7EEF"/>
    <w:rsid w:val="5E2C0A11"/>
    <w:rsid w:val="5E337FF2"/>
    <w:rsid w:val="5E3B6EA6"/>
    <w:rsid w:val="5E40626B"/>
    <w:rsid w:val="5E416216"/>
    <w:rsid w:val="5E4A7851"/>
    <w:rsid w:val="5E4C10B3"/>
    <w:rsid w:val="5E4D6861"/>
    <w:rsid w:val="5E52616B"/>
    <w:rsid w:val="5E5B12F6"/>
    <w:rsid w:val="5E5C29D8"/>
    <w:rsid w:val="5E631F59"/>
    <w:rsid w:val="5E67417C"/>
    <w:rsid w:val="5E6C3504"/>
    <w:rsid w:val="5E8048B9"/>
    <w:rsid w:val="5E897C12"/>
    <w:rsid w:val="5E912F6A"/>
    <w:rsid w:val="5E914D18"/>
    <w:rsid w:val="5E9345EC"/>
    <w:rsid w:val="5E961741"/>
    <w:rsid w:val="5E993BCD"/>
    <w:rsid w:val="5E99597B"/>
    <w:rsid w:val="5EA05BE0"/>
    <w:rsid w:val="5EAE7678"/>
    <w:rsid w:val="5EAF0F3F"/>
    <w:rsid w:val="5EB63CF0"/>
    <w:rsid w:val="5EBA601D"/>
    <w:rsid w:val="5ED30E8D"/>
    <w:rsid w:val="5EE673AD"/>
    <w:rsid w:val="5EEE216B"/>
    <w:rsid w:val="5EF05EE3"/>
    <w:rsid w:val="5EFC4888"/>
    <w:rsid w:val="5F0C25F1"/>
    <w:rsid w:val="5F182D44"/>
    <w:rsid w:val="5F1A6ABC"/>
    <w:rsid w:val="5F1C2834"/>
    <w:rsid w:val="5F1E133D"/>
    <w:rsid w:val="5F304531"/>
    <w:rsid w:val="5F3A715E"/>
    <w:rsid w:val="5F443B39"/>
    <w:rsid w:val="5F4955F3"/>
    <w:rsid w:val="5F5244A8"/>
    <w:rsid w:val="5F553F98"/>
    <w:rsid w:val="5F597925"/>
    <w:rsid w:val="5F5E109E"/>
    <w:rsid w:val="5F5F0972"/>
    <w:rsid w:val="5F6441ED"/>
    <w:rsid w:val="5F6661A5"/>
    <w:rsid w:val="5F6A6AC8"/>
    <w:rsid w:val="5F6E0BB6"/>
    <w:rsid w:val="5F6F6A29"/>
    <w:rsid w:val="5F731F95"/>
    <w:rsid w:val="5F773F0E"/>
    <w:rsid w:val="5F8403D9"/>
    <w:rsid w:val="5F84250C"/>
    <w:rsid w:val="5F866EC2"/>
    <w:rsid w:val="5F867CB5"/>
    <w:rsid w:val="5F8F3BF3"/>
    <w:rsid w:val="5F8F74AA"/>
    <w:rsid w:val="5F903222"/>
    <w:rsid w:val="5F960108"/>
    <w:rsid w:val="5F9A5E4E"/>
    <w:rsid w:val="5F9E1348"/>
    <w:rsid w:val="5FA12D39"/>
    <w:rsid w:val="5FA34D03"/>
    <w:rsid w:val="5FAA42E4"/>
    <w:rsid w:val="5FAE77AB"/>
    <w:rsid w:val="5FB521ED"/>
    <w:rsid w:val="5FBF6E35"/>
    <w:rsid w:val="5FC058B5"/>
    <w:rsid w:val="5FC133DB"/>
    <w:rsid w:val="5FC353A5"/>
    <w:rsid w:val="5FC41398"/>
    <w:rsid w:val="5FC8476A"/>
    <w:rsid w:val="5FD0361E"/>
    <w:rsid w:val="5FD90725"/>
    <w:rsid w:val="5FE311ED"/>
    <w:rsid w:val="5FE42E7C"/>
    <w:rsid w:val="5FF437B1"/>
    <w:rsid w:val="5FF87C5D"/>
    <w:rsid w:val="5FFC2665"/>
    <w:rsid w:val="600225BA"/>
    <w:rsid w:val="600315B6"/>
    <w:rsid w:val="600E3B45"/>
    <w:rsid w:val="60234096"/>
    <w:rsid w:val="60255718"/>
    <w:rsid w:val="60273055"/>
    <w:rsid w:val="6028345A"/>
    <w:rsid w:val="603242D9"/>
    <w:rsid w:val="604858AA"/>
    <w:rsid w:val="60502D88"/>
    <w:rsid w:val="60522285"/>
    <w:rsid w:val="605C5A30"/>
    <w:rsid w:val="60600E46"/>
    <w:rsid w:val="60787F3E"/>
    <w:rsid w:val="60795A64"/>
    <w:rsid w:val="60883EF9"/>
    <w:rsid w:val="609917DB"/>
    <w:rsid w:val="60996FA9"/>
    <w:rsid w:val="609A718E"/>
    <w:rsid w:val="60A26D69"/>
    <w:rsid w:val="60B149D0"/>
    <w:rsid w:val="60B70030"/>
    <w:rsid w:val="60C63929"/>
    <w:rsid w:val="60D1764E"/>
    <w:rsid w:val="60D443A1"/>
    <w:rsid w:val="60D94755"/>
    <w:rsid w:val="60DC2CC3"/>
    <w:rsid w:val="60EE1FAE"/>
    <w:rsid w:val="60F17CF0"/>
    <w:rsid w:val="610A2B60"/>
    <w:rsid w:val="611A7247"/>
    <w:rsid w:val="611D0AE5"/>
    <w:rsid w:val="612159BC"/>
    <w:rsid w:val="612F1AD1"/>
    <w:rsid w:val="6131633F"/>
    <w:rsid w:val="61371BA7"/>
    <w:rsid w:val="613720DD"/>
    <w:rsid w:val="613B24D6"/>
    <w:rsid w:val="614B5652"/>
    <w:rsid w:val="614E6EF1"/>
    <w:rsid w:val="615755BD"/>
    <w:rsid w:val="615D2A65"/>
    <w:rsid w:val="61613BEB"/>
    <w:rsid w:val="61647572"/>
    <w:rsid w:val="61693D2A"/>
    <w:rsid w:val="616B1851"/>
    <w:rsid w:val="616B35FF"/>
    <w:rsid w:val="61796574"/>
    <w:rsid w:val="61880654"/>
    <w:rsid w:val="6189617B"/>
    <w:rsid w:val="61903065"/>
    <w:rsid w:val="619568CD"/>
    <w:rsid w:val="619E4563"/>
    <w:rsid w:val="61A3723C"/>
    <w:rsid w:val="61B2122D"/>
    <w:rsid w:val="61B41449"/>
    <w:rsid w:val="61B825BC"/>
    <w:rsid w:val="61C64CD9"/>
    <w:rsid w:val="61C96577"/>
    <w:rsid w:val="61E06BEB"/>
    <w:rsid w:val="62033520"/>
    <w:rsid w:val="621F43E9"/>
    <w:rsid w:val="62404A8B"/>
    <w:rsid w:val="62410803"/>
    <w:rsid w:val="6244292D"/>
    <w:rsid w:val="624C78D4"/>
    <w:rsid w:val="625978FB"/>
    <w:rsid w:val="625C0D21"/>
    <w:rsid w:val="62671448"/>
    <w:rsid w:val="626867DC"/>
    <w:rsid w:val="626C4459"/>
    <w:rsid w:val="626D15F8"/>
    <w:rsid w:val="62726C0F"/>
    <w:rsid w:val="62733CFD"/>
    <w:rsid w:val="62782477"/>
    <w:rsid w:val="6280757E"/>
    <w:rsid w:val="62854B94"/>
    <w:rsid w:val="62875A90"/>
    <w:rsid w:val="629762BF"/>
    <w:rsid w:val="629B7F14"/>
    <w:rsid w:val="629D0130"/>
    <w:rsid w:val="62AD7C47"/>
    <w:rsid w:val="62B56ACB"/>
    <w:rsid w:val="62BD432E"/>
    <w:rsid w:val="62C0797A"/>
    <w:rsid w:val="62C30852"/>
    <w:rsid w:val="62C3746A"/>
    <w:rsid w:val="62CD07FB"/>
    <w:rsid w:val="62CF4061"/>
    <w:rsid w:val="62CF5E0F"/>
    <w:rsid w:val="62D41677"/>
    <w:rsid w:val="62DD677E"/>
    <w:rsid w:val="62E01DCA"/>
    <w:rsid w:val="62E31D83"/>
    <w:rsid w:val="62FA0C93"/>
    <w:rsid w:val="63065CD5"/>
    <w:rsid w:val="631421D2"/>
    <w:rsid w:val="632C3261"/>
    <w:rsid w:val="632F73B2"/>
    <w:rsid w:val="633012F7"/>
    <w:rsid w:val="633914DA"/>
    <w:rsid w:val="63584057"/>
    <w:rsid w:val="636C0637"/>
    <w:rsid w:val="63721D0E"/>
    <w:rsid w:val="63732C3E"/>
    <w:rsid w:val="637846F9"/>
    <w:rsid w:val="637864A7"/>
    <w:rsid w:val="63844E4C"/>
    <w:rsid w:val="63A64DC2"/>
    <w:rsid w:val="63AA2F5C"/>
    <w:rsid w:val="63AB062A"/>
    <w:rsid w:val="63AB4186"/>
    <w:rsid w:val="63AB687C"/>
    <w:rsid w:val="63B374DF"/>
    <w:rsid w:val="63C60FC0"/>
    <w:rsid w:val="63C65464"/>
    <w:rsid w:val="63C67212"/>
    <w:rsid w:val="63C96D02"/>
    <w:rsid w:val="63D77671"/>
    <w:rsid w:val="63DA0F0F"/>
    <w:rsid w:val="63DC4C88"/>
    <w:rsid w:val="63DD455C"/>
    <w:rsid w:val="63E2768C"/>
    <w:rsid w:val="63F21E60"/>
    <w:rsid w:val="63F7386F"/>
    <w:rsid w:val="63F7561D"/>
    <w:rsid w:val="63FF44D2"/>
    <w:rsid w:val="640146EE"/>
    <w:rsid w:val="640A6B8A"/>
    <w:rsid w:val="640D4E41"/>
    <w:rsid w:val="6417181C"/>
    <w:rsid w:val="641C5084"/>
    <w:rsid w:val="64243F39"/>
    <w:rsid w:val="643423CE"/>
    <w:rsid w:val="64430863"/>
    <w:rsid w:val="64441708"/>
    <w:rsid w:val="644B2E9F"/>
    <w:rsid w:val="64583BDF"/>
    <w:rsid w:val="646A4041"/>
    <w:rsid w:val="646B7DB9"/>
    <w:rsid w:val="64746C6E"/>
    <w:rsid w:val="64805613"/>
    <w:rsid w:val="648616AF"/>
    <w:rsid w:val="648A0240"/>
    <w:rsid w:val="648A46E4"/>
    <w:rsid w:val="648F1A25"/>
    <w:rsid w:val="64A5151D"/>
    <w:rsid w:val="64AF5EF8"/>
    <w:rsid w:val="64B11C70"/>
    <w:rsid w:val="64BD5DA3"/>
    <w:rsid w:val="64C37BF6"/>
    <w:rsid w:val="64C9520C"/>
    <w:rsid w:val="64DE2339"/>
    <w:rsid w:val="64E42046"/>
    <w:rsid w:val="64EA5182"/>
    <w:rsid w:val="64EC297E"/>
    <w:rsid w:val="64F102BF"/>
    <w:rsid w:val="64FE364A"/>
    <w:rsid w:val="650C5E5D"/>
    <w:rsid w:val="650D2C1F"/>
    <w:rsid w:val="651641C9"/>
    <w:rsid w:val="651A5A67"/>
    <w:rsid w:val="651B358E"/>
    <w:rsid w:val="65337EC4"/>
    <w:rsid w:val="65436640"/>
    <w:rsid w:val="654D7C2E"/>
    <w:rsid w:val="65505F7C"/>
    <w:rsid w:val="6569254B"/>
    <w:rsid w:val="656C3DE9"/>
    <w:rsid w:val="65757142"/>
    <w:rsid w:val="65765F2C"/>
    <w:rsid w:val="657E45EB"/>
    <w:rsid w:val="657F1D6E"/>
    <w:rsid w:val="658729D1"/>
    <w:rsid w:val="6591260E"/>
    <w:rsid w:val="6593581A"/>
    <w:rsid w:val="65AA59AB"/>
    <w:rsid w:val="65B37971"/>
    <w:rsid w:val="65C41297"/>
    <w:rsid w:val="65CB0B10"/>
    <w:rsid w:val="65D969F1"/>
    <w:rsid w:val="65EB2F60"/>
    <w:rsid w:val="65EB7404"/>
    <w:rsid w:val="65F468C3"/>
    <w:rsid w:val="65F53DDF"/>
    <w:rsid w:val="65FA13F5"/>
    <w:rsid w:val="6607508D"/>
    <w:rsid w:val="66081D64"/>
    <w:rsid w:val="660B53B0"/>
    <w:rsid w:val="66144897"/>
    <w:rsid w:val="661669E2"/>
    <w:rsid w:val="661B76D3"/>
    <w:rsid w:val="662B74D0"/>
    <w:rsid w:val="662D3578"/>
    <w:rsid w:val="663E5786"/>
    <w:rsid w:val="663F14FE"/>
    <w:rsid w:val="66415147"/>
    <w:rsid w:val="664D7777"/>
    <w:rsid w:val="665B6338"/>
    <w:rsid w:val="665C3E5E"/>
    <w:rsid w:val="665F56FC"/>
    <w:rsid w:val="666C0620"/>
    <w:rsid w:val="66703465"/>
    <w:rsid w:val="667557A7"/>
    <w:rsid w:val="66763171"/>
    <w:rsid w:val="6679056C"/>
    <w:rsid w:val="667D51BE"/>
    <w:rsid w:val="667E6793"/>
    <w:rsid w:val="66860EDB"/>
    <w:rsid w:val="66967370"/>
    <w:rsid w:val="669C0748"/>
    <w:rsid w:val="66A33109"/>
    <w:rsid w:val="66A51361"/>
    <w:rsid w:val="66A55799"/>
    <w:rsid w:val="66A80E51"/>
    <w:rsid w:val="66A8260B"/>
    <w:rsid w:val="66A82BFF"/>
    <w:rsid w:val="66AB3962"/>
    <w:rsid w:val="66C0619B"/>
    <w:rsid w:val="66C12C09"/>
    <w:rsid w:val="66C15989"/>
    <w:rsid w:val="66C35C8B"/>
    <w:rsid w:val="66C739CD"/>
    <w:rsid w:val="66C814F3"/>
    <w:rsid w:val="66D952C7"/>
    <w:rsid w:val="66DB4D83"/>
    <w:rsid w:val="66DE6A20"/>
    <w:rsid w:val="66E6060C"/>
    <w:rsid w:val="66F10A4A"/>
    <w:rsid w:val="66F145A6"/>
    <w:rsid w:val="66F26570"/>
    <w:rsid w:val="66F627FA"/>
    <w:rsid w:val="66F83B86"/>
    <w:rsid w:val="67000C8D"/>
    <w:rsid w:val="67002A3B"/>
    <w:rsid w:val="6703077D"/>
    <w:rsid w:val="6703252B"/>
    <w:rsid w:val="67055E1B"/>
    <w:rsid w:val="6707201B"/>
    <w:rsid w:val="670D5158"/>
    <w:rsid w:val="672277D6"/>
    <w:rsid w:val="67254250"/>
    <w:rsid w:val="67290209"/>
    <w:rsid w:val="672F50CE"/>
    <w:rsid w:val="67355406"/>
    <w:rsid w:val="6739040E"/>
    <w:rsid w:val="673D5A3D"/>
    <w:rsid w:val="674D37A6"/>
    <w:rsid w:val="67515045"/>
    <w:rsid w:val="675A65EF"/>
    <w:rsid w:val="675D60DF"/>
    <w:rsid w:val="676129D2"/>
    <w:rsid w:val="67700301"/>
    <w:rsid w:val="67746F85"/>
    <w:rsid w:val="67784CC7"/>
    <w:rsid w:val="677B7C35"/>
    <w:rsid w:val="6782404B"/>
    <w:rsid w:val="678673E4"/>
    <w:rsid w:val="678A6C8A"/>
    <w:rsid w:val="67931B01"/>
    <w:rsid w:val="67955879"/>
    <w:rsid w:val="67A96C2F"/>
    <w:rsid w:val="67B57CC9"/>
    <w:rsid w:val="67B657F0"/>
    <w:rsid w:val="67C021CA"/>
    <w:rsid w:val="67D0065F"/>
    <w:rsid w:val="67D31EFE"/>
    <w:rsid w:val="67E22141"/>
    <w:rsid w:val="67E916C6"/>
    <w:rsid w:val="67E934CF"/>
    <w:rsid w:val="67ED05CE"/>
    <w:rsid w:val="67FC3439"/>
    <w:rsid w:val="67FD6F7B"/>
    <w:rsid w:val="67FE19E3"/>
    <w:rsid w:val="67FF0F45"/>
    <w:rsid w:val="68071BA7"/>
    <w:rsid w:val="68125890"/>
    <w:rsid w:val="6817003C"/>
    <w:rsid w:val="682409AB"/>
    <w:rsid w:val="682E5386"/>
    <w:rsid w:val="68356714"/>
    <w:rsid w:val="68376930"/>
    <w:rsid w:val="683926A8"/>
    <w:rsid w:val="683A1F7D"/>
    <w:rsid w:val="683F7593"/>
    <w:rsid w:val="684233E6"/>
    <w:rsid w:val="684352D5"/>
    <w:rsid w:val="684A6664"/>
    <w:rsid w:val="684F3C7A"/>
    <w:rsid w:val="68520577"/>
    <w:rsid w:val="68556DB7"/>
    <w:rsid w:val="68577118"/>
    <w:rsid w:val="68614624"/>
    <w:rsid w:val="68660FC4"/>
    <w:rsid w:val="686B482C"/>
    <w:rsid w:val="687E00BB"/>
    <w:rsid w:val="68996CA3"/>
    <w:rsid w:val="689C6793"/>
    <w:rsid w:val="68A1024E"/>
    <w:rsid w:val="68A67612"/>
    <w:rsid w:val="68AE414D"/>
    <w:rsid w:val="68BE2BAE"/>
    <w:rsid w:val="68C55CEA"/>
    <w:rsid w:val="68C6767F"/>
    <w:rsid w:val="68CD1043"/>
    <w:rsid w:val="68E24AEE"/>
    <w:rsid w:val="68EB171F"/>
    <w:rsid w:val="68EB3277"/>
    <w:rsid w:val="68ED6FEF"/>
    <w:rsid w:val="68EF4B15"/>
    <w:rsid w:val="68F44821"/>
    <w:rsid w:val="68FA6539"/>
    <w:rsid w:val="69045669"/>
    <w:rsid w:val="69061428"/>
    <w:rsid w:val="690F3409"/>
    <w:rsid w:val="691B0000"/>
    <w:rsid w:val="6927078B"/>
    <w:rsid w:val="69286279"/>
    <w:rsid w:val="692E7D33"/>
    <w:rsid w:val="6931512E"/>
    <w:rsid w:val="69322B2E"/>
    <w:rsid w:val="69392234"/>
    <w:rsid w:val="693C3091"/>
    <w:rsid w:val="693F5EA4"/>
    <w:rsid w:val="69460607"/>
    <w:rsid w:val="694858F0"/>
    <w:rsid w:val="6951757E"/>
    <w:rsid w:val="69550BFB"/>
    <w:rsid w:val="696A458A"/>
    <w:rsid w:val="696A6B29"/>
    <w:rsid w:val="69715E72"/>
    <w:rsid w:val="69750E21"/>
    <w:rsid w:val="69765236"/>
    <w:rsid w:val="697B284D"/>
    <w:rsid w:val="698536CB"/>
    <w:rsid w:val="6985687C"/>
    <w:rsid w:val="698A0CE2"/>
    <w:rsid w:val="69913E1E"/>
    <w:rsid w:val="699851AD"/>
    <w:rsid w:val="699D0A15"/>
    <w:rsid w:val="699F29DF"/>
    <w:rsid w:val="69A048BD"/>
    <w:rsid w:val="69A71034"/>
    <w:rsid w:val="69A91168"/>
    <w:rsid w:val="69A9560C"/>
    <w:rsid w:val="69BD4DE0"/>
    <w:rsid w:val="69C27B02"/>
    <w:rsid w:val="69D64202"/>
    <w:rsid w:val="69E55F18"/>
    <w:rsid w:val="69E623BC"/>
    <w:rsid w:val="69ED6F02"/>
    <w:rsid w:val="69EE7223"/>
    <w:rsid w:val="69FD14B4"/>
    <w:rsid w:val="69FF338E"/>
    <w:rsid w:val="6A010FA4"/>
    <w:rsid w:val="6A0E1913"/>
    <w:rsid w:val="6A162576"/>
    <w:rsid w:val="6A1C0949"/>
    <w:rsid w:val="6A2E3F76"/>
    <w:rsid w:val="6A2E73C3"/>
    <w:rsid w:val="6A42336B"/>
    <w:rsid w:val="6A4729C1"/>
    <w:rsid w:val="6A503CD9"/>
    <w:rsid w:val="6A5135AE"/>
    <w:rsid w:val="6A646982"/>
    <w:rsid w:val="6A667059"/>
    <w:rsid w:val="6A687275"/>
    <w:rsid w:val="6A70612A"/>
    <w:rsid w:val="6A7A48B2"/>
    <w:rsid w:val="6A7F45BF"/>
    <w:rsid w:val="6A8120E5"/>
    <w:rsid w:val="6A817C2F"/>
    <w:rsid w:val="6A94006A"/>
    <w:rsid w:val="6A987C6F"/>
    <w:rsid w:val="6AB57FE0"/>
    <w:rsid w:val="6AB77A1F"/>
    <w:rsid w:val="6AC00E5F"/>
    <w:rsid w:val="6AC33F7B"/>
    <w:rsid w:val="6AC72890"/>
    <w:rsid w:val="6AC83870"/>
    <w:rsid w:val="6AC87871"/>
    <w:rsid w:val="6ACB3360"/>
    <w:rsid w:val="6AD20B92"/>
    <w:rsid w:val="6AD73E3C"/>
    <w:rsid w:val="6ADC731B"/>
    <w:rsid w:val="6AE461D0"/>
    <w:rsid w:val="6AE83309"/>
    <w:rsid w:val="6AEB19C5"/>
    <w:rsid w:val="6AF40B09"/>
    <w:rsid w:val="6AFB1E97"/>
    <w:rsid w:val="6B0625EA"/>
    <w:rsid w:val="6B064398"/>
    <w:rsid w:val="6B2313EE"/>
    <w:rsid w:val="6B235DBA"/>
    <w:rsid w:val="6B2B3DFF"/>
    <w:rsid w:val="6B2C2051"/>
    <w:rsid w:val="6B3453A9"/>
    <w:rsid w:val="6B347157"/>
    <w:rsid w:val="6B3B6738"/>
    <w:rsid w:val="6B450D39"/>
    <w:rsid w:val="6B4A1FF9"/>
    <w:rsid w:val="6B5275DD"/>
    <w:rsid w:val="6B581098"/>
    <w:rsid w:val="6B633598"/>
    <w:rsid w:val="6B6712DB"/>
    <w:rsid w:val="6B6D2669"/>
    <w:rsid w:val="6B7E44A8"/>
    <w:rsid w:val="6B7E6624"/>
    <w:rsid w:val="6B802B7B"/>
    <w:rsid w:val="6B851761"/>
    <w:rsid w:val="6B855C05"/>
    <w:rsid w:val="6B9D2F4E"/>
    <w:rsid w:val="6BA22313"/>
    <w:rsid w:val="6BA442DD"/>
    <w:rsid w:val="6BAF1DFC"/>
    <w:rsid w:val="6BAF67DE"/>
    <w:rsid w:val="6BB32772"/>
    <w:rsid w:val="6BB641D1"/>
    <w:rsid w:val="6BB72213"/>
    <w:rsid w:val="6BD46244"/>
    <w:rsid w:val="6BD91AAD"/>
    <w:rsid w:val="6BDD77EF"/>
    <w:rsid w:val="6BE75F78"/>
    <w:rsid w:val="6BF16DF6"/>
    <w:rsid w:val="6BFB26B9"/>
    <w:rsid w:val="6C003F58"/>
    <w:rsid w:val="6C007039"/>
    <w:rsid w:val="6C121EEA"/>
    <w:rsid w:val="6C1E27FB"/>
    <w:rsid w:val="6C2125B9"/>
    <w:rsid w:val="6C21592D"/>
    <w:rsid w:val="6C264CF2"/>
    <w:rsid w:val="6C270A6A"/>
    <w:rsid w:val="6C2E2F51"/>
    <w:rsid w:val="6C3A079D"/>
    <w:rsid w:val="6C3F4006"/>
    <w:rsid w:val="6C45127D"/>
    <w:rsid w:val="6C477A48"/>
    <w:rsid w:val="6C4D6279"/>
    <w:rsid w:val="6C5555D7"/>
    <w:rsid w:val="6C613F7C"/>
    <w:rsid w:val="6C6B4DFB"/>
    <w:rsid w:val="6C6E0447"/>
    <w:rsid w:val="6C731F01"/>
    <w:rsid w:val="6C7454B2"/>
    <w:rsid w:val="6C80161C"/>
    <w:rsid w:val="6C8C7A1A"/>
    <w:rsid w:val="6C922387"/>
    <w:rsid w:val="6C9C1458"/>
    <w:rsid w:val="6CAA1C24"/>
    <w:rsid w:val="6CAB21FB"/>
    <w:rsid w:val="6CAC1E84"/>
    <w:rsid w:val="6CB542C8"/>
    <w:rsid w:val="6CBF0CA2"/>
    <w:rsid w:val="6CBF6EF4"/>
    <w:rsid w:val="6CC5763D"/>
    <w:rsid w:val="6CC664D5"/>
    <w:rsid w:val="6CCB5899"/>
    <w:rsid w:val="6CD7449F"/>
    <w:rsid w:val="6CE8148E"/>
    <w:rsid w:val="6CF05300"/>
    <w:rsid w:val="6CF43A7A"/>
    <w:rsid w:val="6CF803B7"/>
    <w:rsid w:val="6D003795"/>
    <w:rsid w:val="6D0D7C60"/>
    <w:rsid w:val="6D140FEE"/>
    <w:rsid w:val="6D162FB8"/>
    <w:rsid w:val="6D1919FD"/>
    <w:rsid w:val="6D1C6C99"/>
    <w:rsid w:val="6D266F73"/>
    <w:rsid w:val="6D281E21"/>
    <w:rsid w:val="6D295F60"/>
    <w:rsid w:val="6D347596"/>
    <w:rsid w:val="6D350F65"/>
    <w:rsid w:val="6D463172"/>
    <w:rsid w:val="6D4713C4"/>
    <w:rsid w:val="6D4E476D"/>
    <w:rsid w:val="6D596E90"/>
    <w:rsid w:val="6D68758C"/>
    <w:rsid w:val="6D763A57"/>
    <w:rsid w:val="6D7E7B0E"/>
    <w:rsid w:val="6D82064E"/>
    <w:rsid w:val="6D851EEC"/>
    <w:rsid w:val="6D940200"/>
    <w:rsid w:val="6DA07862"/>
    <w:rsid w:val="6DA22A9E"/>
    <w:rsid w:val="6DA7490C"/>
    <w:rsid w:val="6DAD31F1"/>
    <w:rsid w:val="6DAE7C8E"/>
    <w:rsid w:val="6DBB590E"/>
    <w:rsid w:val="6DD8201C"/>
    <w:rsid w:val="6DD864C0"/>
    <w:rsid w:val="6DE33684"/>
    <w:rsid w:val="6DE60B88"/>
    <w:rsid w:val="6DF30C1B"/>
    <w:rsid w:val="6DF33D76"/>
    <w:rsid w:val="6DF40A60"/>
    <w:rsid w:val="6DF42BCE"/>
    <w:rsid w:val="6DFD3487"/>
    <w:rsid w:val="6E061D25"/>
    <w:rsid w:val="6E080427"/>
    <w:rsid w:val="6E0F7A08"/>
    <w:rsid w:val="6E102D68"/>
    <w:rsid w:val="6E1B45FE"/>
    <w:rsid w:val="6E245261"/>
    <w:rsid w:val="6E2E4063"/>
    <w:rsid w:val="6E3A4A84"/>
    <w:rsid w:val="6E3C285F"/>
    <w:rsid w:val="6E587601"/>
    <w:rsid w:val="6E5E6D9D"/>
    <w:rsid w:val="6E7004A6"/>
    <w:rsid w:val="6E75610B"/>
    <w:rsid w:val="6E772037"/>
    <w:rsid w:val="6E846A90"/>
    <w:rsid w:val="6E8977BA"/>
    <w:rsid w:val="6E8A2144"/>
    <w:rsid w:val="6E8E4DD0"/>
    <w:rsid w:val="6E8E6B7E"/>
    <w:rsid w:val="6E963C85"/>
    <w:rsid w:val="6E9929AC"/>
    <w:rsid w:val="6E9D5013"/>
    <w:rsid w:val="6EAE733F"/>
    <w:rsid w:val="6EB505AF"/>
    <w:rsid w:val="6EC922AC"/>
    <w:rsid w:val="6ECB4CD8"/>
    <w:rsid w:val="6ECE1BA8"/>
    <w:rsid w:val="6ECF5D6D"/>
    <w:rsid w:val="6EE3336E"/>
    <w:rsid w:val="6EE67590"/>
    <w:rsid w:val="6EE70FDE"/>
    <w:rsid w:val="6EEA69AD"/>
    <w:rsid w:val="6EEB3447"/>
    <w:rsid w:val="6EF94940"/>
    <w:rsid w:val="6EFA2466"/>
    <w:rsid w:val="6EFD1D73"/>
    <w:rsid w:val="6EFD5AB2"/>
    <w:rsid w:val="6F0D3F47"/>
    <w:rsid w:val="6F143527"/>
    <w:rsid w:val="6F1B6067"/>
    <w:rsid w:val="6F1E4323"/>
    <w:rsid w:val="6F2620DC"/>
    <w:rsid w:val="6F28453E"/>
    <w:rsid w:val="6F435BBB"/>
    <w:rsid w:val="6F4656AB"/>
    <w:rsid w:val="6F49551F"/>
    <w:rsid w:val="6F4A519B"/>
    <w:rsid w:val="6F4B0F13"/>
    <w:rsid w:val="6F4D07E7"/>
    <w:rsid w:val="6F4E27BA"/>
    <w:rsid w:val="6F54601A"/>
    <w:rsid w:val="6F626E48"/>
    <w:rsid w:val="6F72024E"/>
    <w:rsid w:val="6F7400F2"/>
    <w:rsid w:val="6F742218"/>
    <w:rsid w:val="6F7E3097"/>
    <w:rsid w:val="6F812184"/>
    <w:rsid w:val="6F8D3F04"/>
    <w:rsid w:val="6F970471"/>
    <w:rsid w:val="6F974654"/>
    <w:rsid w:val="6F997ED1"/>
    <w:rsid w:val="6F9C52CB"/>
    <w:rsid w:val="6FAD1286"/>
    <w:rsid w:val="6FB10D76"/>
    <w:rsid w:val="6FB70357"/>
    <w:rsid w:val="6FB97C2B"/>
    <w:rsid w:val="6FC51A41"/>
    <w:rsid w:val="6FC532F8"/>
    <w:rsid w:val="6FD26F3F"/>
    <w:rsid w:val="6FD40F09"/>
    <w:rsid w:val="6FD902CD"/>
    <w:rsid w:val="6FE32EFA"/>
    <w:rsid w:val="6FE86762"/>
    <w:rsid w:val="6FEC1DAE"/>
    <w:rsid w:val="6FF84BF7"/>
    <w:rsid w:val="70003AAC"/>
    <w:rsid w:val="700B6F04"/>
    <w:rsid w:val="701017BB"/>
    <w:rsid w:val="70131A31"/>
    <w:rsid w:val="70300C7F"/>
    <w:rsid w:val="70333E81"/>
    <w:rsid w:val="70385739"/>
    <w:rsid w:val="7040034C"/>
    <w:rsid w:val="704020FA"/>
    <w:rsid w:val="70457711"/>
    <w:rsid w:val="704A5564"/>
    <w:rsid w:val="705A140E"/>
    <w:rsid w:val="705A5513"/>
    <w:rsid w:val="705B5186"/>
    <w:rsid w:val="705F4C76"/>
    <w:rsid w:val="7062706D"/>
    <w:rsid w:val="70710506"/>
    <w:rsid w:val="70751679"/>
    <w:rsid w:val="707D50FC"/>
    <w:rsid w:val="708446DD"/>
    <w:rsid w:val="70853FB1"/>
    <w:rsid w:val="7089584F"/>
    <w:rsid w:val="708C533F"/>
    <w:rsid w:val="70981E9C"/>
    <w:rsid w:val="709F2104"/>
    <w:rsid w:val="70A47E6A"/>
    <w:rsid w:val="70AB7EBB"/>
    <w:rsid w:val="70AE0489"/>
    <w:rsid w:val="70B12FF8"/>
    <w:rsid w:val="70C36F04"/>
    <w:rsid w:val="70CC1BE0"/>
    <w:rsid w:val="70D319E7"/>
    <w:rsid w:val="70D75F53"/>
    <w:rsid w:val="70D80585"/>
    <w:rsid w:val="70E6077F"/>
    <w:rsid w:val="70E62CA2"/>
    <w:rsid w:val="70EC468E"/>
    <w:rsid w:val="70EE7DA8"/>
    <w:rsid w:val="70F76C5D"/>
    <w:rsid w:val="71062254"/>
    <w:rsid w:val="710812D5"/>
    <w:rsid w:val="71125845"/>
    <w:rsid w:val="71145A61"/>
    <w:rsid w:val="71202DBA"/>
    <w:rsid w:val="71241A1C"/>
    <w:rsid w:val="712D267F"/>
    <w:rsid w:val="71311A98"/>
    <w:rsid w:val="713779A1"/>
    <w:rsid w:val="71397773"/>
    <w:rsid w:val="71493231"/>
    <w:rsid w:val="714D4ACF"/>
    <w:rsid w:val="71520337"/>
    <w:rsid w:val="71520A3E"/>
    <w:rsid w:val="715C7408"/>
    <w:rsid w:val="716F161B"/>
    <w:rsid w:val="717B5D98"/>
    <w:rsid w:val="717C3606"/>
    <w:rsid w:val="718F158B"/>
    <w:rsid w:val="71902BFF"/>
    <w:rsid w:val="71950F82"/>
    <w:rsid w:val="71956476"/>
    <w:rsid w:val="71995F66"/>
    <w:rsid w:val="71A74762"/>
    <w:rsid w:val="71BA28B0"/>
    <w:rsid w:val="71CA611F"/>
    <w:rsid w:val="71D76943"/>
    <w:rsid w:val="71F633B8"/>
    <w:rsid w:val="72035AD5"/>
    <w:rsid w:val="720930EC"/>
    <w:rsid w:val="720C2BDC"/>
    <w:rsid w:val="72125FA4"/>
    <w:rsid w:val="72127AC6"/>
    <w:rsid w:val="72135D18"/>
    <w:rsid w:val="72190E55"/>
    <w:rsid w:val="72225F5B"/>
    <w:rsid w:val="722A4E10"/>
    <w:rsid w:val="72345C8F"/>
    <w:rsid w:val="7238577F"/>
    <w:rsid w:val="72395053"/>
    <w:rsid w:val="724759C2"/>
    <w:rsid w:val="724F0D1A"/>
    <w:rsid w:val="72516841"/>
    <w:rsid w:val="725241B4"/>
    <w:rsid w:val="726A16B0"/>
    <w:rsid w:val="726F7761"/>
    <w:rsid w:val="72780225"/>
    <w:rsid w:val="72783DCD"/>
    <w:rsid w:val="727B38BE"/>
    <w:rsid w:val="727F33AE"/>
    <w:rsid w:val="72816D82"/>
    <w:rsid w:val="728E35F1"/>
    <w:rsid w:val="729C3F60"/>
    <w:rsid w:val="72B56DCF"/>
    <w:rsid w:val="72B70089"/>
    <w:rsid w:val="72B73C27"/>
    <w:rsid w:val="72C7009D"/>
    <w:rsid w:val="72DF209E"/>
    <w:rsid w:val="72DF3E4C"/>
    <w:rsid w:val="72E66F89"/>
    <w:rsid w:val="72E7195E"/>
    <w:rsid w:val="72E76F8D"/>
    <w:rsid w:val="7306762B"/>
    <w:rsid w:val="730B55B9"/>
    <w:rsid w:val="730E64E0"/>
    <w:rsid w:val="731A1328"/>
    <w:rsid w:val="731A30D6"/>
    <w:rsid w:val="731F249B"/>
    <w:rsid w:val="73253671"/>
    <w:rsid w:val="73306456"/>
    <w:rsid w:val="73317A27"/>
    <w:rsid w:val="733817AF"/>
    <w:rsid w:val="73463ECB"/>
    <w:rsid w:val="735008A6"/>
    <w:rsid w:val="73526E9E"/>
    <w:rsid w:val="735859AD"/>
    <w:rsid w:val="735B6DB7"/>
    <w:rsid w:val="735C2691"/>
    <w:rsid w:val="73682094"/>
    <w:rsid w:val="736E6F7E"/>
    <w:rsid w:val="737353DE"/>
    <w:rsid w:val="73767F05"/>
    <w:rsid w:val="7379604F"/>
    <w:rsid w:val="737C5B3F"/>
    <w:rsid w:val="738806AE"/>
    <w:rsid w:val="73886292"/>
    <w:rsid w:val="73890FDE"/>
    <w:rsid w:val="73903399"/>
    <w:rsid w:val="73A62438"/>
    <w:rsid w:val="73BA3CC2"/>
    <w:rsid w:val="73BB49CC"/>
    <w:rsid w:val="73BE02D8"/>
    <w:rsid w:val="73C117A4"/>
    <w:rsid w:val="73D50144"/>
    <w:rsid w:val="73DD4830"/>
    <w:rsid w:val="73E060CE"/>
    <w:rsid w:val="73E243E2"/>
    <w:rsid w:val="73E97A4A"/>
    <w:rsid w:val="73ED07EB"/>
    <w:rsid w:val="73EF1E6D"/>
    <w:rsid w:val="73F54808"/>
    <w:rsid w:val="73F602AE"/>
    <w:rsid w:val="74051691"/>
    <w:rsid w:val="740D1EA9"/>
    <w:rsid w:val="74116287"/>
    <w:rsid w:val="74161AF0"/>
    <w:rsid w:val="741B7106"/>
    <w:rsid w:val="741E5489"/>
    <w:rsid w:val="742F7A23"/>
    <w:rsid w:val="74325266"/>
    <w:rsid w:val="74335059"/>
    <w:rsid w:val="743D707D"/>
    <w:rsid w:val="744B56A6"/>
    <w:rsid w:val="744D4DE6"/>
    <w:rsid w:val="7452064E"/>
    <w:rsid w:val="745443C6"/>
    <w:rsid w:val="74575619"/>
    <w:rsid w:val="74634609"/>
    <w:rsid w:val="74685677"/>
    <w:rsid w:val="74771AD8"/>
    <w:rsid w:val="747E1443"/>
    <w:rsid w:val="74884070"/>
    <w:rsid w:val="74895730"/>
    <w:rsid w:val="74934EEE"/>
    <w:rsid w:val="74943E9C"/>
    <w:rsid w:val="749B1FF5"/>
    <w:rsid w:val="749D4236"/>
    <w:rsid w:val="74A0551B"/>
    <w:rsid w:val="74A30713"/>
    <w:rsid w:val="74B82BA7"/>
    <w:rsid w:val="74B84955"/>
    <w:rsid w:val="74B86703"/>
    <w:rsid w:val="74BB61F3"/>
    <w:rsid w:val="74C40BE9"/>
    <w:rsid w:val="74CA6436"/>
    <w:rsid w:val="74CE3E3B"/>
    <w:rsid w:val="74D067FF"/>
    <w:rsid w:val="74E25E76"/>
    <w:rsid w:val="74EE481B"/>
    <w:rsid w:val="74F71921"/>
    <w:rsid w:val="74FB2A94"/>
    <w:rsid w:val="75063912"/>
    <w:rsid w:val="750A2CD7"/>
    <w:rsid w:val="750C462A"/>
    <w:rsid w:val="751029E3"/>
    <w:rsid w:val="75181898"/>
    <w:rsid w:val="751D118B"/>
    <w:rsid w:val="75241FEA"/>
    <w:rsid w:val="75271ADB"/>
    <w:rsid w:val="75275B9B"/>
    <w:rsid w:val="752873BF"/>
    <w:rsid w:val="753560F9"/>
    <w:rsid w:val="753B10E2"/>
    <w:rsid w:val="75402C0D"/>
    <w:rsid w:val="7544443B"/>
    <w:rsid w:val="75497CA3"/>
    <w:rsid w:val="754D1541"/>
    <w:rsid w:val="756D573F"/>
    <w:rsid w:val="757271FA"/>
    <w:rsid w:val="75792D9E"/>
    <w:rsid w:val="757A7E5C"/>
    <w:rsid w:val="758A424E"/>
    <w:rsid w:val="758D4498"/>
    <w:rsid w:val="758E3C4E"/>
    <w:rsid w:val="75932CCC"/>
    <w:rsid w:val="75947170"/>
    <w:rsid w:val="75A05F49"/>
    <w:rsid w:val="75A44ED9"/>
    <w:rsid w:val="75A629FF"/>
    <w:rsid w:val="75AB2AFD"/>
    <w:rsid w:val="75B72D40"/>
    <w:rsid w:val="75BB6DDA"/>
    <w:rsid w:val="75BC0475"/>
    <w:rsid w:val="75CE1F56"/>
    <w:rsid w:val="75D94137"/>
    <w:rsid w:val="75DA08FB"/>
    <w:rsid w:val="75E85141"/>
    <w:rsid w:val="760A3051"/>
    <w:rsid w:val="760B4F58"/>
    <w:rsid w:val="760B6D06"/>
    <w:rsid w:val="760F2C9B"/>
    <w:rsid w:val="761262E7"/>
    <w:rsid w:val="76155DFB"/>
    <w:rsid w:val="761B163F"/>
    <w:rsid w:val="76230272"/>
    <w:rsid w:val="762D1373"/>
    <w:rsid w:val="76360227"/>
    <w:rsid w:val="76371C9A"/>
    <w:rsid w:val="764861AD"/>
    <w:rsid w:val="76562678"/>
    <w:rsid w:val="76581B86"/>
    <w:rsid w:val="765A1DB4"/>
    <w:rsid w:val="765A68B9"/>
    <w:rsid w:val="7662023E"/>
    <w:rsid w:val="76750167"/>
    <w:rsid w:val="7684793E"/>
    <w:rsid w:val="76852F5D"/>
    <w:rsid w:val="76946CFC"/>
    <w:rsid w:val="76992564"/>
    <w:rsid w:val="76A235BC"/>
    <w:rsid w:val="76A258BD"/>
    <w:rsid w:val="76AC2297"/>
    <w:rsid w:val="76AF3B36"/>
    <w:rsid w:val="76BD44A5"/>
    <w:rsid w:val="76C02622"/>
    <w:rsid w:val="76D02273"/>
    <w:rsid w:val="76DF266D"/>
    <w:rsid w:val="76E00193"/>
    <w:rsid w:val="76E618C8"/>
    <w:rsid w:val="76F01A11"/>
    <w:rsid w:val="76F62536"/>
    <w:rsid w:val="76F63F8E"/>
    <w:rsid w:val="76FD2AF3"/>
    <w:rsid w:val="77122026"/>
    <w:rsid w:val="7731679C"/>
    <w:rsid w:val="773F310C"/>
    <w:rsid w:val="77456248"/>
    <w:rsid w:val="77541DD9"/>
    <w:rsid w:val="775B3563"/>
    <w:rsid w:val="776808B4"/>
    <w:rsid w:val="776B3F01"/>
    <w:rsid w:val="777032C5"/>
    <w:rsid w:val="77737259"/>
    <w:rsid w:val="77752FD1"/>
    <w:rsid w:val="77785FC0"/>
    <w:rsid w:val="777C69F4"/>
    <w:rsid w:val="778E4B3B"/>
    <w:rsid w:val="779852C0"/>
    <w:rsid w:val="779D6D1F"/>
    <w:rsid w:val="77A13DC6"/>
    <w:rsid w:val="77A17922"/>
    <w:rsid w:val="77AE3DED"/>
    <w:rsid w:val="77B37656"/>
    <w:rsid w:val="77B43AFA"/>
    <w:rsid w:val="77C3377A"/>
    <w:rsid w:val="77C35AEB"/>
    <w:rsid w:val="77C655DB"/>
    <w:rsid w:val="77C74EAF"/>
    <w:rsid w:val="77CC7885"/>
    <w:rsid w:val="77D01FB6"/>
    <w:rsid w:val="77D870BC"/>
    <w:rsid w:val="77DE46D3"/>
    <w:rsid w:val="77E12415"/>
    <w:rsid w:val="77E45A61"/>
    <w:rsid w:val="77E617D9"/>
    <w:rsid w:val="77F35CA4"/>
    <w:rsid w:val="77F43EF6"/>
    <w:rsid w:val="77FE5A01"/>
    <w:rsid w:val="78024049"/>
    <w:rsid w:val="78054355"/>
    <w:rsid w:val="780802FA"/>
    <w:rsid w:val="780D6D66"/>
    <w:rsid w:val="78177082"/>
    <w:rsid w:val="78212811"/>
    <w:rsid w:val="78232A2D"/>
    <w:rsid w:val="783B1E8A"/>
    <w:rsid w:val="784B788E"/>
    <w:rsid w:val="78520C1D"/>
    <w:rsid w:val="785E75C1"/>
    <w:rsid w:val="78632E2A"/>
    <w:rsid w:val="78650950"/>
    <w:rsid w:val="78714A9B"/>
    <w:rsid w:val="78727E4E"/>
    <w:rsid w:val="78793335"/>
    <w:rsid w:val="787B63C5"/>
    <w:rsid w:val="78872FBC"/>
    <w:rsid w:val="78886D34"/>
    <w:rsid w:val="788D434B"/>
    <w:rsid w:val="78964FAD"/>
    <w:rsid w:val="78A23952"/>
    <w:rsid w:val="78AA2807"/>
    <w:rsid w:val="78AE072B"/>
    <w:rsid w:val="78AE0DB3"/>
    <w:rsid w:val="78B27304"/>
    <w:rsid w:val="78BE5D96"/>
    <w:rsid w:val="78C7160B"/>
    <w:rsid w:val="78CE6947"/>
    <w:rsid w:val="78D66F48"/>
    <w:rsid w:val="78DC790C"/>
    <w:rsid w:val="78EE4DE9"/>
    <w:rsid w:val="78F148D9"/>
    <w:rsid w:val="790243F1"/>
    <w:rsid w:val="79091C23"/>
    <w:rsid w:val="790F4D60"/>
    <w:rsid w:val="791505C8"/>
    <w:rsid w:val="791B3704"/>
    <w:rsid w:val="791D122B"/>
    <w:rsid w:val="79264CEE"/>
    <w:rsid w:val="79294073"/>
    <w:rsid w:val="792B7DEB"/>
    <w:rsid w:val="793B3DA7"/>
    <w:rsid w:val="79415FFC"/>
    <w:rsid w:val="79420C91"/>
    <w:rsid w:val="79442C5B"/>
    <w:rsid w:val="794D412D"/>
    <w:rsid w:val="79584959"/>
    <w:rsid w:val="795D5ACB"/>
    <w:rsid w:val="796C5D0E"/>
    <w:rsid w:val="79821A9D"/>
    <w:rsid w:val="79823784"/>
    <w:rsid w:val="798D4602"/>
    <w:rsid w:val="799139C7"/>
    <w:rsid w:val="7995549D"/>
    <w:rsid w:val="79984D55"/>
    <w:rsid w:val="79A454A8"/>
    <w:rsid w:val="79A75DED"/>
    <w:rsid w:val="79A90FEB"/>
    <w:rsid w:val="79A951B4"/>
    <w:rsid w:val="79B576B5"/>
    <w:rsid w:val="79BB0B66"/>
    <w:rsid w:val="79BB48AD"/>
    <w:rsid w:val="79C36276"/>
    <w:rsid w:val="79D02741"/>
    <w:rsid w:val="79D0629D"/>
    <w:rsid w:val="79DA25B1"/>
    <w:rsid w:val="79DF2984"/>
    <w:rsid w:val="79E41D48"/>
    <w:rsid w:val="79E461EC"/>
    <w:rsid w:val="79E927CD"/>
    <w:rsid w:val="79EE579E"/>
    <w:rsid w:val="79F20909"/>
    <w:rsid w:val="79F24465"/>
    <w:rsid w:val="7A096D9E"/>
    <w:rsid w:val="7A0E5017"/>
    <w:rsid w:val="7A116EA2"/>
    <w:rsid w:val="7A1268B5"/>
    <w:rsid w:val="7A1350B3"/>
    <w:rsid w:val="7A17211E"/>
    <w:rsid w:val="7A2041A1"/>
    <w:rsid w:val="7A266805"/>
    <w:rsid w:val="7A320D06"/>
    <w:rsid w:val="7A3525A4"/>
    <w:rsid w:val="7A37456E"/>
    <w:rsid w:val="7A4A42A1"/>
    <w:rsid w:val="7A4B0019"/>
    <w:rsid w:val="7A4D2AE1"/>
    <w:rsid w:val="7A572FE3"/>
    <w:rsid w:val="7A886B78"/>
    <w:rsid w:val="7A8D0632"/>
    <w:rsid w:val="7A940CEF"/>
    <w:rsid w:val="7A965738"/>
    <w:rsid w:val="7A9B4AFD"/>
    <w:rsid w:val="7A9D6AC7"/>
    <w:rsid w:val="7AA8546C"/>
    <w:rsid w:val="7AB20098"/>
    <w:rsid w:val="7AB30796"/>
    <w:rsid w:val="7AB505DC"/>
    <w:rsid w:val="7AB908C6"/>
    <w:rsid w:val="7AB97154"/>
    <w:rsid w:val="7ABC4A73"/>
    <w:rsid w:val="7AC06311"/>
    <w:rsid w:val="7AC83418"/>
    <w:rsid w:val="7ACF0C4A"/>
    <w:rsid w:val="7ADE0E8D"/>
    <w:rsid w:val="7ADE2C3C"/>
    <w:rsid w:val="7AE04C06"/>
    <w:rsid w:val="7AE70843"/>
    <w:rsid w:val="7AE83ABA"/>
    <w:rsid w:val="7AEE42B9"/>
    <w:rsid w:val="7AEF6BF7"/>
    <w:rsid w:val="7AF97A75"/>
    <w:rsid w:val="7B036659"/>
    <w:rsid w:val="7B113011"/>
    <w:rsid w:val="7B40682E"/>
    <w:rsid w:val="7B476A33"/>
    <w:rsid w:val="7B48546D"/>
    <w:rsid w:val="7B4F0850"/>
    <w:rsid w:val="7B5353D8"/>
    <w:rsid w:val="7B5F5B2A"/>
    <w:rsid w:val="7B6475E5"/>
    <w:rsid w:val="7B6C6499"/>
    <w:rsid w:val="7B7610C6"/>
    <w:rsid w:val="7B767318"/>
    <w:rsid w:val="7B864A64"/>
    <w:rsid w:val="7B8E6410"/>
    <w:rsid w:val="7B973491"/>
    <w:rsid w:val="7BB87930"/>
    <w:rsid w:val="7BBB2A32"/>
    <w:rsid w:val="7BC142DE"/>
    <w:rsid w:val="7BC2430B"/>
    <w:rsid w:val="7BC63DFB"/>
    <w:rsid w:val="7BCE3BEB"/>
    <w:rsid w:val="7BD15117"/>
    <w:rsid w:val="7BD27A5D"/>
    <w:rsid w:val="7BD71D77"/>
    <w:rsid w:val="7BDF0A19"/>
    <w:rsid w:val="7BE1477E"/>
    <w:rsid w:val="7BE656D4"/>
    <w:rsid w:val="7BED5740"/>
    <w:rsid w:val="7BF70459"/>
    <w:rsid w:val="7C010D1F"/>
    <w:rsid w:val="7C073499"/>
    <w:rsid w:val="7C077F70"/>
    <w:rsid w:val="7C085991"/>
    <w:rsid w:val="7C09018C"/>
    <w:rsid w:val="7C091F3A"/>
    <w:rsid w:val="7C0B3F04"/>
    <w:rsid w:val="7C127041"/>
    <w:rsid w:val="7C1728A9"/>
    <w:rsid w:val="7C29166A"/>
    <w:rsid w:val="7C32323F"/>
    <w:rsid w:val="7C352D2F"/>
    <w:rsid w:val="7C3A6597"/>
    <w:rsid w:val="7C4411C4"/>
    <w:rsid w:val="7C445F6B"/>
    <w:rsid w:val="7C465062"/>
    <w:rsid w:val="7C484810"/>
    <w:rsid w:val="7C4A67DB"/>
    <w:rsid w:val="7C550AA2"/>
    <w:rsid w:val="7C72188D"/>
    <w:rsid w:val="7C725D31"/>
    <w:rsid w:val="7C75137E"/>
    <w:rsid w:val="7C7F3FAA"/>
    <w:rsid w:val="7C8B294F"/>
    <w:rsid w:val="7C8F68E3"/>
    <w:rsid w:val="7C923CDE"/>
    <w:rsid w:val="7C9C1750"/>
    <w:rsid w:val="7CA0289E"/>
    <w:rsid w:val="7CB63E70"/>
    <w:rsid w:val="7CB71996"/>
    <w:rsid w:val="7CCF6CE0"/>
    <w:rsid w:val="7CD97B5E"/>
    <w:rsid w:val="7CDC13FD"/>
    <w:rsid w:val="7CE8247F"/>
    <w:rsid w:val="7CEA7AB5"/>
    <w:rsid w:val="7D0A7D18"/>
    <w:rsid w:val="7D1564DB"/>
    <w:rsid w:val="7D1A3036"/>
    <w:rsid w:val="7D1B3B82"/>
    <w:rsid w:val="7D212011"/>
    <w:rsid w:val="7D2A2168"/>
    <w:rsid w:val="7D2A660C"/>
    <w:rsid w:val="7D2B2528"/>
    <w:rsid w:val="7D366731"/>
    <w:rsid w:val="7D3D1E9B"/>
    <w:rsid w:val="7D474AC8"/>
    <w:rsid w:val="7D4A0A5C"/>
    <w:rsid w:val="7D4F2DA7"/>
    <w:rsid w:val="7D5176F5"/>
    <w:rsid w:val="7D5353F5"/>
    <w:rsid w:val="7D584EB5"/>
    <w:rsid w:val="7D5D253D"/>
    <w:rsid w:val="7D6A6A08"/>
    <w:rsid w:val="7D750FF3"/>
    <w:rsid w:val="7D782ED3"/>
    <w:rsid w:val="7D7B1F42"/>
    <w:rsid w:val="7D7D04EA"/>
    <w:rsid w:val="7D8A2C07"/>
    <w:rsid w:val="7D8B6E4D"/>
    <w:rsid w:val="7D8E1243"/>
    <w:rsid w:val="7D910439"/>
    <w:rsid w:val="7D935F5F"/>
    <w:rsid w:val="7D943A85"/>
    <w:rsid w:val="7D9B03F2"/>
    <w:rsid w:val="7DA168CE"/>
    <w:rsid w:val="7DA95783"/>
    <w:rsid w:val="7DAA70EE"/>
    <w:rsid w:val="7DD32800"/>
    <w:rsid w:val="7DD52BE0"/>
    <w:rsid w:val="7DE40569"/>
    <w:rsid w:val="7DE467BB"/>
    <w:rsid w:val="7DEC38C1"/>
    <w:rsid w:val="7DEE3196"/>
    <w:rsid w:val="7DF05160"/>
    <w:rsid w:val="7DFA4230"/>
    <w:rsid w:val="7DFA7D8C"/>
    <w:rsid w:val="7DFB021F"/>
    <w:rsid w:val="7DFD162B"/>
    <w:rsid w:val="7DFD787D"/>
    <w:rsid w:val="7E012B5A"/>
    <w:rsid w:val="7E09289C"/>
    <w:rsid w:val="7E096221"/>
    <w:rsid w:val="7E133C92"/>
    <w:rsid w:val="7E135A11"/>
    <w:rsid w:val="7E14262D"/>
    <w:rsid w:val="7E150010"/>
    <w:rsid w:val="7E156974"/>
    <w:rsid w:val="7E1A4D7A"/>
    <w:rsid w:val="7E221091"/>
    <w:rsid w:val="7E2D63B4"/>
    <w:rsid w:val="7E4159BB"/>
    <w:rsid w:val="7E454AE8"/>
    <w:rsid w:val="7E4963B9"/>
    <w:rsid w:val="7E525835"/>
    <w:rsid w:val="7E5E47BF"/>
    <w:rsid w:val="7E5F4018"/>
    <w:rsid w:val="7E635932"/>
    <w:rsid w:val="7E6943E0"/>
    <w:rsid w:val="7E6E05F5"/>
    <w:rsid w:val="7E7434D8"/>
    <w:rsid w:val="7E7E10FB"/>
    <w:rsid w:val="7E8C712F"/>
    <w:rsid w:val="7E8F2BCB"/>
    <w:rsid w:val="7E906943"/>
    <w:rsid w:val="7E993502"/>
    <w:rsid w:val="7E9975A5"/>
    <w:rsid w:val="7EA6304A"/>
    <w:rsid w:val="7EA87DB4"/>
    <w:rsid w:val="7EAF0B77"/>
    <w:rsid w:val="7EAF7C44"/>
    <w:rsid w:val="7EB0669D"/>
    <w:rsid w:val="7EB27693"/>
    <w:rsid w:val="7EC565EC"/>
    <w:rsid w:val="7EC87E8B"/>
    <w:rsid w:val="7ECA3E11"/>
    <w:rsid w:val="7ECD54A1"/>
    <w:rsid w:val="7ED33FC6"/>
    <w:rsid w:val="7ED405DD"/>
    <w:rsid w:val="7ED62316"/>
    <w:rsid w:val="7EDE145C"/>
    <w:rsid w:val="7EE36A72"/>
    <w:rsid w:val="7EEC1DCB"/>
    <w:rsid w:val="7EF770D6"/>
    <w:rsid w:val="7EFE1AFE"/>
    <w:rsid w:val="7F0A04A3"/>
    <w:rsid w:val="7F0A3FFF"/>
    <w:rsid w:val="7F0F7867"/>
    <w:rsid w:val="7F196938"/>
    <w:rsid w:val="7F231565"/>
    <w:rsid w:val="7F3177DE"/>
    <w:rsid w:val="7F3379FA"/>
    <w:rsid w:val="7F402117"/>
    <w:rsid w:val="7F46773E"/>
    <w:rsid w:val="7F4D213E"/>
    <w:rsid w:val="7F547970"/>
    <w:rsid w:val="7F58120E"/>
    <w:rsid w:val="7F6851CA"/>
    <w:rsid w:val="7F6F0306"/>
    <w:rsid w:val="7F6F47AA"/>
    <w:rsid w:val="7F6F6558"/>
    <w:rsid w:val="7F735A2D"/>
    <w:rsid w:val="7F762FA4"/>
    <w:rsid w:val="7F7B4EFD"/>
    <w:rsid w:val="7F820039"/>
    <w:rsid w:val="7F911521"/>
    <w:rsid w:val="7F967F89"/>
    <w:rsid w:val="7FAE0E2E"/>
    <w:rsid w:val="7FB03369"/>
    <w:rsid w:val="7FBD3767"/>
    <w:rsid w:val="7FC56DC0"/>
    <w:rsid w:val="7FCA19E0"/>
    <w:rsid w:val="7FD85EAB"/>
    <w:rsid w:val="7FDD10FC"/>
    <w:rsid w:val="7FE44850"/>
    <w:rsid w:val="7FEC1957"/>
    <w:rsid w:val="7FEE1B73"/>
    <w:rsid w:val="7FF13411"/>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2"/>
    <w:basedOn w:val="1"/>
    <w:next w:val="1"/>
    <w:semiHidden/>
    <w:unhideWhenUsed/>
    <w:qFormat/>
    <w:uiPriority w:val="0"/>
    <w:pPr>
      <w:spacing w:beforeAutospacing="1" w:afterAutospacing="1"/>
      <w:outlineLvl w:val="1"/>
    </w:pPr>
    <w:rPr>
      <w:rFonts w:hint="eastAsia" w:ascii="宋体" w:hAnsi="宋体" w:eastAsia="宋体"/>
      <w:b/>
      <w:bCs/>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28"/>
      <w:szCs w:val="28"/>
    </w:rPr>
  </w:style>
  <w:style w:type="paragraph" w:styleId="4">
    <w:name w:val="Body Text Indent"/>
    <w:basedOn w:val="1"/>
    <w:qFormat/>
    <w:uiPriority w:val="0"/>
    <w:pPr>
      <w:ind w:firstLine="720" w:firstLineChars="257"/>
    </w:pPr>
    <w:rPr>
      <w:rFonts w:ascii="Calibri" w:hAnsi="Calibri"/>
      <w:sz w:val="20"/>
    </w:rPr>
  </w:style>
  <w:style w:type="paragraph" w:styleId="5">
    <w:name w:val="footer"/>
    <w:basedOn w:val="1"/>
    <w:unhideWhenUsed/>
    <w:qFormat/>
    <w:uiPriority w:val="99"/>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0"/>
  </w:style>
  <w:style w:type="paragraph" w:styleId="8">
    <w:name w:val="toc 2"/>
    <w:basedOn w:val="1"/>
    <w:next w:val="1"/>
    <w:autoRedefine/>
    <w:qFormat/>
    <w:uiPriority w:val="0"/>
    <w:pPr>
      <w:ind w:left="420" w:leftChars="200"/>
    </w:pPr>
  </w:style>
  <w:style w:type="paragraph" w:styleId="9">
    <w:name w:val="Normal (Web)"/>
    <w:basedOn w:val="1"/>
    <w:qFormat/>
    <w:uiPriority w:val="0"/>
    <w:pPr>
      <w:spacing w:beforeAutospacing="1" w:afterAutospacing="1"/>
    </w:pPr>
  </w:style>
  <w:style w:type="paragraph" w:styleId="10">
    <w:name w:val="Body Text First Indent 2"/>
    <w:basedOn w:val="4"/>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Table Text"/>
    <w:basedOn w:val="1"/>
    <w:autoRedefine/>
    <w:semiHidden/>
    <w:qFormat/>
    <w:uiPriority w:val="0"/>
    <w:rPr>
      <w:rFonts w:ascii="宋体" w:hAnsi="宋体" w:eastAsia="宋体" w:cs="宋体"/>
      <w:sz w:val="18"/>
      <w:szCs w:val="18"/>
      <w:lang w:eastAsia="en-US"/>
    </w:rPr>
  </w:style>
  <w:style w:type="character" w:customStyle="1" w:styleId="16">
    <w:name w:val="font41"/>
    <w:basedOn w:val="13"/>
    <w:autoRedefine/>
    <w:qFormat/>
    <w:uiPriority w:val="0"/>
    <w:rPr>
      <w:rFonts w:hint="eastAsia" w:ascii="宋体" w:hAnsi="宋体" w:eastAsia="宋体" w:cs="宋体"/>
      <w:color w:val="000000"/>
      <w:sz w:val="18"/>
      <w:szCs w:val="18"/>
      <w:u w:val="none"/>
    </w:rPr>
  </w:style>
  <w:style w:type="character" w:customStyle="1" w:styleId="17">
    <w:name w:val="font51"/>
    <w:basedOn w:val="13"/>
    <w:autoRedefine/>
    <w:qFormat/>
    <w:uiPriority w:val="0"/>
    <w:rPr>
      <w:rFonts w:hint="eastAsia" w:ascii="宋体" w:hAnsi="宋体" w:eastAsia="宋体" w:cs="宋体"/>
      <w:color w:val="000000"/>
      <w:sz w:val="18"/>
      <w:szCs w:val="18"/>
      <w:u w:val="none"/>
    </w:rPr>
  </w:style>
  <w:style w:type="character" w:customStyle="1" w:styleId="18">
    <w:name w:val="font1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1"/>
      <w:szCs w:val="21"/>
      <w:u w:val="none"/>
    </w:rPr>
  </w:style>
  <w:style w:type="character" w:customStyle="1" w:styleId="20">
    <w:name w:val="font01"/>
    <w:basedOn w:val="13"/>
    <w:qFormat/>
    <w:uiPriority w:val="0"/>
    <w:rPr>
      <w:rFonts w:hint="eastAsia" w:ascii="宋体" w:hAnsi="宋体" w:eastAsia="宋体" w:cs="宋体"/>
      <w:color w:val="000000"/>
      <w:sz w:val="22"/>
      <w:szCs w:val="22"/>
      <w:u w:val="none"/>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31"/>
    <w:basedOn w:val="13"/>
    <w:qFormat/>
    <w:uiPriority w:val="0"/>
    <w:rPr>
      <w:rFonts w:hint="eastAsia" w:ascii="宋体" w:hAnsi="宋体" w:eastAsia="宋体" w:cs="宋体"/>
      <w:color w:val="000000"/>
      <w:sz w:val="16"/>
      <w:szCs w:val="16"/>
      <w:u w:val="none"/>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4487</Words>
  <Characters>4843</Characters>
  <Lines>1202</Lines>
  <Paragraphs>1174</Paragraphs>
  <TotalTime>1</TotalTime>
  <ScaleCrop>false</ScaleCrop>
  <LinksUpToDate>false</LinksUpToDate>
  <CharactersWithSpaces>4953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2025-10-11T08:00:00Z</cp:lastPrinted>
  <dcterms:modified xsi:type="dcterms:W3CDTF">2025-12-15T08:29:52Z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A138C62B2F9D4F49B84B0ADC95A743E2_13</vt:lpwstr>
  </property>
  <property fmtid="{D5CDD505-2E9C-101B-9397-08002B2CF9AE}" pid="4" name="KSOTemplateDocerSaveRecord">
    <vt:lpwstr>eyJoZGlkIjoiZjIxODY5ZmQ4NzRjMmVhOWE1NDFmYmY4MDIwY2YyNGYiLCJ1c2VySWQiOiIzODE3MjE5NDQifQ==</vt:lpwstr>
  </property>
</Properties>
</file>