
<file path=[Content_Types].xml><?xml version="1.0" encoding="utf-8"?>
<Types xmlns="http://schemas.openxmlformats.org/package/2006/content-types">
  <Default Extension="xml" ContentType="application/xml"/>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46A6">
      <w:pPr>
        <w:keepNext w:val="0"/>
        <w:keepLines w:val="0"/>
        <w:pageBreakBefore w:val="0"/>
        <w:widowControl w:val="0"/>
        <w:kinsoku/>
        <w:wordWrap/>
        <w:overflowPunct/>
        <w:topLinePunct w:val="0"/>
        <w:autoSpaceDE/>
        <w:autoSpaceDN/>
        <w:bidi w:val="0"/>
        <w:adjustRightInd/>
        <w:snapToGrid/>
        <w:jc w:val="distribute"/>
        <w:textAlignment w:val="auto"/>
        <w:rPr>
          <w:rFonts w:hint="eastAsia" w:ascii="仿宋" w:hAnsi="仿宋" w:eastAsia="仿宋" w:cs="仿宋"/>
          <w:b/>
          <w:bCs/>
          <w:sz w:val="36"/>
          <w:szCs w:val="36"/>
          <w:lang w:eastAsia="zh-CN"/>
        </w:rPr>
      </w:pPr>
      <w:bookmarkStart w:id="57" w:name="_GoBack"/>
      <w:bookmarkEnd w:id="57"/>
      <w:r>
        <w:rPr>
          <w:rFonts w:hint="eastAsia" w:ascii="仿宋" w:hAnsi="仿宋" w:eastAsia="仿宋" w:cs="仿宋"/>
          <w:b/>
          <w:bCs/>
          <w:kern w:val="0"/>
          <w:sz w:val="36"/>
          <w:szCs w:val="36"/>
          <w:lang w:bidi="ar-SA"/>
        </w:rPr>
        <mc:AlternateContent>
          <mc:Choice Requires="wps">
            <w:drawing>
              <wp:anchor distT="0" distB="0" distL="114300" distR="114300" simplePos="0" relativeHeight="251662336" behindDoc="0" locked="0" layoutInCell="1" allowOverlap="1">
                <wp:simplePos x="0" y="0"/>
                <wp:positionH relativeFrom="column">
                  <wp:posOffset>5339715</wp:posOffset>
                </wp:positionH>
                <wp:positionV relativeFrom="paragraph">
                  <wp:posOffset>-565150</wp:posOffset>
                </wp:positionV>
                <wp:extent cx="666750" cy="592455"/>
                <wp:effectExtent l="0" t="0" r="0" b="17145"/>
                <wp:wrapNone/>
                <wp:docPr id="40" name="文本框 40"/>
                <wp:cNvGraphicFramePr/>
                <a:graphic xmlns:a="http://schemas.openxmlformats.org/drawingml/2006/main">
                  <a:graphicData uri="http://schemas.microsoft.com/office/word/2010/wordprocessingShape">
                    <wps:wsp>
                      <wps:cNvSpPr txBox="1"/>
                      <wps:spPr>
                        <a:xfrm>
                          <a:off x="0" y="0"/>
                          <a:ext cx="666750" cy="5924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7DD29C4">
                            <w:pPr>
                              <w:jc w:val="center"/>
                              <w:rPr>
                                <w:rFonts w:hint="default"/>
                                <w:b/>
                                <w:bCs/>
                                <w:sz w:val="32"/>
                                <w:szCs w:val="32"/>
                                <w:lang w:val="en-US" w:eastAsia="zh-CN"/>
                              </w:rPr>
                            </w:pPr>
                            <w:r>
                              <w:rPr>
                                <w:rFonts w:hint="eastAsia"/>
                                <w:b/>
                                <w:bCs/>
                                <w:sz w:val="32"/>
                                <w:szCs w:val="32"/>
                                <w:lang w:val="en-US" w:eastAsia="zh-CN"/>
                              </w:rPr>
                              <w:t>C12</w:t>
                            </w:r>
                          </w:p>
                          <w:p w14:paraId="2C473F4B">
                            <w:pPr>
                              <w:jc w:val="center"/>
                              <w:rPr>
                                <w:rFonts w:hint="default"/>
                                <w:b/>
                                <w:bCs/>
                                <w:sz w:val="32"/>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0.45pt;margin-top:-44.5pt;height:46.65pt;width:52.5pt;z-index:251662336;mso-width-relative:page;mso-height-relative:page;" fillcolor="#FFFFFF [3201]" filled="t" stroked="f" coordsize="21600,21600" o:gfxdata="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CWtbdrVAAAACQEAAA8AAAAAAAAA&#10;AQAgAAAAIgAAAGRycy9kb3ducmV2LnhtbFBLAQIUABQAAAAIAIdO4kC8koLiTQIAAJAEAAAOAAAA&#10;AAAAAAEAIAAAACQBAABkcnMvZTJvRG9jLnhtbFBLBQYAAAAABgAGAFkBAADjBQAAAAA=&#10;">
                <v:fill on="t" focussize="0,0"/>
                <v:stroke on="f" weight="0.5pt"/>
                <v:imagedata o:title=""/>
                <o:lock v:ext="edit" aspectratio="f"/>
                <v:textbox>
                  <w:txbxContent>
                    <w:p w14:paraId="47DD29C4">
                      <w:pPr>
                        <w:jc w:val="center"/>
                        <w:rPr>
                          <w:rFonts w:hint="default"/>
                          <w:b/>
                          <w:bCs/>
                          <w:sz w:val="32"/>
                          <w:szCs w:val="32"/>
                          <w:lang w:val="en-US" w:eastAsia="zh-CN"/>
                        </w:rPr>
                      </w:pPr>
                      <w:r>
                        <w:rPr>
                          <w:rFonts w:hint="eastAsia"/>
                          <w:b/>
                          <w:bCs/>
                          <w:sz w:val="32"/>
                          <w:szCs w:val="32"/>
                          <w:lang w:val="en-US" w:eastAsia="zh-CN"/>
                        </w:rPr>
                        <w:t>C12</w:t>
                      </w:r>
                    </w:p>
                    <w:p w14:paraId="2C473F4B">
                      <w:pPr>
                        <w:jc w:val="center"/>
                        <w:rPr>
                          <w:rFonts w:hint="default"/>
                          <w:b/>
                          <w:bCs/>
                          <w:sz w:val="32"/>
                          <w:szCs w:val="32"/>
                          <w:lang w:val="en-US" w:eastAsia="zh-CN"/>
                        </w:rPr>
                      </w:pPr>
                    </w:p>
                  </w:txbxContent>
                </v:textbox>
              </v:shape>
            </w:pict>
          </mc:Fallback>
        </mc:AlternateContent>
      </w:r>
      <w:r>
        <w:rPr>
          <w:rFonts w:hint="eastAsia" w:ascii="仿宋" w:hAnsi="仿宋" w:eastAsia="仿宋" w:cs="仿宋"/>
          <w:b/>
          <w:bCs/>
          <w:kern w:val="0"/>
          <w:sz w:val="36"/>
          <w:szCs w:val="36"/>
          <w:lang w:eastAsia="zh-CN" w:bidi="ar-SA"/>
        </w:rPr>
        <w:t>湖南浩</w:t>
      </w:r>
      <w:r>
        <w:rPr>
          <w:rFonts w:hint="eastAsia" w:ascii="仿宋" w:hAnsi="仿宋" w:eastAsia="仿宋" w:cs="仿宋"/>
          <w:b/>
          <w:bCs/>
          <w:sz w:val="36"/>
          <w:szCs w:val="36"/>
          <w:lang w:eastAsia="zh-CN"/>
        </w:rPr>
        <w:t>元会计师事务所（普通合伙）</w:t>
      </w:r>
    </w:p>
    <w:p w14:paraId="2EE52B05">
      <w:pPr>
        <w:widowControl w:val="0"/>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Hunan Haoyuan Certified Public Accountants GP</w:t>
      </w:r>
    </w:p>
    <w:p w14:paraId="05C4277D">
      <w:pPr>
        <w:widowControl w:val="0"/>
        <w:jc w:val="center"/>
        <w:rPr>
          <w:rFonts w:hint="eastAsia" w:ascii="仿宋" w:hAnsi="仿宋" w:eastAsia="仿宋" w:cs="仿宋"/>
          <w:sz w:val="32"/>
          <w:szCs w:val="32"/>
          <w:lang w:eastAsia="zh-CN"/>
        </w:rPr>
      </w:pPr>
    </w:p>
    <w:p w14:paraId="2CE24707">
      <w:pPr>
        <w:widowControl w:val="0"/>
        <w:jc w:val="both"/>
        <w:rPr>
          <w:rFonts w:hint="eastAsia" w:ascii="仿宋" w:hAnsi="仿宋" w:eastAsia="仿宋" w:cs="仿宋"/>
          <w:sz w:val="32"/>
          <w:szCs w:val="32"/>
          <w:lang w:eastAsia="zh-CN"/>
        </w:rPr>
      </w:pPr>
    </w:p>
    <w:p w14:paraId="4BA2C105">
      <w:pPr>
        <w:widowControl w:val="0"/>
        <w:jc w:val="both"/>
        <w:rPr>
          <w:rFonts w:hint="eastAsia" w:ascii="仿宋" w:hAnsi="仿宋" w:eastAsia="仿宋" w:cs="仿宋"/>
          <w:sz w:val="32"/>
          <w:szCs w:val="32"/>
          <w:lang w:eastAsia="zh-CN"/>
        </w:rPr>
      </w:pPr>
    </w:p>
    <w:p w14:paraId="7F0AE20D">
      <w:pPr>
        <w:widowControl w:val="0"/>
        <w:jc w:val="center"/>
        <w:rPr>
          <w:rFonts w:hint="eastAsia" w:ascii="方正隶二简体" w:hAnsi="方正隶二简体" w:eastAsia="方正隶二简体" w:cs="方正隶二简体"/>
          <w:sz w:val="72"/>
          <w:szCs w:val="72"/>
          <w:lang w:eastAsia="zh-CN"/>
        </w:rPr>
      </w:pPr>
      <w:r>
        <w:rPr>
          <w:rFonts w:hint="eastAsia" w:ascii="方正隶二简体" w:hAnsi="方正隶二简体" w:eastAsia="方正隶二简体" w:cs="方正隶二简体"/>
          <w:sz w:val="72"/>
          <w:szCs w:val="72"/>
          <w:lang w:val="en-US" w:eastAsia="zh-CN"/>
        </w:rPr>
        <w:t>绩效评价</w:t>
      </w:r>
      <w:r>
        <w:rPr>
          <w:rFonts w:hint="eastAsia" w:ascii="方正隶二简体" w:hAnsi="方正隶二简体" w:eastAsia="方正隶二简体" w:cs="方正隶二简体"/>
          <w:sz w:val="72"/>
          <w:szCs w:val="72"/>
          <w:lang w:eastAsia="zh-CN"/>
        </w:rPr>
        <w:t>报告</w:t>
      </w:r>
    </w:p>
    <w:p w14:paraId="59FC2698">
      <w:pPr>
        <w:widowControl w:val="0"/>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]第号</w:t>
      </w:r>
    </w:p>
    <w:p w14:paraId="5FA7B718">
      <w:pPr>
        <w:widowControl w:val="0"/>
        <w:jc w:val="center"/>
        <w:rPr>
          <w:rFonts w:hint="eastAsia" w:ascii="仿宋" w:hAnsi="仿宋" w:eastAsia="仿宋" w:cs="仿宋"/>
          <w:sz w:val="32"/>
          <w:szCs w:val="32"/>
          <w:lang w:eastAsia="zh-CN"/>
        </w:rPr>
      </w:pPr>
    </w:p>
    <w:p w14:paraId="24348FBC">
      <w:pPr>
        <w:widowControl w:val="0"/>
        <w:jc w:val="both"/>
        <w:rPr>
          <w:rFonts w:hint="eastAsia" w:ascii="仿宋" w:hAnsi="仿宋" w:eastAsia="仿宋" w:cs="仿宋"/>
          <w:sz w:val="32"/>
          <w:szCs w:val="32"/>
          <w:lang w:eastAsia="zh-CN"/>
        </w:rPr>
      </w:pPr>
    </w:p>
    <w:p w14:paraId="60A0E5B7">
      <w:pPr>
        <w:widowControl w:val="0"/>
        <w:jc w:val="center"/>
        <w:rPr>
          <w:rFonts w:hint="eastAsia" w:ascii="黑体" w:hAnsi="黑体" w:eastAsia="黑体" w:cs="黑体"/>
          <w:sz w:val="36"/>
          <w:szCs w:val="36"/>
          <w:lang w:val="en-US" w:eastAsia="zh-CN"/>
        </w:rPr>
      </w:pPr>
      <w:r>
        <w:rPr>
          <w:rFonts w:hint="eastAsia" w:ascii="黑体" w:hAnsi="黑体" w:eastAsia="黑体" w:cs="黑体"/>
          <w:sz w:val="36"/>
          <w:szCs w:val="36"/>
          <w:lang w:val="en-US" w:eastAsia="zh-CN"/>
        </w:rPr>
        <w:t>2024年中共雁峰区委办公室</w:t>
      </w:r>
    </w:p>
    <w:p w14:paraId="08E74D41">
      <w:pPr>
        <w:widowControl w:val="0"/>
        <w:jc w:val="center"/>
        <w:rPr>
          <w:rFonts w:hint="default" w:ascii="黑体" w:hAnsi="黑体" w:eastAsia="黑体" w:cs="黑体"/>
          <w:sz w:val="36"/>
          <w:szCs w:val="36"/>
          <w:lang w:val="en-US" w:eastAsia="zh-CN"/>
        </w:rPr>
      </w:pPr>
      <w:r>
        <w:rPr>
          <w:rFonts w:hint="eastAsia" w:ascii="黑体" w:hAnsi="黑体" w:eastAsia="黑体" w:cs="黑体"/>
          <w:sz w:val="36"/>
          <w:szCs w:val="36"/>
          <w:lang w:val="en-US" w:eastAsia="zh-CN"/>
        </w:rPr>
        <w:t>部门整体支出</w:t>
      </w:r>
    </w:p>
    <w:p w14:paraId="4B8D29C5">
      <w:pPr>
        <w:keepNext w:val="0"/>
        <w:keepLines w:val="0"/>
        <w:pageBreakBefore w:val="0"/>
        <w:widowControl/>
        <w:kinsoku/>
        <w:wordWrap/>
        <w:overflowPunct/>
        <w:topLinePunct w:val="0"/>
        <w:autoSpaceDE/>
        <w:autoSpaceDN/>
        <w:bidi w:val="0"/>
        <w:adjustRightInd/>
        <w:snapToGrid/>
        <w:spacing w:before="567" w:line="360" w:lineRule="auto"/>
        <w:jc w:val="both"/>
        <w:textAlignment w:val="auto"/>
        <w:rPr>
          <w:rFonts w:hint="eastAsia" w:ascii="黑体" w:hAnsi="黑体" w:eastAsia="黑体" w:cs="黑体"/>
          <w:sz w:val="52"/>
          <w:szCs w:val="52"/>
          <w:u w:val="none"/>
          <w:lang w:eastAsia="zh-CN"/>
        </w:rPr>
      </w:pPr>
    </w:p>
    <w:p w14:paraId="73DC98AA">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rPr>
          <w:rFonts w:hint="default"/>
          <w:u w:val="none"/>
          <w:lang w:val="en-US" w:eastAsia="zh-CN"/>
        </w:rPr>
      </w:pPr>
    </w:p>
    <w:p w14:paraId="568F0119">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69164F4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p>
    <w:p w14:paraId="40503361">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项目单位：中共雁峰区委办公室</w:t>
      </w:r>
    </w:p>
    <w:p w14:paraId="4665FB66">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主管单位</w:t>
      </w:r>
      <w:r>
        <w:rPr>
          <w:rFonts w:hint="eastAsia" w:ascii="宋体" w:hAnsi="宋体" w:eastAsia="宋体" w:cs="宋体"/>
          <w:b/>
          <w:bCs/>
          <w:sz w:val="32"/>
          <w:szCs w:val="32"/>
          <w:highlight w:val="none"/>
          <w:u w:val="none"/>
          <w:lang w:val="en-US" w:eastAsia="zh-CN"/>
        </w:rPr>
        <w:t>：雁峰区人民政府</w:t>
      </w:r>
    </w:p>
    <w:p w14:paraId="7BC4045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sz w:val="32"/>
          <w:szCs w:val="32"/>
          <w:u w:val="none"/>
          <w:lang w:val="en-US" w:eastAsia="zh-CN"/>
        </w:rPr>
      </w:pPr>
      <w:r>
        <w:rPr>
          <w:rFonts w:hint="eastAsia" w:ascii="宋体" w:hAnsi="宋体" w:eastAsia="宋体" w:cs="宋体"/>
          <w:b/>
          <w:bCs/>
          <w:sz w:val="32"/>
          <w:szCs w:val="32"/>
          <w:u w:val="none"/>
          <w:lang w:val="en-US" w:eastAsia="zh-CN"/>
        </w:rPr>
        <w:t>委托单位：雁峰区财政局</w:t>
      </w:r>
    </w:p>
    <w:p w14:paraId="0179B913">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bCs/>
          <w:sz w:val="32"/>
          <w:szCs w:val="32"/>
          <w:u w:val="none"/>
          <w:lang w:val="en-US" w:eastAsia="zh-CN"/>
        </w:rPr>
      </w:pPr>
      <w:r>
        <w:rPr>
          <w:rFonts w:hint="eastAsia" w:ascii="宋体" w:hAnsi="宋体" w:eastAsia="宋体" w:cs="宋体"/>
          <w:b/>
          <w:bCs/>
          <w:spacing w:val="320"/>
          <w:kern w:val="0"/>
          <w:sz w:val="32"/>
          <w:szCs w:val="32"/>
          <w:u w:val="none"/>
          <w:fitText w:val="1280" w:id="2085554003"/>
          <w:lang w:val="en-US" w:eastAsia="zh-CN"/>
        </w:rPr>
        <w:t>日</w:t>
      </w:r>
      <w:r>
        <w:rPr>
          <w:rFonts w:hint="eastAsia" w:ascii="宋体" w:hAnsi="宋体" w:eastAsia="宋体" w:cs="宋体"/>
          <w:b/>
          <w:bCs/>
          <w:spacing w:val="0"/>
          <w:kern w:val="0"/>
          <w:sz w:val="32"/>
          <w:szCs w:val="32"/>
          <w:u w:val="none"/>
          <w:fitText w:val="1280" w:id="2085554003"/>
          <w:lang w:val="en-US" w:eastAsia="zh-CN"/>
        </w:rPr>
        <w:t>期</w:t>
      </w:r>
      <w:r>
        <w:rPr>
          <w:rFonts w:hint="eastAsia" w:ascii="宋体" w:hAnsi="宋体" w:eastAsia="宋体" w:cs="宋体"/>
          <w:b/>
          <w:bCs/>
          <w:sz w:val="32"/>
          <w:szCs w:val="32"/>
          <w:u w:val="none"/>
          <w:lang w:val="en-US" w:eastAsia="zh-CN"/>
        </w:rPr>
        <w:t>：2025年12月15日</w:t>
      </w:r>
    </w:p>
    <w:p w14:paraId="482C60CD">
      <w:pPr>
        <w:pStyle w:val="10"/>
        <w:tabs>
          <w:tab w:val="right" w:leader="dot" w:pos="8306"/>
        </w:tabs>
        <w:ind w:firstLine="643" w:firstLineChars="200"/>
        <w:jc w:val="center"/>
        <w:rPr>
          <w:rFonts w:hint="default" w:asciiTheme="minorAscii" w:hAnsiTheme="minorAscii" w:eastAsiaTheme="minorEastAsia"/>
          <w:b/>
          <w:bCs/>
          <w:sz w:val="32"/>
          <w:szCs w:val="36"/>
          <w:u w:val="none"/>
          <w:lang w:val="en-US" w:eastAsia="zh-CN"/>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3EF9BD3A">
      <w:pPr>
        <w:pStyle w:val="10"/>
        <w:keepNext w:val="0"/>
        <w:keepLines w:val="0"/>
        <w:pageBreakBefore w:val="0"/>
        <w:widowControl/>
        <w:tabs>
          <w:tab w:val="center" w:pos="4210"/>
          <w:tab w:val="left" w:pos="5980"/>
          <w:tab w:val="right" w:leader="dot" w:pos="8300"/>
        </w:tabs>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pacing w:val="280"/>
          <w:kern w:val="0"/>
          <w:sz w:val="44"/>
          <w:szCs w:val="44"/>
          <w:fitText w:val="1440" w:id="1955599196"/>
          <w:lang w:val="en-US" w:eastAsia="zh-CN"/>
        </w:rPr>
        <w:t>目</w:t>
      </w:r>
      <w:r>
        <w:rPr>
          <w:rFonts w:hint="eastAsia" w:ascii="方正小标宋简体" w:hAnsi="方正小标宋简体" w:eastAsia="方正小标宋简体" w:cs="方正小标宋简体"/>
          <w:b/>
          <w:bCs/>
          <w:spacing w:val="0"/>
          <w:kern w:val="0"/>
          <w:sz w:val="44"/>
          <w:szCs w:val="44"/>
          <w:fitText w:val="1440" w:id="1955599196"/>
          <w:lang w:val="en-US" w:eastAsia="zh-CN"/>
        </w:rPr>
        <w:t>录</w:t>
      </w:r>
    </w:p>
    <w:p w14:paraId="3AA7F6A9">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TOC \o "1-3" \h \u </w:instrText>
      </w:r>
      <w:r>
        <w:rPr>
          <w:rFonts w:hint="default"/>
          <w:sz w:val="32"/>
          <w:szCs w:val="32"/>
          <w:lang w:val="en-US" w:eastAsia="zh-CN"/>
        </w:rPr>
        <w:fldChar w:fldCharType="separate"/>
      </w:r>
      <w:r>
        <w:rPr>
          <w:rFonts w:hint="default"/>
          <w:sz w:val="32"/>
          <w:szCs w:val="32"/>
          <w:lang w:val="en-US" w:eastAsia="zh-CN"/>
        </w:rPr>
        <w:fldChar w:fldCharType="begin"/>
      </w:r>
      <w:r>
        <w:rPr>
          <w:rFonts w:hint="default"/>
          <w:sz w:val="32"/>
          <w:szCs w:val="32"/>
          <w:lang w:val="en-US" w:eastAsia="zh-CN"/>
        </w:rPr>
        <w:instrText xml:space="preserve"> HYPERLINK \l _Toc25500 </w:instrText>
      </w:r>
      <w:r>
        <w:rPr>
          <w:rFonts w:hint="default"/>
          <w:sz w:val="32"/>
          <w:szCs w:val="32"/>
          <w:lang w:val="en-US" w:eastAsia="zh-CN"/>
        </w:rPr>
        <w:fldChar w:fldCharType="separate"/>
      </w:r>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r>
        <w:rPr>
          <w:sz w:val="32"/>
          <w:szCs w:val="32"/>
        </w:rPr>
        <w:tab/>
      </w:r>
      <w:r>
        <w:rPr>
          <w:sz w:val="32"/>
          <w:szCs w:val="32"/>
        </w:rPr>
        <w:fldChar w:fldCharType="begin"/>
      </w:r>
      <w:r>
        <w:rPr>
          <w:sz w:val="32"/>
          <w:szCs w:val="32"/>
        </w:rPr>
        <w:instrText xml:space="preserve"> PAGEREF _Toc25500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3D4A084D">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_Toc31632 </w:instrText>
      </w:r>
      <w:r>
        <w:rPr>
          <w:rFonts w:hint="default"/>
          <w:sz w:val="32"/>
          <w:szCs w:val="32"/>
          <w:lang w:val="en-US" w:eastAsia="zh-CN"/>
        </w:rPr>
        <w:fldChar w:fldCharType="separate"/>
      </w:r>
      <w:r>
        <w:rPr>
          <w:rFonts w:hint="eastAsia" w:ascii="楷体" w:hAnsi="楷体" w:eastAsia="楷体" w:cs="楷体"/>
          <w:bCs/>
          <w:sz w:val="32"/>
          <w:szCs w:val="32"/>
        </w:rPr>
        <w:t>（一）</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对象和范围</w:t>
      </w:r>
      <w:r>
        <w:rPr>
          <w:sz w:val="32"/>
          <w:szCs w:val="32"/>
        </w:rPr>
        <w:tab/>
      </w:r>
      <w:r>
        <w:rPr>
          <w:sz w:val="32"/>
          <w:szCs w:val="32"/>
        </w:rPr>
        <w:fldChar w:fldCharType="begin"/>
      </w:r>
      <w:r>
        <w:rPr>
          <w:sz w:val="32"/>
          <w:szCs w:val="32"/>
        </w:rPr>
        <w:instrText xml:space="preserve"> PAGEREF _Toc31632 \h </w:instrText>
      </w:r>
      <w:r>
        <w:rPr>
          <w:sz w:val="32"/>
          <w:szCs w:val="32"/>
        </w:rPr>
        <w:fldChar w:fldCharType="separate"/>
      </w:r>
      <w:r>
        <w:rPr>
          <w:sz w:val="32"/>
          <w:szCs w:val="32"/>
        </w:rPr>
        <w:t>1</w:t>
      </w:r>
      <w:r>
        <w:rPr>
          <w:sz w:val="32"/>
          <w:szCs w:val="32"/>
        </w:rPr>
        <w:fldChar w:fldCharType="end"/>
      </w:r>
      <w:r>
        <w:rPr>
          <w:rFonts w:hint="default"/>
          <w:sz w:val="32"/>
          <w:szCs w:val="32"/>
          <w:lang w:val="en-US" w:eastAsia="zh-CN"/>
        </w:rPr>
        <w:fldChar w:fldCharType="end"/>
      </w:r>
    </w:p>
    <w:p w14:paraId="147B5089">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_Toc29352 </w:instrText>
      </w:r>
      <w:r>
        <w:rPr>
          <w:rFonts w:hint="default"/>
          <w:sz w:val="32"/>
          <w:szCs w:val="32"/>
          <w:lang w:val="en-US" w:eastAsia="zh-CN"/>
        </w:rPr>
        <w:fldChar w:fldCharType="separate"/>
      </w:r>
      <w:r>
        <w:rPr>
          <w:rFonts w:hint="eastAsia" w:ascii="楷体" w:hAnsi="楷体" w:eastAsia="楷体" w:cs="楷体"/>
          <w:bCs/>
          <w:sz w:val="32"/>
          <w:szCs w:val="32"/>
        </w:rPr>
        <w:t>（二）</w:t>
      </w:r>
      <w:r>
        <w:rPr>
          <w:rFonts w:hint="eastAsia" w:ascii="楷体" w:hAnsi="楷体" w:eastAsia="楷体" w:cs="楷体"/>
          <w:bCs/>
          <w:sz w:val="32"/>
          <w:szCs w:val="32"/>
          <w:lang w:val="en-US" w:eastAsia="zh-CN"/>
        </w:rPr>
        <w:t>评价</w:t>
      </w:r>
      <w:r>
        <w:rPr>
          <w:rFonts w:hint="eastAsia" w:ascii="楷体" w:hAnsi="楷体" w:eastAsia="楷体" w:cs="楷体"/>
          <w:bCs/>
          <w:sz w:val="32"/>
          <w:szCs w:val="32"/>
        </w:rPr>
        <w:t>依据</w:t>
      </w:r>
      <w:r>
        <w:rPr>
          <w:sz w:val="32"/>
          <w:szCs w:val="32"/>
        </w:rPr>
        <w:tab/>
      </w:r>
      <w:r>
        <w:rPr>
          <w:sz w:val="32"/>
          <w:szCs w:val="32"/>
        </w:rPr>
        <w:fldChar w:fldCharType="begin"/>
      </w:r>
      <w:r>
        <w:rPr>
          <w:sz w:val="32"/>
          <w:szCs w:val="32"/>
        </w:rPr>
        <w:instrText xml:space="preserve"> PAGEREF _Toc29352 \h </w:instrText>
      </w:r>
      <w:r>
        <w:rPr>
          <w:sz w:val="32"/>
          <w:szCs w:val="32"/>
        </w:rPr>
        <w:fldChar w:fldCharType="separate"/>
      </w:r>
      <w:r>
        <w:rPr>
          <w:sz w:val="32"/>
          <w:szCs w:val="32"/>
        </w:rPr>
        <w:t>2</w:t>
      </w:r>
      <w:r>
        <w:rPr>
          <w:sz w:val="32"/>
          <w:szCs w:val="32"/>
        </w:rPr>
        <w:fldChar w:fldCharType="end"/>
      </w:r>
      <w:r>
        <w:rPr>
          <w:rFonts w:hint="default"/>
          <w:sz w:val="32"/>
          <w:szCs w:val="32"/>
          <w:lang w:val="en-US" w:eastAsia="zh-CN"/>
        </w:rPr>
        <w:fldChar w:fldCharType="end"/>
      </w:r>
    </w:p>
    <w:p w14:paraId="160AB12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_Toc21686 </w:instrText>
      </w:r>
      <w:r>
        <w:rPr>
          <w:rFonts w:hint="default"/>
          <w:sz w:val="32"/>
          <w:szCs w:val="32"/>
          <w:lang w:val="en-US" w:eastAsia="zh-CN"/>
        </w:rPr>
        <w:fldChar w:fldCharType="separate"/>
      </w:r>
      <w:r>
        <w:rPr>
          <w:rFonts w:hint="eastAsia" w:ascii="楷体" w:hAnsi="楷体" w:eastAsia="楷体" w:cs="楷体"/>
          <w:bCs/>
          <w:sz w:val="32"/>
          <w:szCs w:val="32"/>
        </w:rPr>
        <w:t>（三）</w:t>
      </w:r>
      <w:r>
        <w:rPr>
          <w:rFonts w:hint="eastAsia" w:ascii="楷体" w:hAnsi="楷体" w:eastAsia="楷体" w:cs="楷体"/>
          <w:bCs/>
          <w:sz w:val="32"/>
          <w:szCs w:val="32"/>
          <w:lang w:val="en-US" w:eastAsia="zh-CN"/>
        </w:rPr>
        <w:t>评价方法和目的</w:t>
      </w:r>
      <w:r>
        <w:rPr>
          <w:sz w:val="32"/>
          <w:szCs w:val="32"/>
        </w:rPr>
        <w:tab/>
      </w:r>
      <w:r>
        <w:rPr>
          <w:sz w:val="32"/>
          <w:szCs w:val="32"/>
        </w:rPr>
        <w:fldChar w:fldCharType="begin"/>
      </w:r>
      <w:r>
        <w:rPr>
          <w:sz w:val="32"/>
          <w:szCs w:val="32"/>
        </w:rPr>
        <w:instrText xml:space="preserve"> PAGEREF _Toc21686 \h </w:instrText>
      </w:r>
      <w:r>
        <w:rPr>
          <w:sz w:val="32"/>
          <w:szCs w:val="32"/>
        </w:rPr>
        <w:fldChar w:fldCharType="separate"/>
      </w:r>
      <w:r>
        <w:rPr>
          <w:sz w:val="32"/>
          <w:szCs w:val="32"/>
        </w:rPr>
        <w:t>3</w:t>
      </w:r>
      <w:r>
        <w:rPr>
          <w:sz w:val="32"/>
          <w:szCs w:val="32"/>
        </w:rPr>
        <w:fldChar w:fldCharType="end"/>
      </w:r>
      <w:r>
        <w:rPr>
          <w:rFonts w:hint="default"/>
          <w:sz w:val="32"/>
          <w:szCs w:val="32"/>
          <w:lang w:val="en-US" w:eastAsia="zh-CN"/>
        </w:rPr>
        <w:fldChar w:fldCharType="end"/>
      </w:r>
    </w:p>
    <w:p w14:paraId="2F7BD4D0">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_Toc3067 </w:instrText>
      </w:r>
      <w:r>
        <w:rPr>
          <w:rFonts w:hint="default"/>
          <w:sz w:val="32"/>
          <w:szCs w:val="32"/>
          <w:lang w:val="en-US" w:eastAsia="zh-CN"/>
        </w:rPr>
        <w:fldChar w:fldCharType="separate"/>
      </w:r>
      <w:r>
        <w:rPr>
          <w:rFonts w:hint="eastAsia" w:ascii="黑体" w:hAnsi="黑体" w:eastAsia="黑体" w:cs="黑体"/>
          <w:sz w:val="32"/>
          <w:szCs w:val="32"/>
          <w:lang w:eastAsia="zh-CN"/>
        </w:rPr>
        <w:t>二、</w:t>
      </w:r>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r>
        <w:rPr>
          <w:sz w:val="32"/>
          <w:szCs w:val="32"/>
        </w:rPr>
        <w:tab/>
      </w:r>
      <w:r>
        <w:rPr>
          <w:sz w:val="32"/>
          <w:szCs w:val="32"/>
        </w:rPr>
        <w:fldChar w:fldCharType="begin"/>
      </w:r>
      <w:r>
        <w:rPr>
          <w:sz w:val="32"/>
          <w:szCs w:val="32"/>
        </w:rPr>
        <w:instrText xml:space="preserve"> PAGEREF _Toc3067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65C3263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_Toc29585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基本信息</w:t>
      </w:r>
      <w:r>
        <w:rPr>
          <w:sz w:val="32"/>
          <w:szCs w:val="32"/>
        </w:rPr>
        <w:tab/>
      </w:r>
      <w:r>
        <w:rPr>
          <w:sz w:val="32"/>
          <w:szCs w:val="32"/>
        </w:rPr>
        <w:fldChar w:fldCharType="begin"/>
      </w:r>
      <w:r>
        <w:rPr>
          <w:sz w:val="32"/>
          <w:szCs w:val="32"/>
        </w:rPr>
        <w:instrText xml:space="preserve"> PAGEREF _Toc29585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3F8B723E">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_Toc25483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部门</w:t>
      </w:r>
      <w:r>
        <w:rPr>
          <w:rFonts w:hint="eastAsia" w:ascii="楷体" w:hAnsi="楷体" w:eastAsia="楷体" w:cs="楷体"/>
          <w:bCs/>
          <w:sz w:val="32"/>
          <w:szCs w:val="32"/>
          <w:lang w:val="en-US" w:eastAsia="zh-CN"/>
        </w:rPr>
        <w:t>主要职责</w:t>
      </w:r>
      <w:r>
        <w:rPr>
          <w:sz w:val="32"/>
          <w:szCs w:val="32"/>
        </w:rPr>
        <w:tab/>
      </w:r>
      <w:r>
        <w:rPr>
          <w:sz w:val="32"/>
          <w:szCs w:val="32"/>
        </w:rPr>
        <w:fldChar w:fldCharType="begin"/>
      </w:r>
      <w:r>
        <w:rPr>
          <w:sz w:val="32"/>
          <w:szCs w:val="32"/>
        </w:rPr>
        <w:instrText xml:space="preserve"> PAGEREF _Toc25483 \h </w:instrText>
      </w:r>
      <w:r>
        <w:rPr>
          <w:sz w:val="32"/>
          <w:szCs w:val="32"/>
        </w:rPr>
        <w:fldChar w:fldCharType="separate"/>
      </w:r>
      <w:r>
        <w:rPr>
          <w:sz w:val="32"/>
          <w:szCs w:val="32"/>
        </w:rPr>
        <w:t>4</w:t>
      </w:r>
      <w:r>
        <w:rPr>
          <w:sz w:val="32"/>
          <w:szCs w:val="32"/>
        </w:rPr>
        <w:fldChar w:fldCharType="end"/>
      </w:r>
      <w:r>
        <w:rPr>
          <w:rFonts w:hint="default"/>
          <w:sz w:val="32"/>
          <w:szCs w:val="32"/>
          <w:lang w:val="en-US" w:eastAsia="zh-CN"/>
        </w:rPr>
        <w:fldChar w:fldCharType="end"/>
      </w:r>
    </w:p>
    <w:p w14:paraId="7785890D">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_Toc29339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（三）部门</w:t>
      </w:r>
      <w:r>
        <w:rPr>
          <w:rFonts w:hint="eastAsia" w:ascii="楷体" w:hAnsi="楷体" w:eastAsia="楷体" w:cs="楷体"/>
          <w:bCs/>
          <w:sz w:val="32"/>
          <w:szCs w:val="32"/>
          <w:lang w:eastAsia="zh-CN"/>
        </w:rPr>
        <w:t>组织架构与人员</w:t>
      </w:r>
      <w:r>
        <w:rPr>
          <w:sz w:val="32"/>
          <w:szCs w:val="32"/>
        </w:rPr>
        <w:tab/>
      </w:r>
      <w:r>
        <w:rPr>
          <w:sz w:val="32"/>
          <w:szCs w:val="32"/>
        </w:rPr>
        <w:fldChar w:fldCharType="begin"/>
      </w:r>
      <w:r>
        <w:rPr>
          <w:sz w:val="32"/>
          <w:szCs w:val="32"/>
        </w:rPr>
        <w:instrText xml:space="preserve"> PAGEREF _Toc29339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2524654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_Toc28385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（四）部门2024年度职责履行及履职效益</w:t>
      </w:r>
      <w:r>
        <w:rPr>
          <w:sz w:val="32"/>
          <w:szCs w:val="32"/>
        </w:rPr>
        <w:tab/>
      </w:r>
      <w:r>
        <w:rPr>
          <w:sz w:val="32"/>
          <w:szCs w:val="32"/>
        </w:rPr>
        <w:fldChar w:fldCharType="begin"/>
      </w:r>
      <w:r>
        <w:rPr>
          <w:sz w:val="32"/>
          <w:szCs w:val="32"/>
        </w:rPr>
        <w:instrText xml:space="preserve"> PAGEREF _Toc28385 \h </w:instrText>
      </w:r>
      <w:r>
        <w:rPr>
          <w:sz w:val="32"/>
          <w:szCs w:val="32"/>
        </w:rPr>
        <w:fldChar w:fldCharType="separate"/>
      </w:r>
      <w:r>
        <w:rPr>
          <w:sz w:val="32"/>
          <w:szCs w:val="32"/>
        </w:rPr>
        <w:t>5</w:t>
      </w:r>
      <w:r>
        <w:rPr>
          <w:sz w:val="32"/>
          <w:szCs w:val="32"/>
        </w:rPr>
        <w:fldChar w:fldCharType="end"/>
      </w:r>
      <w:r>
        <w:rPr>
          <w:rFonts w:hint="default"/>
          <w:sz w:val="32"/>
          <w:szCs w:val="32"/>
          <w:lang w:val="en-US" w:eastAsia="zh-CN"/>
        </w:rPr>
        <w:fldChar w:fldCharType="end"/>
      </w:r>
    </w:p>
    <w:p w14:paraId="48B7B352">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_Toc27236 </w:instrText>
      </w:r>
      <w:r>
        <w:rPr>
          <w:rFonts w:hint="default"/>
          <w:sz w:val="32"/>
          <w:szCs w:val="32"/>
          <w:lang w:val="en-US" w:eastAsia="zh-CN"/>
        </w:rPr>
        <w:fldChar w:fldCharType="separate"/>
      </w:r>
      <w:r>
        <w:rPr>
          <w:rFonts w:hint="eastAsia" w:ascii="黑体" w:hAnsi="黑体" w:eastAsia="黑体" w:cs="黑体"/>
          <w:sz w:val="32"/>
          <w:szCs w:val="32"/>
          <w:lang w:eastAsia="zh-CN"/>
        </w:rPr>
        <w:t>三、部门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r>
        <w:rPr>
          <w:sz w:val="32"/>
          <w:szCs w:val="32"/>
        </w:rPr>
        <w:tab/>
      </w:r>
      <w:r>
        <w:rPr>
          <w:sz w:val="32"/>
          <w:szCs w:val="32"/>
        </w:rPr>
        <w:fldChar w:fldCharType="begin"/>
      </w:r>
      <w:r>
        <w:rPr>
          <w:sz w:val="32"/>
          <w:szCs w:val="32"/>
        </w:rPr>
        <w:instrText xml:space="preserve"> PAGEREF _Toc27236 \h </w:instrText>
      </w:r>
      <w:r>
        <w:rPr>
          <w:sz w:val="32"/>
          <w:szCs w:val="32"/>
        </w:rPr>
        <w:fldChar w:fldCharType="separate"/>
      </w:r>
      <w:r>
        <w:rPr>
          <w:sz w:val="32"/>
          <w:szCs w:val="32"/>
        </w:rPr>
        <w:t>12</w:t>
      </w:r>
      <w:r>
        <w:rPr>
          <w:sz w:val="32"/>
          <w:szCs w:val="32"/>
        </w:rPr>
        <w:fldChar w:fldCharType="end"/>
      </w:r>
      <w:r>
        <w:rPr>
          <w:rFonts w:hint="default"/>
          <w:sz w:val="32"/>
          <w:szCs w:val="32"/>
          <w:lang w:val="en-US" w:eastAsia="zh-CN"/>
        </w:rPr>
        <w:fldChar w:fldCharType="end"/>
      </w:r>
    </w:p>
    <w:p w14:paraId="0171701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_Toc8394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配置</w:t>
      </w:r>
      <w:r>
        <w:rPr>
          <w:rFonts w:hint="eastAsia" w:ascii="楷体" w:hAnsi="楷体" w:eastAsia="楷体" w:cs="楷体"/>
          <w:bCs/>
          <w:sz w:val="32"/>
          <w:szCs w:val="32"/>
          <w:lang w:eastAsia="zh-CN"/>
        </w:rPr>
        <w:t>情况</w:t>
      </w:r>
      <w:r>
        <w:rPr>
          <w:rFonts w:hint="eastAsia" w:ascii="楷体" w:hAnsi="楷体" w:eastAsia="楷体" w:cs="楷体"/>
          <w:bCs/>
          <w:sz w:val="32"/>
          <w:szCs w:val="32"/>
          <w:lang w:val="en-US" w:eastAsia="zh-CN"/>
        </w:rPr>
        <w:t>及分析</w:t>
      </w:r>
      <w:r>
        <w:rPr>
          <w:sz w:val="32"/>
          <w:szCs w:val="32"/>
        </w:rPr>
        <w:tab/>
      </w:r>
      <w:r>
        <w:rPr>
          <w:sz w:val="32"/>
          <w:szCs w:val="32"/>
        </w:rPr>
        <w:fldChar w:fldCharType="begin"/>
      </w:r>
      <w:r>
        <w:rPr>
          <w:sz w:val="32"/>
          <w:szCs w:val="32"/>
        </w:rPr>
        <w:instrText xml:space="preserve"> PAGEREF _Toc8394 \h </w:instrText>
      </w:r>
      <w:r>
        <w:rPr>
          <w:sz w:val="32"/>
          <w:szCs w:val="32"/>
        </w:rPr>
        <w:fldChar w:fldCharType="separate"/>
      </w:r>
      <w:r>
        <w:rPr>
          <w:sz w:val="32"/>
          <w:szCs w:val="32"/>
        </w:rPr>
        <w:t>12</w:t>
      </w:r>
      <w:r>
        <w:rPr>
          <w:sz w:val="32"/>
          <w:szCs w:val="32"/>
        </w:rPr>
        <w:fldChar w:fldCharType="end"/>
      </w:r>
      <w:r>
        <w:rPr>
          <w:rFonts w:hint="default"/>
          <w:sz w:val="32"/>
          <w:szCs w:val="32"/>
          <w:lang w:val="en-US" w:eastAsia="zh-CN"/>
        </w:rPr>
        <w:fldChar w:fldCharType="end"/>
      </w:r>
    </w:p>
    <w:p w14:paraId="57A473C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_Toc21756 </w:instrText>
      </w:r>
      <w:r>
        <w:rPr>
          <w:rFonts w:hint="default"/>
          <w:sz w:val="32"/>
          <w:szCs w:val="32"/>
          <w:lang w:val="en-US" w:eastAsia="zh-CN"/>
        </w:rPr>
        <w:fldChar w:fldCharType="separate"/>
      </w:r>
      <w:r>
        <w:rPr>
          <w:rFonts w:hint="eastAsia" w:ascii="楷体" w:hAnsi="楷体" w:eastAsia="楷体" w:cs="楷体"/>
          <w:bCs/>
          <w:sz w:val="32"/>
          <w:szCs w:val="32"/>
          <w:lang w:eastAsia="zh-CN"/>
        </w:rPr>
        <w:t>（二）预算执行</w:t>
      </w:r>
      <w:r>
        <w:rPr>
          <w:rFonts w:hint="eastAsia" w:ascii="楷体" w:hAnsi="楷体" w:eastAsia="楷体" w:cs="楷体"/>
          <w:bCs/>
          <w:sz w:val="32"/>
          <w:szCs w:val="32"/>
          <w:lang w:val="en-US" w:eastAsia="zh-CN"/>
        </w:rPr>
        <w:t>情况及分析</w:t>
      </w:r>
      <w:r>
        <w:rPr>
          <w:sz w:val="32"/>
          <w:szCs w:val="32"/>
        </w:rPr>
        <w:tab/>
      </w:r>
      <w:r>
        <w:rPr>
          <w:sz w:val="32"/>
          <w:szCs w:val="32"/>
        </w:rPr>
        <w:fldChar w:fldCharType="begin"/>
      </w:r>
      <w:r>
        <w:rPr>
          <w:sz w:val="32"/>
          <w:szCs w:val="32"/>
        </w:rPr>
        <w:instrText xml:space="preserve"> PAGEREF _Toc21756 \h </w:instrText>
      </w:r>
      <w:r>
        <w:rPr>
          <w:sz w:val="32"/>
          <w:szCs w:val="32"/>
        </w:rPr>
        <w:fldChar w:fldCharType="separate"/>
      </w:r>
      <w:r>
        <w:rPr>
          <w:sz w:val="32"/>
          <w:szCs w:val="32"/>
        </w:rPr>
        <w:t>13</w:t>
      </w:r>
      <w:r>
        <w:rPr>
          <w:sz w:val="32"/>
          <w:szCs w:val="32"/>
        </w:rPr>
        <w:fldChar w:fldCharType="end"/>
      </w:r>
      <w:r>
        <w:rPr>
          <w:rFonts w:hint="default"/>
          <w:sz w:val="32"/>
          <w:szCs w:val="32"/>
          <w:lang w:val="en-US" w:eastAsia="zh-CN"/>
        </w:rPr>
        <w:fldChar w:fldCharType="end"/>
      </w:r>
    </w:p>
    <w:p w14:paraId="27CFB96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_Toc31659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（三）整体支出汇总及分析</w:t>
      </w:r>
      <w:r>
        <w:rPr>
          <w:sz w:val="32"/>
          <w:szCs w:val="32"/>
        </w:rPr>
        <w:tab/>
      </w:r>
      <w:r>
        <w:rPr>
          <w:sz w:val="32"/>
          <w:szCs w:val="32"/>
        </w:rPr>
        <w:fldChar w:fldCharType="begin"/>
      </w:r>
      <w:r>
        <w:rPr>
          <w:sz w:val="32"/>
          <w:szCs w:val="32"/>
        </w:rPr>
        <w:instrText xml:space="preserve"> PAGEREF _Toc31659 \h </w:instrText>
      </w:r>
      <w:r>
        <w:rPr>
          <w:sz w:val="32"/>
          <w:szCs w:val="32"/>
        </w:rPr>
        <w:fldChar w:fldCharType="separate"/>
      </w:r>
      <w:r>
        <w:rPr>
          <w:sz w:val="32"/>
          <w:szCs w:val="32"/>
        </w:rPr>
        <w:t>17</w:t>
      </w:r>
      <w:r>
        <w:rPr>
          <w:sz w:val="32"/>
          <w:szCs w:val="32"/>
        </w:rPr>
        <w:fldChar w:fldCharType="end"/>
      </w:r>
      <w:r>
        <w:rPr>
          <w:rFonts w:hint="default"/>
          <w:sz w:val="32"/>
          <w:szCs w:val="32"/>
          <w:lang w:val="en-US" w:eastAsia="zh-CN"/>
        </w:rPr>
        <w:fldChar w:fldCharType="end"/>
      </w:r>
    </w:p>
    <w:p w14:paraId="72D5753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_Toc8573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w:t>
      </w:r>
      <w:r>
        <w:rPr>
          <w:rFonts w:hint="eastAsia" w:ascii="楷体" w:hAnsi="楷体" w:eastAsia="楷体" w:cs="楷体"/>
          <w:bCs/>
          <w:sz w:val="32"/>
          <w:szCs w:val="32"/>
          <w:lang w:eastAsia="zh-CN"/>
        </w:rPr>
        <w:t>预算</w:t>
      </w:r>
      <w:r>
        <w:rPr>
          <w:rFonts w:hint="eastAsia" w:ascii="楷体" w:hAnsi="楷体" w:eastAsia="楷体" w:cs="楷体"/>
          <w:bCs/>
          <w:sz w:val="32"/>
          <w:szCs w:val="32"/>
          <w:lang w:val="en-US" w:eastAsia="zh-CN"/>
        </w:rPr>
        <w:t>管理情况及分析</w:t>
      </w:r>
      <w:r>
        <w:rPr>
          <w:sz w:val="32"/>
          <w:szCs w:val="32"/>
        </w:rPr>
        <w:tab/>
      </w:r>
      <w:r>
        <w:rPr>
          <w:sz w:val="32"/>
          <w:szCs w:val="32"/>
        </w:rPr>
        <w:fldChar w:fldCharType="begin"/>
      </w:r>
      <w:r>
        <w:rPr>
          <w:sz w:val="32"/>
          <w:szCs w:val="32"/>
        </w:rPr>
        <w:instrText xml:space="preserve"> PAGEREF _Toc8573 \h </w:instrText>
      </w:r>
      <w:r>
        <w:rPr>
          <w:sz w:val="32"/>
          <w:szCs w:val="32"/>
        </w:rPr>
        <w:fldChar w:fldCharType="separate"/>
      </w:r>
      <w:r>
        <w:rPr>
          <w:sz w:val="32"/>
          <w:szCs w:val="32"/>
        </w:rPr>
        <w:t>24</w:t>
      </w:r>
      <w:r>
        <w:rPr>
          <w:sz w:val="32"/>
          <w:szCs w:val="32"/>
        </w:rPr>
        <w:fldChar w:fldCharType="end"/>
      </w:r>
      <w:r>
        <w:rPr>
          <w:rFonts w:hint="default"/>
          <w:sz w:val="32"/>
          <w:szCs w:val="32"/>
          <w:lang w:val="en-US" w:eastAsia="zh-CN"/>
        </w:rPr>
        <w:fldChar w:fldCharType="end"/>
      </w:r>
    </w:p>
    <w:p w14:paraId="3914FD70">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_Toc30551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（五）工资管理情况及分析</w:t>
      </w:r>
      <w:r>
        <w:rPr>
          <w:sz w:val="32"/>
          <w:szCs w:val="32"/>
        </w:rPr>
        <w:tab/>
      </w:r>
      <w:r>
        <w:rPr>
          <w:sz w:val="32"/>
          <w:szCs w:val="32"/>
        </w:rPr>
        <w:fldChar w:fldCharType="begin"/>
      </w:r>
      <w:r>
        <w:rPr>
          <w:sz w:val="32"/>
          <w:szCs w:val="32"/>
        </w:rPr>
        <w:instrText xml:space="preserve"> PAGEREF _Toc30551 \h </w:instrText>
      </w:r>
      <w:r>
        <w:rPr>
          <w:sz w:val="32"/>
          <w:szCs w:val="32"/>
        </w:rPr>
        <w:fldChar w:fldCharType="separate"/>
      </w:r>
      <w:r>
        <w:rPr>
          <w:sz w:val="32"/>
          <w:szCs w:val="32"/>
        </w:rPr>
        <w:t>25</w:t>
      </w:r>
      <w:r>
        <w:rPr>
          <w:sz w:val="32"/>
          <w:szCs w:val="32"/>
        </w:rPr>
        <w:fldChar w:fldCharType="end"/>
      </w:r>
      <w:r>
        <w:rPr>
          <w:rFonts w:hint="default"/>
          <w:sz w:val="32"/>
          <w:szCs w:val="32"/>
          <w:lang w:val="en-US" w:eastAsia="zh-CN"/>
        </w:rPr>
        <w:fldChar w:fldCharType="end"/>
      </w:r>
    </w:p>
    <w:p w14:paraId="3DB84C9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_Toc8461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（六）项目支出管理情况及分析</w:t>
      </w:r>
      <w:r>
        <w:rPr>
          <w:sz w:val="32"/>
          <w:szCs w:val="32"/>
        </w:rPr>
        <w:tab/>
      </w:r>
      <w:r>
        <w:rPr>
          <w:sz w:val="32"/>
          <w:szCs w:val="32"/>
        </w:rPr>
        <w:fldChar w:fldCharType="begin"/>
      </w:r>
      <w:r>
        <w:rPr>
          <w:sz w:val="32"/>
          <w:szCs w:val="32"/>
        </w:rPr>
        <w:instrText xml:space="preserve"> PAGEREF _Toc8461 \h </w:instrText>
      </w:r>
      <w:r>
        <w:rPr>
          <w:sz w:val="32"/>
          <w:szCs w:val="32"/>
        </w:rPr>
        <w:fldChar w:fldCharType="separate"/>
      </w:r>
      <w:r>
        <w:rPr>
          <w:sz w:val="32"/>
          <w:szCs w:val="32"/>
        </w:rPr>
        <w:t>26</w:t>
      </w:r>
      <w:r>
        <w:rPr>
          <w:sz w:val="32"/>
          <w:szCs w:val="32"/>
        </w:rPr>
        <w:fldChar w:fldCharType="end"/>
      </w:r>
      <w:r>
        <w:rPr>
          <w:rFonts w:hint="default"/>
          <w:sz w:val="32"/>
          <w:szCs w:val="32"/>
          <w:lang w:val="en-US" w:eastAsia="zh-CN"/>
        </w:rPr>
        <w:fldChar w:fldCharType="end"/>
      </w:r>
    </w:p>
    <w:p w14:paraId="395F98B4">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_Toc24204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（七）固定资产及无形资产管理情况及分析</w:t>
      </w:r>
      <w:r>
        <w:rPr>
          <w:sz w:val="32"/>
          <w:szCs w:val="32"/>
        </w:rPr>
        <w:tab/>
      </w:r>
      <w:r>
        <w:rPr>
          <w:sz w:val="32"/>
          <w:szCs w:val="32"/>
        </w:rPr>
        <w:fldChar w:fldCharType="begin"/>
      </w:r>
      <w:r>
        <w:rPr>
          <w:sz w:val="32"/>
          <w:szCs w:val="32"/>
        </w:rPr>
        <w:instrText xml:space="preserve"> PAGEREF _Toc24204 \h </w:instrText>
      </w:r>
      <w:r>
        <w:rPr>
          <w:sz w:val="32"/>
          <w:szCs w:val="32"/>
        </w:rPr>
        <w:fldChar w:fldCharType="separate"/>
      </w:r>
      <w:r>
        <w:rPr>
          <w:sz w:val="32"/>
          <w:szCs w:val="32"/>
        </w:rPr>
        <w:t>27</w:t>
      </w:r>
      <w:r>
        <w:rPr>
          <w:sz w:val="32"/>
          <w:szCs w:val="32"/>
        </w:rPr>
        <w:fldChar w:fldCharType="end"/>
      </w:r>
      <w:r>
        <w:rPr>
          <w:rFonts w:hint="default"/>
          <w:sz w:val="32"/>
          <w:szCs w:val="32"/>
          <w:lang w:val="en-US" w:eastAsia="zh-CN"/>
        </w:rPr>
        <w:fldChar w:fldCharType="end"/>
      </w:r>
    </w:p>
    <w:p w14:paraId="2EFFAAD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_Toc214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（八）厉行节约保障措施的执行情况及其政策效果</w:t>
      </w:r>
      <w:r>
        <w:rPr>
          <w:sz w:val="32"/>
          <w:szCs w:val="32"/>
        </w:rPr>
        <w:tab/>
      </w:r>
      <w:r>
        <w:rPr>
          <w:sz w:val="32"/>
          <w:szCs w:val="32"/>
        </w:rPr>
        <w:fldChar w:fldCharType="begin"/>
      </w:r>
      <w:r>
        <w:rPr>
          <w:sz w:val="32"/>
          <w:szCs w:val="32"/>
        </w:rPr>
        <w:instrText xml:space="preserve"> PAGEREF _Toc214 \h </w:instrText>
      </w:r>
      <w:r>
        <w:rPr>
          <w:sz w:val="32"/>
          <w:szCs w:val="32"/>
        </w:rPr>
        <w:fldChar w:fldCharType="separate"/>
      </w:r>
      <w:r>
        <w:rPr>
          <w:sz w:val="32"/>
          <w:szCs w:val="32"/>
        </w:rPr>
        <w:t>28</w:t>
      </w:r>
      <w:r>
        <w:rPr>
          <w:sz w:val="32"/>
          <w:szCs w:val="32"/>
        </w:rPr>
        <w:fldChar w:fldCharType="end"/>
      </w:r>
      <w:r>
        <w:rPr>
          <w:rFonts w:hint="default"/>
          <w:sz w:val="32"/>
          <w:szCs w:val="32"/>
          <w:lang w:val="en-US" w:eastAsia="zh-CN"/>
        </w:rPr>
        <w:fldChar w:fldCharType="end"/>
      </w:r>
    </w:p>
    <w:p w14:paraId="51AE9FF3">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_Toc10643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r>
        <w:rPr>
          <w:sz w:val="32"/>
          <w:szCs w:val="32"/>
        </w:rPr>
        <w:tab/>
      </w:r>
      <w:r>
        <w:rPr>
          <w:sz w:val="32"/>
          <w:szCs w:val="32"/>
        </w:rPr>
        <w:fldChar w:fldCharType="begin"/>
      </w:r>
      <w:r>
        <w:rPr>
          <w:sz w:val="32"/>
          <w:szCs w:val="32"/>
        </w:rPr>
        <w:instrText xml:space="preserve"> PAGEREF _Toc10643 \h </w:instrText>
      </w:r>
      <w:r>
        <w:rPr>
          <w:sz w:val="32"/>
          <w:szCs w:val="32"/>
        </w:rPr>
        <w:fldChar w:fldCharType="separate"/>
      </w:r>
      <w:r>
        <w:rPr>
          <w:sz w:val="32"/>
          <w:szCs w:val="32"/>
        </w:rPr>
        <w:t>28</w:t>
      </w:r>
      <w:r>
        <w:rPr>
          <w:sz w:val="32"/>
          <w:szCs w:val="32"/>
        </w:rPr>
        <w:fldChar w:fldCharType="end"/>
      </w:r>
      <w:r>
        <w:rPr>
          <w:rFonts w:hint="default"/>
          <w:sz w:val="32"/>
          <w:szCs w:val="32"/>
          <w:lang w:val="en-US" w:eastAsia="zh-CN"/>
        </w:rPr>
        <w:fldChar w:fldCharType="end"/>
      </w:r>
    </w:p>
    <w:p w14:paraId="288BB27B">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_Toc24765 </w:instrText>
      </w:r>
      <w:r>
        <w:rPr>
          <w:rFonts w:hint="default"/>
          <w:sz w:val="32"/>
          <w:szCs w:val="32"/>
          <w:lang w:val="en-US" w:eastAsia="zh-CN"/>
        </w:rPr>
        <w:fldChar w:fldCharType="separate"/>
      </w:r>
      <w:r>
        <w:rPr>
          <w:rFonts w:hint="eastAsia" w:ascii="楷体" w:hAnsi="楷体" w:eastAsia="楷体" w:cs="楷体"/>
          <w:bCs/>
          <w:sz w:val="32"/>
          <w:szCs w:val="32"/>
          <w:lang w:eastAsia="zh-CN"/>
        </w:rPr>
        <w:t>（一）总体目标</w:t>
      </w:r>
      <w:r>
        <w:rPr>
          <w:sz w:val="32"/>
          <w:szCs w:val="32"/>
        </w:rPr>
        <w:tab/>
      </w:r>
      <w:r>
        <w:rPr>
          <w:sz w:val="32"/>
          <w:szCs w:val="32"/>
        </w:rPr>
        <w:fldChar w:fldCharType="begin"/>
      </w:r>
      <w:r>
        <w:rPr>
          <w:sz w:val="32"/>
          <w:szCs w:val="32"/>
        </w:rPr>
        <w:instrText xml:space="preserve"> PAGEREF _Toc24765 \h </w:instrText>
      </w:r>
      <w:r>
        <w:rPr>
          <w:sz w:val="32"/>
          <w:szCs w:val="32"/>
        </w:rPr>
        <w:fldChar w:fldCharType="separate"/>
      </w:r>
      <w:r>
        <w:rPr>
          <w:sz w:val="32"/>
          <w:szCs w:val="32"/>
        </w:rPr>
        <w:t>28</w:t>
      </w:r>
      <w:r>
        <w:rPr>
          <w:sz w:val="32"/>
          <w:szCs w:val="32"/>
        </w:rPr>
        <w:fldChar w:fldCharType="end"/>
      </w:r>
      <w:r>
        <w:rPr>
          <w:rFonts w:hint="default"/>
          <w:sz w:val="32"/>
          <w:szCs w:val="32"/>
          <w:lang w:val="en-US" w:eastAsia="zh-CN"/>
        </w:rPr>
        <w:fldChar w:fldCharType="end"/>
      </w:r>
    </w:p>
    <w:p w14:paraId="2703FA06">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_Toc18062 </w:instrText>
      </w:r>
      <w:r>
        <w:rPr>
          <w:rFonts w:hint="default"/>
          <w:sz w:val="32"/>
          <w:szCs w:val="32"/>
          <w:lang w:val="en-US" w:eastAsia="zh-CN"/>
        </w:rPr>
        <w:fldChar w:fldCharType="separate"/>
      </w:r>
      <w:r>
        <w:rPr>
          <w:rFonts w:hint="eastAsia" w:ascii="楷体" w:hAnsi="楷体" w:eastAsia="楷体" w:cs="楷体"/>
          <w:bCs/>
          <w:sz w:val="32"/>
          <w:szCs w:val="32"/>
          <w:lang w:eastAsia="zh-CN"/>
        </w:rPr>
        <w:t>（</w:t>
      </w:r>
      <w:r>
        <w:rPr>
          <w:rFonts w:hint="eastAsia" w:ascii="楷体" w:hAnsi="楷体" w:eastAsia="楷体" w:cs="楷体"/>
          <w:bCs/>
          <w:sz w:val="32"/>
          <w:szCs w:val="32"/>
          <w:lang w:val="en-US" w:eastAsia="zh-CN"/>
        </w:rPr>
        <w:t>二</w:t>
      </w:r>
      <w:r>
        <w:rPr>
          <w:rFonts w:hint="eastAsia" w:ascii="楷体" w:hAnsi="楷体" w:eastAsia="楷体" w:cs="楷体"/>
          <w:bCs/>
          <w:sz w:val="32"/>
          <w:szCs w:val="32"/>
          <w:lang w:eastAsia="zh-CN"/>
        </w:rPr>
        <w:t>）分类目标</w:t>
      </w:r>
      <w:r>
        <w:rPr>
          <w:sz w:val="32"/>
          <w:szCs w:val="32"/>
        </w:rPr>
        <w:tab/>
      </w:r>
      <w:r>
        <w:rPr>
          <w:sz w:val="32"/>
          <w:szCs w:val="32"/>
        </w:rPr>
        <w:fldChar w:fldCharType="begin"/>
      </w:r>
      <w:r>
        <w:rPr>
          <w:sz w:val="32"/>
          <w:szCs w:val="32"/>
        </w:rPr>
        <w:instrText xml:space="preserve"> PAGEREF _Toc18062 \h </w:instrText>
      </w:r>
      <w:r>
        <w:rPr>
          <w:sz w:val="32"/>
          <w:szCs w:val="32"/>
        </w:rPr>
        <w:fldChar w:fldCharType="separate"/>
      </w:r>
      <w:r>
        <w:rPr>
          <w:sz w:val="32"/>
          <w:szCs w:val="32"/>
        </w:rPr>
        <w:t>28</w:t>
      </w:r>
      <w:r>
        <w:rPr>
          <w:sz w:val="32"/>
          <w:szCs w:val="32"/>
        </w:rPr>
        <w:fldChar w:fldCharType="end"/>
      </w:r>
      <w:r>
        <w:rPr>
          <w:rFonts w:hint="default"/>
          <w:sz w:val="32"/>
          <w:szCs w:val="32"/>
          <w:lang w:val="en-US" w:eastAsia="zh-CN"/>
        </w:rPr>
        <w:fldChar w:fldCharType="end"/>
      </w:r>
    </w:p>
    <w:p w14:paraId="7935B8C2">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_Toc21732 </w:instrText>
      </w:r>
      <w:r>
        <w:rPr>
          <w:rFonts w:hint="default"/>
          <w:sz w:val="32"/>
          <w:szCs w:val="32"/>
          <w:lang w:val="en-US" w:eastAsia="zh-CN"/>
        </w:rPr>
        <w:fldChar w:fldCharType="separate"/>
      </w:r>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r>
        <w:rPr>
          <w:sz w:val="32"/>
          <w:szCs w:val="32"/>
        </w:rPr>
        <w:tab/>
      </w:r>
      <w:r>
        <w:rPr>
          <w:sz w:val="32"/>
          <w:szCs w:val="32"/>
        </w:rPr>
        <w:fldChar w:fldCharType="begin"/>
      </w:r>
      <w:r>
        <w:rPr>
          <w:sz w:val="32"/>
          <w:szCs w:val="32"/>
        </w:rPr>
        <w:instrText xml:space="preserve"> PAGEREF _Toc21732 \h </w:instrText>
      </w:r>
      <w:r>
        <w:rPr>
          <w:sz w:val="32"/>
          <w:szCs w:val="32"/>
        </w:rPr>
        <w:fldChar w:fldCharType="separate"/>
      </w:r>
      <w:r>
        <w:rPr>
          <w:sz w:val="32"/>
          <w:szCs w:val="32"/>
        </w:rPr>
        <w:t>30</w:t>
      </w:r>
      <w:r>
        <w:rPr>
          <w:sz w:val="32"/>
          <w:szCs w:val="32"/>
        </w:rPr>
        <w:fldChar w:fldCharType="end"/>
      </w:r>
      <w:r>
        <w:rPr>
          <w:rFonts w:hint="default"/>
          <w:sz w:val="32"/>
          <w:szCs w:val="32"/>
          <w:lang w:val="en-US" w:eastAsia="zh-CN"/>
        </w:rPr>
        <w:fldChar w:fldCharType="end"/>
      </w:r>
    </w:p>
    <w:p w14:paraId="1D934E9C">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_Toc1394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（一）评价框架</w:t>
      </w:r>
      <w:r>
        <w:rPr>
          <w:sz w:val="32"/>
          <w:szCs w:val="32"/>
        </w:rPr>
        <w:tab/>
      </w:r>
      <w:r>
        <w:rPr>
          <w:sz w:val="32"/>
          <w:szCs w:val="32"/>
        </w:rPr>
        <w:fldChar w:fldCharType="begin"/>
      </w:r>
      <w:r>
        <w:rPr>
          <w:sz w:val="32"/>
          <w:szCs w:val="32"/>
        </w:rPr>
        <w:instrText xml:space="preserve"> PAGEREF _Toc1394 \h </w:instrText>
      </w:r>
      <w:r>
        <w:rPr>
          <w:sz w:val="32"/>
          <w:szCs w:val="32"/>
        </w:rPr>
        <w:fldChar w:fldCharType="separate"/>
      </w:r>
      <w:r>
        <w:rPr>
          <w:sz w:val="32"/>
          <w:szCs w:val="32"/>
        </w:rPr>
        <w:t>30</w:t>
      </w:r>
      <w:r>
        <w:rPr>
          <w:sz w:val="32"/>
          <w:szCs w:val="32"/>
        </w:rPr>
        <w:fldChar w:fldCharType="end"/>
      </w:r>
      <w:r>
        <w:rPr>
          <w:rFonts w:hint="default"/>
          <w:sz w:val="32"/>
          <w:szCs w:val="32"/>
          <w:lang w:val="en-US" w:eastAsia="zh-CN"/>
        </w:rPr>
        <w:fldChar w:fldCharType="end"/>
      </w:r>
    </w:p>
    <w:p w14:paraId="611BE05F">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_Toc20547 </w:instrText>
      </w:r>
      <w:r>
        <w:rPr>
          <w:rFonts w:hint="default"/>
          <w:sz w:val="32"/>
          <w:szCs w:val="32"/>
          <w:lang w:val="en-US" w:eastAsia="zh-CN"/>
        </w:rPr>
        <w:fldChar w:fldCharType="separate"/>
      </w:r>
      <w:r>
        <w:rPr>
          <w:rFonts w:hint="eastAsia" w:ascii="楷体" w:hAnsi="楷体" w:eastAsia="楷体" w:cs="楷体"/>
          <w:bCs/>
          <w:sz w:val="32"/>
          <w:szCs w:val="32"/>
          <w:highlight w:val="none"/>
          <w:lang w:val="en-US" w:eastAsia="zh-CN"/>
        </w:rPr>
        <w:t>（二）评价分析</w:t>
      </w:r>
      <w:r>
        <w:rPr>
          <w:sz w:val="32"/>
          <w:szCs w:val="32"/>
        </w:rPr>
        <w:tab/>
      </w:r>
      <w:r>
        <w:rPr>
          <w:sz w:val="32"/>
          <w:szCs w:val="32"/>
        </w:rPr>
        <w:fldChar w:fldCharType="begin"/>
      </w:r>
      <w:r>
        <w:rPr>
          <w:sz w:val="32"/>
          <w:szCs w:val="32"/>
        </w:rPr>
        <w:instrText xml:space="preserve"> PAGEREF _Toc20547 \h </w:instrText>
      </w:r>
      <w:r>
        <w:rPr>
          <w:sz w:val="32"/>
          <w:szCs w:val="32"/>
        </w:rPr>
        <w:fldChar w:fldCharType="separate"/>
      </w:r>
      <w:r>
        <w:rPr>
          <w:sz w:val="32"/>
          <w:szCs w:val="32"/>
        </w:rPr>
        <w:t>31</w:t>
      </w:r>
      <w:r>
        <w:rPr>
          <w:sz w:val="32"/>
          <w:szCs w:val="32"/>
        </w:rPr>
        <w:fldChar w:fldCharType="end"/>
      </w:r>
      <w:r>
        <w:rPr>
          <w:rFonts w:hint="default"/>
          <w:sz w:val="32"/>
          <w:szCs w:val="32"/>
          <w:lang w:val="en-US" w:eastAsia="zh-CN"/>
        </w:rPr>
        <w:fldChar w:fldCharType="end"/>
      </w:r>
    </w:p>
    <w:p w14:paraId="26A1874E">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_Toc19667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（三）评价结果</w:t>
      </w:r>
      <w:r>
        <w:rPr>
          <w:sz w:val="32"/>
          <w:szCs w:val="32"/>
        </w:rPr>
        <w:tab/>
      </w:r>
      <w:r>
        <w:rPr>
          <w:sz w:val="32"/>
          <w:szCs w:val="32"/>
        </w:rPr>
        <w:fldChar w:fldCharType="begin"/>
      </w:r>
      <w:r>
        <w:rPr>
          <w:sz w:val="32"/>
          <w:szCs w:val="32"/>
        </w:rPr>
        <w:instrText xml:space="preserve"> PAGEREF _Toc19667 \h </w:instrText>
      </w:r>
      <w:r>
        <w:rPr>
          <w:sz w:val="32"/>
          <w:szCs w:val="32"/>
        </w:rPr>
        <w:fldChar w:fldCharType="separate"/>
      </w:r>
      <w:r>
        <w:rPr>
          <w:sz w:val="32"/>
          <w:szCs w:val="32"/>
        </w:rPr>
        <w:t>47</w:t>
      </w:r>
      <w:r>
        <w:rPr>
          <w:sz w:val="32"/>
          <w:szCs w:val="32"/>
        </w:rPr>
        <w:fldChar w:fldCharType="end"/>
      </w:r>
      <w:r>
        <w:rPr>
          <w:rFonts w:hint="default"/>
          <w:sz w:val="32"/>
          <w:szCs w:val="32"/>
          <w:lang w:val="en-US" w:eastAsia="zh-CN"/>
        </w:rPr>
        <w:fldChar w:fldCharType="end"/>
      </w:r>
    </w:p>
    <w:p w14:paraId="41B9E327">
      <w:pPr>
        <w:pStyle w:val="10"/>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_Toc10443 </w:instrText>
      </w:r>
      <w:r>
        <w:rPr>
          <w:rFonts w:hint="default"/>
          <w:sz w:val="32"/>
          <w:szCs w:val="32"/>
          <w:lang w:val="en-US" w:eastAsia="zh-CN"/>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r>
        <w:rPr>
          <w:sz w:val="32"/>
          <w:szCs w:val="32"/>
        </w:rPr>
        <w:tab/>
      </w:r>
      <w:r>
        <w:rPr>
          <w:sz w:val="32"/>
          <w:szCs w:val="32"/>
        </w:rPr>
        <w:fldChar w:fldCharType="begin"/>
      </w:r>
      <w:r>
        <w:rPr>
          <w:sz w:val="32"/>
          <w:szCs w:val="32"/>
        </w:rPr>
        <w:instrText xml:space="preserve"> PAGEREF _Toc10443 \h </w:instrText>
      </w:r>
      <w:r>
        <w:rPr>
          <w:sz w:val="32"/>
          <w:szCs w:val="32"/>
        </w:rPr>
        <w:fldChar w:fldCharType="separate"/>
      </w:r>
      <w:r>
        <w:rPr>
          <w:sz w:val="32"/>
          <w:szCs w:val="32"/>
        </w:rPr>
        <w:t>48</w:t>
      </w:r>
      <w:r>
        <w:rPr>
          <w:sz w:val="32"/>
          <w:szCs w:val="32"/>
        </w:rPr>
        <w:fldChar w:fldCharType="end"/>
      </w:r>
      <w:r>
        <w:rPr>
          <w:rFonts w:hint="default"/>
          <w:sz w:val="32"/>
          <w:szCs w:val="32"/>
          <w:lang w:val="en-US" w:eastAsia="zh-CN"/>
        </w:rPr>
        <w:fldChar w:fldCharType="end"/>
      </w:r>
    </w:p>
    <w:p w14:paraId="249B59EA">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_Toc9690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（一）预算配置与执行方面存在的问题及建议</w:t>
      </w:r>
      <w:r>
        <w:rPr>
          <w:sz w:val="32"/>
          <w:szCs w:val="32"/>
        </w:rPr>
        <w:tab/>
      </w:r>
      <w:r>
        <w:rPr>
          <w:sz w:val="32"/>
          <w:szCs w:val="32"/>
        </w:rPr>
        <w:fldChar w:fldCharType="begin"/>
      </w:r>
      <w:r>
        <w:rPr>
          <w:sz w:val="32"/>
          <w:szCs w:val="32"/>
        </w:rPr>
        <w:instrText xml:space="preserve"> PAGEREF _Toc9690 \h </w:instrText>
      </w:r>
      <w:r>
        <w:rPr>
          <w:sz w:val="32"/>
          <w:szCs w:val="32"/>
        </w:rPr>
        <w:fldChar w:fldCharType="separate"/>
      </w:r>
      <w:r>
        <w:rPr>
          <w:sz w:val="32"/>
          <w:szCs w:val="32"/>
        </w:rPr>
        <w:t>48</w:t>
      </w:r>
      <w:r>
        <w:rPr>
          <w:sz w:val="32"/>
          <w:szCs w:val="32"/>
        </w:rPr>
        <w:fldChar w:fldCharType="end"/>
      </w:r>
      <w:r>
        <w:rPr>
          <w:rFonts w:hint="default"/>
          <w:sz w:val="32"/>
          <w:szCs w:val="32"/>
          <w:lang w:val="en-US" w:eastAsia="zh-CN"/>
        </w:rPr>
        <w:fldChar w:fldCharType="end"/>
      </w:r>
    </w:p>
    <w:p w14:paraId="2464C508">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_Toc10745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_Toc10745 \h </w:instrText>
      </w:r>
      <w:r>
        <w:rPr>
          <w:sz w:val="32"/>
          <w:szCs w:val="32"/>
        </w:rPr>
        <w:fldChar w:fldCharType="separate"/>
      </w:r>
      <w:r>
        <w:rPr>
          <w:sz w:val="32"/>
          <w:szCs w:val="32"/>
        </w:rPr>
        <w:t>58</w:t>
      </w:r>
      <w:r>
        <w:rPr>
          <w:sz w:val="32"/>
          <w:szCs w:val="32"/>
        </w:rPr>
        <w:fldChar w:fldCharType="end"/>
      </w:r>
      <w:r>
        <w:rPr>
          <w:rFonts w:hint="default"/>
          <w:sz w:val="32"/>
          <w:szCs w:val="32"/>
          <w:lang w:val="en-US" w:eastAsia="zh-CN"/>
        </w:rPr>
        <w:fldChar w:fldCharType="end"/>
      </w:r>
    </w:p>
    <w:p w14:paraId="06DE5B43">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_Toc24865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（三）人员经费管理方面存在的问题及建议</w:t>
      </w:r>
      <w:r>
        <w:rPr>
          <w:sz w:val="32"/>
          <w:szCs w:val="32"/>
        </w:rPr>
        <w:tab/>
      </w:r>
      <w:r>
        <w:rPr>
          <w:sz w:val="32"/>
          <w:szCs w:val="32"/>
        </w:rPr>
        <w:fldChar w:fldCharType="begin"/>
      </w:r>
      <w:r>
        <w:rPr>
          <w:sz w:val="32"/>
          <w:szCs w:val="32"/>
        </w:rPr>
        <w:instrText xml:space="preserve"> PAGEREF _Toc24865 \h </w:instrText>
      </w:r>
      <w:r>
        <w:rPr>
          <w:sz w:val="32"/>
          <w:szCs w:val="32"/>
        </w:rPr>
        <w:fldChar w:fldCharType="separate"/>
      </w:r>
      <w:r>
        <w:rPr>
          <w:sz w:val="32"/>
          <w:szCs w:val="32"/>
        </w:rPr>
        <w:t>62</w:t>
      </w:r>
      <w:r>
        <w:rPr>
          <w:sz w:val="32"/>
          <w:szCs w:val="32"/>
        </w:rPr>
        <w:fldChar w:fldCharType="end"/>
      </w:r>
      <w:r>
        <w:rPr>
          <w:rFonts w:hint="default"/>
          <w:sz w:val="32"/>
          <w:szCs w:val="32"/>
          <w:lang w:val="en-US" w:eastAsia="zh-CN"/>
        </w:rPr>
        <w:fldChar w:fldCharType="end"/>
      </w:r>
    </w:p>
    <w:p w14:paraId="6D2D5677">
      <w:pPr>
        <w:pStyle w:val="11"/>
        <w:keepNext w:val="0"/>
        <w:keepLines w:val="0"/>
        <w:pageBreakBefore w:val="0"/>
        <w:widowControl/>
        <w:tabs>
          <w:tab w:val="right" w:leader="dot" w:pos="8300"/>
        </w:tabs>
        <w:kinsoku/>
        <w:wordWrap/>
        <w:overflowPunct/>
        <w:topLinePunct w:val="0"/>
        <w:autoSpaceDE/>
        <w:autoSpaceDN/>
        <w:bidi w:val="0"/>
        <w:adjustRightInd/>
        <w:snapToGrid/>
        <w:spacing w:line="560" w:lineRule="exact"/>
        <w:textAlignment w:val="auto"/>
        <w:rPr>
          <w:sz w:val="32"/>
          <w:szCs w:val="32"/>
        </w:rPr>
      </w:pPr>
      <w:r>
        <w:rPr>
          <w:rFonts w:hint="default"/>
          <w:sz w:val="32"/>
          <w:szCs w:val="32"/>
          <w:lang w:val="en-US" w:eastAsia="zh-CN"/>
        </w:rPr>
        <w:fldChar w:fldCharType="begin"/>
      </w:r>
      <w:r>
        <w:rPr>
          <w:rFonts w:hint="default"/>
          <w:sz w:val="32"/>
          <w:szCs w:val="32"/>
          <w:lang w:val="en-US" w:eastAsia="zh-CN"/>
        </w:rPr>
        <w:instrText xml:space="preserve"> HYPERLINK \l _Toc4302 </w:instrText>
      </w:r>
      <w:r>
        <w:rPr>
          <w:rFonts w:hint="default"/>
          <w:sz w:val="32"/>
          <w:szCs w:val="32"/>
          <w:lang w:val="en-US" w:eastAsia="zh-CN"/>
        </w:rPr>
        <w:fldChar w:fldCharType="separate"/>
      </w:r>
      <w:r>
        <w:rPr>
          <w:rFonts w:hint="eastAsia" w:ascii="楷体" w:hAnsi="楷体" w:eastAsia="楷体" w:cs="楷体"/>
          <w:bCs/>
          <w:sz w:val="32"/>
          <w:szCs w:val="32"/>
          <w:lang w:val="en-US" w:eastAsia="zh-CN"/>
        </w:rPr>
        <w:t>（四）项目管理方面存在的问题及建议</w:t>
      </w:r>
      <w:r>
        <w:rPr>
          <w:sz w:val="32"/>
          <w:szCs w:val="32"/>
        </w:rPr>
        <w:tab/>
      </w:r>
      <w:r>
        <w:rPr>
          <w:sz w:val="32"/>
          <w:szCs w:val="32"/>
        </w:rPr>
        <w:fldChar w:fldCharType="begin"/>
      </w:r>
      <w:r>
        <w:rPr>
          <w:sz w:val="32"/>
          <w:szCs w:val="32"/>
        </w:rPr>
        <w:instrText xml:space="preserve"> PAGEREF _Toc4302 \h </w:instrText>
      </w:r>
      <w:r>
        <w:rPr>
          <w:sz w:val="32"/>
          <w:szCs w:val="32"/>
        </w:rPr>
        <w:fldChar w:fldCharType="separate"/>
      </w:r>
      <w:r>
        <w:rPr>
          <w:sz w:val="32"/>
          <w:szCs w:val="32"/>
        </w:rPr>
        <w:t>72</w:t>
      </w:r>
      <w:r>
        <w:rPr>
          <w:sz w:val="32"/>
          <w:szCs w:val="32"/>
        </w:rPr>
        <w:fldChar w:fldCharType="end"/>
      </w:r>
      <w:r>
        <w:rPr>
          <w:rFonts w:hint="default"/>
          <w:sz w:val="32"/>
          <w:szCs w:val="32"/>
          <w:lang w:val="en-US" w:eastAsia="zh-CN"/>
        </w:rPr>
        <w:fldChar w:fldCharType="end"/>
      </w:r>
    </w:p>
    <w:p w14:paraId="7FD67802">
      <w:pPr>
        <w:keepNext w:val="0"/>
        <w:keepLines w:val="0"/>
        <w:pageBreakBefore w:val="0"/>
        <w:widowControl/>
        <w:tabs>
          <w:tab w:val="left" w:pos="475"/>
        </w:tabs>
        <w:kinsoku/>
        <w:wordWrap/>
        <w:overflowPunct/>
        <w:topLinePunct w:val="0"/>
        <w:autoSpaceDE/>
        <w:autoSpaceDN/>
        <w:bidi w:val="0"/>
        <w:adjustRightInd/>
        <w:snapToGrid/>
        <w:spacing w:line="560" w:lineRule="exact"/>
        <w:textAlignment w:val="auto"/>
        <w:rPr>
          <w:rFonts w:hint="default"/>
          <w:sz w:val="28"/>
          <w:szCs w:val="28"/>
          <w:lang w:val="en-US" w:eastAsia="zh-CN"/>
        </w:rPr>
      </w:pPr>
      <w:r>
        <w:rPr>
          <w:rFonts w:hint="default"/>
          <w:sz w:val="32"/>
          <w:szCs w:val="32"/>
          <w:lang w:val="en-US" w:eastAsia="zh-CN"/>
        </w:rPr>
        <w:fldChar w:fldCharType="end"/>
      </w:r>
    </w:p>
    <w:p w14:paraId="6A3BD969">
      <w:pPr>
        <w:pStyle w:val="11"/>
        <w:tabs>
          <w:tab w:val="left" w:pos="2694"/>
        </w:tabs>
        <w:rPr>
          <w:rFonts w:hint="default" w:asciiTheme="minorHAnsi" w:hAnsiTheme="minorHAnsi" w:eastAsiaTheme="minorEastAsia" w:cstheme="minorBidi"/>
          <w:kern w:val="0"/>
          <w:sz w:val="28"/>
          <w:szCs w:val="28"/>
          <w:lang w:val="en-US" w:eastAsia="zh-CN" w:bidi="ar"/>
        </w:rPr>
      </w:pPr>
    </w:p>
    <w:p w14:paraId="6C01F959">
      <w:pPr>
        <w:bidi w:val="0"/>
        <w:rPr>
          <w:rFonts w:hint="default"/>
          <w:lang w:val="en-US" w:eastAsia="zh-CN"/>
        </w:rPr>
      </w:pPr>
    </w:p>
    <w:p w14:paraId="23CB58C1">
      <w:pPr>
        <w:tabs>
          <w:tab w:val="left" w:pos="7025"/>
        </w:tabs>
        <w:bidi w:val="0"/>
        <w:jc w:val="left"/>
        <w:rPr>
          <w:rFonts w:hint="default"/>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32" w:charSpace="0"/>
        </w:sectPr>
      </w:pPr>
    </w:p>
    <w:p w14:paraId="72E89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2024年中共雁峰区委办公室部门整体支出绩效评价报告</w:t>
      </w:r>
    </w:p>
    <w:p w14:paraId="1A4E3C1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outlineLvl w:val="9"/>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（征求意见稿）</w:t>
      </w:r>
    </w:p>
    <w:p w14:paraId="18CF86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湘浩元</w:t>
      </w:r>
      <w:r>
        <w:rPr>
          <w:rFonts w:hint="eastAsia" w:ascii="仿宋" w:hAnsi="仿宋" w:eastAsia="仿宋" w:cs="仿宋"/>
          <w:sz w:val="32"/>
          <w:szCs w:val="32"/>
          <w:lang w:val="en-US" w:eastAsia="zh-CN"/>
        </w:rPr>
        <w:t>评</w:t>
      </w:r>
      <w:r>
        <w:rPr>
          <w:rFonts w:hint="eastAsia" w:ascii="仿宋" w:hAnsi="仿宋" w:eastAsia="仿宋" w:cs="仿宋"/>
          <w:sz w:val="32"/>
          <w:szCs w:val="32"/>
          <w:lang w:eastAsia="zh-CN"/>
        </w:rPr>
        <w:t>字[202</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]第</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号</w:t>
      </w:r>
    </w:p>
    <w:p w14:paraId="6846085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雁峰区财政局：</w:t>
      </w:r>
    </w:p>
    <w:p w14:paraId="69ABBD9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接受委托，对2024年中共雁峰区委办公室（以下简称“区委办公室”）的部门整体支出进行了绩效评价。建立健全内部控制制度，保护资金与资产的安全和完整，保证会计资料和其他绩效评价的相关资料的真实性、合法性和完整性，是区委办公室的责任。我们的责任是在区委办公室提供资料基础上，对2024年的部门整体支出绩效进行评价。</w:t>
      </w:r>
    </w:p>
    <w:p w14:paraId="46E904E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评价程序。绩效评价工作已完成，现报告如下</w:t>
      </w:r>
      <w:bookmarkStart w:id="0" w:name="_Toc11075"/>
      <w:r>
        <w:rPr>
          <w:rFonts w:hint="eastAsia" w:ascii="仿宋" w:hAnsi="仿宋" w:eastAsia="仿宋" w:cs="仿宋"/>
          <w:sz w:val="32"/>
          <w:szCs w:val="32"/>
          <w:lang w:val="en-US" w:eastAsia="zh-CN"/>
        </w:rPr>
        <w:t>：</w:t>
      </w:r>
    </w:p>
    <w:p w14:paraId="63EE632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仿宋" w:hAnsi="仿宋" w:eastAsia="仿宋" w:cs="仿宋"/>
          <w:sz w:val="32"/>
          <w:szCs w:val="32"/>
        </w:rPr>
      </w:pPr>
      <w:bookmarkStart w:id="1" w:name="_Toc18591"/>
      <w:bookmarkStart w:id="2" w:name="_Toc9891"/>
      <w:bookmarkStart w:id="3" w:name="_Toc20127"/>
      <w:bookmarkStart w:id="4" w:name="_Toc25500"/>
      <w:r>
        <w:rPr>
          <w:rFonts w:hint="eastAsia" w:ascii="黑体" w:hAnsi="黑体" w:eastAsia="黑体" w:cs="黑体"/>
          <w:sz w:val="32"/>
          <w:szCs w:val="32"/>
          <w:lang w:eastAsia="zh-CN"/>
        </w:rPr>
        <w:t>一、</w:t>
      </w:r>
      <w:r>
        <w:rPr>
          <w:rFonts w:hint="eastAsia" w:ascii="黑体" w:hAnsi="黑体" w:eastAsia="黑体" w:cs="黑体"/>
          <w:sz w:val="32"/>
          <w:szCs w:val="32"/>
          <w:lang w:val="en-US" w:eastAsia="zh-CN"/>
        </w:rPr>
        <w:t>绩效评价基本</w:t>
      </w:r>
      <w:r>
        <w:rPr>
          <w:rFonts w:hint="eastAsia" w:ascii="黑体" w:hAnsi="黑体" w:eastAsia="黑体" w:cs="黑体"/>
          <w:sz w:val="32"/>
          <w:szCs w:val="32"/>
        </w:rPr>
        <w:t>情况</w:t>
      </w:r>
      <w:bookmarkEnd w:id="1"/>
      <w:bookmarkEnd w:id="2"/>
      <w:bookmarkEnd w:id="3"/>
      <w:bookmarkEnd w:id="4"/>
    </w:p>
    <w:p w14:paraId="2FBD8C1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5" w:name="_Toc3257"/>
      <w:bookmarkStart w:id="6" w:name="_Toc2812"/>
      <w:bookmarkStart w:id="7" w:name="_Toc13350"/>
      <w:bookmarkStart w:id="8" w:name="_Toc26464"/>
      <w:bookmarkStart w:id="9" w:name="_Toc31632"/>
      <w:r>
        <w:rPr>
          <w:rFonts w:hint="eastAsia" w:ascii="楷体" w:hAnsi="楷体" w:eastAsia="楷体" w:cs="楷体"/>
          <w:b/>
          <w:bCs/>
          <w:sz w:val="32"/>
          <w:szCs w:val="32"/>
        </w:rPr>
        <w:t>（一）</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对象和范围</w:t>
      </w:r>
      <w:bookmarkEnd w:id="5"/>
      <w:bookmarkEnd w:id="6"/>
      <w:bookmarkEnd w:id="7"/>
      <w:bookmarkEnd w:id="8"/>
      <w:bookmarkEnd w:id="9"/>
    </w:p>
    <w:p w14:paraId="068AC20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bookmarkStart w:id="10" w:name="_Toc29635"/>
      <w:bookmarkStart w:id="11" w:name="_Toc7691"/>
      <w:bookmarkStart w:id="12" w:name="_Toc8069"/>
      <w:r>
        <w:rPr>
          <w:rFonts w:hint="eastAsia" w:ascii="仿宋" w:hAnsi="仿宋" w:eastAsia="仿宋" w:cs="仿宋"/>
          <w:sz w:val="32"/>
          <w:szCs w:val="32"/>
          <w:lang w:val="en-US" w:eastAsia="zh-CN"/>
        </w:rPr>
        <w:t>评价对象为2024年中共雁峰区委办公室整体支出绩效。评价范围包括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10"/>
    <w:bookmarkEnd w:id="11"/>
    <w:bookmarkEnd w:id="12"/>
    <w:p w14:paraId="408394B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 w:name="_Toc1228"/>
      <w:bookmarkStart w:id="14" w:name="_Toc29352"/>
      <w:bookmarkStart w:id="15" w:name="_Toc24072"/>
      <w:bookmarkStart w:id="16" w:name="_Toc7231"/>
      <w:bookmarkStart w:id="17" w:name="_Toc25241"/>
      <w:bookmarkStart w:id="18" w:name="_Toc4694"/>
      <w:bookmarkStart w:id="19" w:name="_Hlk172128948"/>
      <w:r>
        <w:rPr>
          <w:rFonts w:hint="eastAsia" w:ascii="楷体" w:hAnsi="楷体" w:eastAsia="楷体" w:cs="楷体"/>
          <w:b/>
          <w:bCs/>
          <w:sz w:val="32"/>
          <w:szCs w:val="32"/>
        </w:rPr>
        <w:t>（二）</w:t>
      </w:r>
      <w:r>
        <w:rPr>
          <w:rFonts w:hint="eastAsia" w:ascii="楷体" w:hAnsi="楷体" w:eastAsia="楷体" w:cs="楷体"/>
          <w:b/>
          <w:bCs/>
          <w:sz w:val="32"/>
          <w:szCs w:val="32"/>
          <w:lang w:val="en-US" w:eastAsia="zh-CN"/>
        </w:rPr>
        <w:t>评价</w:t>
      </w:r>
      <w:r>
        <w:rPr>
          <w:rFonts w:hint="eastAsia" w:ascii="楷体" w:hAnsi="楷体" w:eastAsia="楷体" w:cs="楷体"/>
          <w:b/>
          <w:bCs/>
          <w:sz w:val="32"/>
          <w:szCs w:val="32"/>
        </w:rPr>
        <w:t>依据</w:t>
      </w:r>
      <w:bookmarkEnd w:id="13"/>
      <w:bookmarkEnd w:id="14"/>
    </w:p>
    <w:p w14:paraId="7E63994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1、《中共中央 国务院关于全面实施预算绩效管理的意见》（中发〔2018〕34号）；</w:t>
      </w:r>
    </w:p>
    <w:p w14:paraId="70207D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2、《中共湖南省委办公厅 湖南省人民政府办公厅关于全面实施预算绩效管理的实施意见》（湘办发〔2019〕10号）；</w:t>
      </w:r>
    </w:p>
    <w:p w14:paraId="054B859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3、《财政部关于印发〈项目支出绩效评价管理办法〉的通知》（财预〔2020〕10号）。</w:t>
      </w:r>
    </w:p>
    <w:p w14:paraId="393EE0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4、财政部</w:t>
      </w:r>
      <w:r>
        <w:rPr>
          <w:rFonts w:hint="eastAsia" w:ascii="仿宋" w:hAnsi="仿宋" w:eastAsia="仿宋" w:cs="仿宋"/>
          <w:sz w:val="32"/>
          <w:szCs w:val="32"/>
          <w:lang w:val="en-US" w:eastAsia="zh-CN"/>
        </w:rPr>
        <w:t>关于印发</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地方政府债券发行管理办法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财库</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0</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43号。</w:t>
      </w:r>
    </w:p>
    <w:p w14:paraId="095FF3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5、《中华人民共和国预算法》</w:t>
      </w:r>
    </w:p>
    <w:p w14:paraId="58819D1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6、《财政专项资金管理办法》</w:t>
      </w:r>
    </w:p>
    <w:p w14:paraId="4C76F82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7、关于印发《衡阳市市直机关会议费管理办法》的通知衡财行〔2018〕463号。</w:t>
      </w:r>
    </w:p>
    <w:p w14:paraId="4CD93FB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8、关于印发《行政事业单位内部控制规范（试行）》的通知财会〔2012〕21号。</w:t>
      </w:r>
    </w:p>
    <w:p w14:paraId="531721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9、事业单位国有资产管理暂行办法（2019修订）。</w:t>
      </w:r>
    </w:p>
    <w:p w14:paraId="4391BE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10、关于印发《湖南省省直党政机关和参公事业单位国有资产管理办法》的通知湘政办发〔2021〕59号。</w:t>
      </w:r>
    </w:p>
    <w:p w14:paraId="63EC011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11、关于印发《衡阳市市直行政事业单位国有资产配置管理办法》的通知衡财资〔2021〕482号。</w:t>
      </w:r>
    </w:p>
    <w:p w14:paraId="4C67DEC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12、关于印发《湖南省省级行政事业单位通用办公设备和办公家具配置限额标准》的通知湘政资〔2020〕15号。</w:t>
      </w:r>
    </w:p>
    <w:p w14:paraId="36A5A86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13、关于修改《事业单位国有资产管理暂行办法》的决定财政部令第100号。</w:t>
      </w:r>
    </w:p>
    <w:p w14:paraId="1BAE7B5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14、关于印发《衡阳市市直机关差旅费管理办法》的通知衡财行〔2019〕248号。</w:t>
      </w:r>
    </w:p>
    <w:p w14:paraId="3AEBA15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15、违反中央八项规定精神问题月报数据填报说明。</w:t>
      </w:r>
    </w:p>
    <w:p w14:paraId="5D2E823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16、党政机关厉行节约反对浪费条例2013。</w:t>
      </w:r>
    </w:p>
    <w:p w14:paraId="0D4C801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17、中央八项规定中对于国家公职人员涉及财务的80项禁止行为。</w:t>
      </w:r>
    </w:p>
    <w:p w14:paraId="4AF56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18、关于《明确市直党政机关公务活动用餐有关事项》的通知衡财行〔2018〕467号。</w:t>
      </w:r>
    </w:p>
    <w:p w14:paraId="71A41B9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19、衡阳市市直机关培训费管理办法衡财行[2017]409号。</w:t>
      </w:r>
    </w:p>
    <w:p w14:paraId="34DA05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衡阳市财政局文件衡财行[2018]467号关于明确市直党政机关公务活动用餐有关事项的通知。</w:t>
      </w:r>
    </w:p>
    <w:p w14:paraId="73E24FF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21、中共衡阳市委办公室 衡阳市人民政府办公室文件衡办发[2025]6号《衡阳市委党政机关国内公务接待管理办法》的通知。</w:t>
      </w:r>
    </w:p>
    <w:p w14:paraId="18017CD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w:t>
      </w:r>
      <w:r>
        <w:rPr>
          <w:rFonts w:hint="eastAsia" w:ascii="仿宋" w:hAnsi="仿宋" w:eastAsia="仿宋" w:cs="仿宋"/>
          <w:sz w:val="32"/>
          <w:szCs w:val="32"/>
          <w:lang w:eastAsia="zh-CN"/>
        </w:rPr>
        <w:t>预算批复时确定的绩效目标及指标，预算部门年度预算执行情况，年度决算报告等相关材料。</w:t>
      </w:r>
    </w:p>
    <w:p w14:paraId="1CC63ED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23、</w:t>
      </w:r>
      <w:r>
        <w:rPr>
          <w:rFonts w:hint="eastAsia" w:ascii="仿宋" w:hAnsi="仿宋" w:eastAsia="仿宋" w:cs="仿宋"/>
          <w:sz w:val="32"/>
          <w:szCs w:val="32"/>
          <w:lang w:eastAsia="zh-CN"/>
        </w:rPr>
        <w:t>其他与本次</w:t>
      </w:r>
      <w:r>
        <w:rPr>
          <w:rFonts w:hint="eastAsia" w:ascii="仿宋" w:hAnsi="仿宋" w:eastAsia="仿宋" w:cs="仿宋"/>
          <w:sz w:val="32"/>
          <w:szCs w:val="32"/>
          <w:lang w:val="en-US" w:eastAsia="zh-CN"/>
        </w:rPr>
        <w:t>绩效评价</w:t>
      </w:r>
      <w:r>
        <w:rPr>
          <w:rFonts w:hint="eastAsia" w:ascii="仿宋" w:hAnsi="仿宋" w:eastAsia="仿宋" w:cs="仿宋"/>
          <w:sz w:val="32"/>
          <w:szCs w:val="32"/>
          <w:lang w:eastAsia="zh-CN"/>
        </w:rPr>
        <w:t>有关的政策文件。</w:t>
      </w:r>
    </w:p>
    <w:p w14:paraId="15E7ED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default" w:ascii="楷体" w:hAnsi="楷体" w:eastAsia="楷体" w:cs="楷体"/>
          <w:b/>
          <w:bCs/>
          <w:sz w:val="32"/>
          <w:szCs w:val="32"/>
          <w:lang w:val="en-US"/>
        </w:rPr>
      </w:pPr>
      <w:bookmarkStart w:id="20" w:name="_Toc21686"/>
      <w:r>
        <w:rPr>
          <w:rFonts w:hint="eastAsia" w:ascii="楷体" w:hAnsi="楷体" w:eastAsia="楷体" w:cs="楷体"/>
          <w:b/>
          <w:bCs/>
          <w:sz w:val="32"/>
          <w:szCs w:val="32"/>
        </w:rPr>
        <w:t>（三）</w:t>
      </w:r>
      <w:bookmarkEnd w:id="15"/>
      <w:bookmarkEnd w:id="16"/>
      <w:r>
        <w:rPr>
          <w:rFonts w:hint="eastAsia" w:ascii="楷体" w:hAnsi="楷体" w:eastAsia="楷体" w:cs="楷体"/>
          <w:b/>
          <w:bCs/>
          <w:sz w:val="32"/>
          <w:szCs w:val="32"/>
          <w:lang w:val="en-US" w:eastAsia="zh-CN"/>
        </w:rPr>
        <w:t>评价方法和目的</w:t>
      </w:r>
      <w:bookmarkEnd w:id="17"/>
      <w:bookmarkEnd w:id="18"/>
      <w:bookmarkEnd w:id="20"/>
    </w:p>
    <w:p w14:paraId="242A6CB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我们</w:t>
      </w:r>
      <w:r>
        <w:rPr>
          <w:rFonts w:hint="eastAsia" w:ascii="仿宋" w:hAnsi="仿宋" w:eastAsia="仿宋" w:cs="仿宋"/>
          <w:sz w:val="32"/>
          <w:szCs w:val="32"/>
          <w:lang w:eastAsia="zh-CN"/>
        </w:rPr>
        <w:t>通过</w:t>
      </w:r>
      <w:r>
        <w:rPr>
          <w:rFonts w:hint="eastAsia" w:ascii="仿宋" w:hAnsi="仿宋" w:eastAsia="仿宋" w:cs="仿宋"/>
          <w:sz w:val="32"/>
          <w:szCs w:val="32"/>
          <w:lang w:val="en-US" w:eastAsia="zh-CN"/>
        </w:rPr>
        <w:t>听取情况介绍、进行实地核查、发放调查问卷、对照复核及分析等方式，对区委办公室提供的相关资料</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进行核对与审查，分析与评价内部管理及控制情况，贯彻落实厉行节约、严控“三公”经费、降低一般运行经费、加强项目支出管理、核实资金结余情况，</w:t>
      </w:r>
      <w:r>
        <w:rPr>
          <w:rFonts w:hint="eastAsia" w:ascii="仿宋" w:hAnsi="仿宋" w:eastAsia="仿宋" w:cs="仿宋"/>
          <w:sz w:val="32"/>
          <w:szCs w:val="32"/>
          <w:highlight w:val="none"/>
          <w:lang w:val="en-US" w:eastAsia="zh-CN"/>
        </w:rPr>
        <w:t>强化政府责任与透明度，全面衡量公共资金使用的经济性、效率性、效益性和可持续性，系统性地检视资金使用全流程，确保公共资源发挥</w:t>
      </w:r>
      <w:r>
        <w:rPr>
          <w:rFonts w:hint="eastAsia" w:ascii="仿宋" w:hAnsi="仿宋" w:eastAsia="仿宋" w:cs="仿宋"/>
          <w:sz w:val="32"/>
          <w:szCs w:val="32"/>
          <w:lang w:val="en-US" w:eastAsia="zh-CN"/>
        </w:rPr>
        <w:t>最大价值，同时为政策调整和预算优化提供依据。</w:t>
      </w:r>
    </w:p>
    <w:bookmarkEnd w:id="0"/>
    <w:bookmarkEnd w:id="19"/>
    <w:p w14:paraId="76AE3A3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1" w:name="_Toc32697"/>
      <w:bookmarkStart w:id="22" w:name="_Toc3067"/>
      <w:bookmarkStart w:id="23" w:name="_Toc21063"/>
      <w:r>
        <w:rPr>
          <w:rFonts w:hint="eastAsia" w:ascii="黑体" w:hAnsi="黑体" w:eastAsia="黑体" w:cs="黑体"/>
          <w:sz w:val="32"/>
          <w:szCs w:val="32"/>
          <w:lang w:val="en-US" w:eastAsia="zh-CN"/>
        </w:rPr>
        <w:t>部门基本</w:t>
      </w:r>
      <w:r>
        <w:rPr>
          <w:rFonts w:hint="eastAsia" w:ascii="黑体" w:hAnsi="黑体" w:eastAsia="黑体" w:cs="黑体"/>
          <w:sz w:val="32"/>
          <w:szCs w:val="32"/>
          <w:lang w:eastAsia="zh-CN"/>
        </w:rPr>
        <w:t>情况</w:t>
      </w:r>
      <w:bookmarkEnd w:id="21"/>
      <w:bookmarkEnd w:id="22"/>
      <w:bookmarkEnd w:id="23"/>
    </w:p>
    <w:p w14:paraId="2A24FB9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4" w:name="_Toc29585"/>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基本信息</w:t>
      </w:r>
      <w:bookmarkEnd w:id="24"/>
    </w:p>
    <w:p w14:paraId="3664BA6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楷体" w:hAnsi="楷体" w:eastAsia="楷体" w:cs="楷体"/>
          <w:b/>
          <w:bCs/>
          <w:sz w:val="32"/>
          <w:szCs w:val="32"/>
          <w:lang w:val="en-US" w:eastAsia="zh-CN"/>
        </w:rPr>
      </w:pPr>
      <w:r>
        <w:rPr>
          <w:rFonts w:hint="default" w:ascii="仿宋" w:hAnsi="仿宋" w:eastAsia="仿宋" w:cs="仿宋"/>
          <w:sz w:val="32"/>
          <w:szCs w:val="32"/>
          <w:lang w:val="en-US" w:eastAsia="zh-CN"/>
        </w:rPr>
        <w:t>统一社会信用代码11430403587015120B</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预算级次</w:t>
      </w:r>
      <w:r>
        <w:rPr>
          <w:rFonts w:hint="eastAsia" w:ascii="仿宋" w:hAnsi="仿宋" w:eastAsia="仿宋" w:cs="仿宋"/>
          <w:sz w:val="32"/>
          <w:szCs w:val="32"/>
          <w:lang w:val="en-US" w:eastAsia="zh-CN"/>
        </w:rPr>
        <w:t>为乡</w:t>
      </w:r>
      <w:r>
        <w:rPr>
          <w:rFonts w:hint="default" w:ascii="仿宋" w:hAnsi="仿宋" w:eastAsia="仿宋" w:cs="仿宋"/>
          <w:sz w:val="32"/>
          <w:szCs w:val="32"/>
          <w:lang w:val="en-US" w:eastAsia="zh-CN"/>
        </w:rPr>
        <w:t>级</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单位预算级次</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一级预算单位</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单位经费保障方式</w:t>
      </w:r>
      <w:r>
        <w:rPr>
          <w:rFonts w:hint="eastAsia" w:ascii="仿宋" w:hAnsi="仿宋" w:eastAsia="仿宋" w:cs="仿宋"/>
          <w:sz w:val="32"/>
          <w:szCs w:val="32"/>
          <w:lang w:val="en-US" w:eastAsia="zh-CN"/>
        </w:rPr>
        <w:t>为</w:t>
      </w:r>
      <w:r>
        <w:rPr>
          <w:rFonts w:hint="default" w:ascii="仿宋" w:hAnsi="仿宋" w:eastAsia="仿宋" w:cs="仿宋"/>
          <w:sz w:val="32"/>
          <w:szCs w:val="32"/>
          <w:lang w:val="en-US" w:eastAsia="zh-CN"/>
        </w:rPr>
        <w:t>全额</w:t>
      </w:r>
      <w:r>
        <w:rPr>
          <w:rFonts w:hint="eastAsia" w:ascii="仿宋" w:hAnsi="仿宋" w:eastAsia="仿宋" w:cs="仿宋"/>
          <w:sz w:val="32"/>
          <w:szCs w:val="32"/>
          <w:lang w:val="en-US" w:eastAsia="zh-CN"/>
        </w:rPr>
        <w:t>。</w:t>
      </w:r>
    </w:p>
    <w:p w14:paraId="5EE58AC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5" w:name="_Toc25483"/>
      <w:r>
        <w:rPr>
          <w:rFonts w:hint="eastAsia" w:ascii="楷体" w:hAnsi="楷体" w:eastAsia="楷体" w:cs="楷体"/>
          <w:b/>
          <w:bCs/>
          <w:sz w:val="32"/>
          <w:szCs w:val="32"/>
          <w:lang w:eastAsia="zh-CN"/>
        </w:rPr>
        <w:t>部门</w:t>
      </w:r>
      <w:r>
        <w:rPr>
          <w:rFonts w:hint="eastAsia" w:ascii="楷体" w:hAnsi="楷体" w:eastAsia="楷体" w:cs="楷体"/>
          <w:b/>
          <w:bCs/>
          <w:sz w:val="32"/>
          <w:szCs w:val="32"/>
          <w:lang w:val="en-US" w:eastAsia="zh-CN"/>
        </w:rPr>
        <w:t>主要职责</w:t>
      </w:r>
      <w:bookmarkEnd w:id="25"/>
    </w:p>
    <w:p w14:paraId="5BE5AAF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区委办公室作为区党委的综合办事机构，主要职责是围绕区委中心工作，发挥参谋助手、综合协调、督促检查、服务保障等作用，具体包括：</w:t>
      </w:r>
    </w:p>
    <w:p w14:paraId="01D270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参谋助手。</w:t>
      </w:r>
      <w:r>
        <w:rPr>
          <w:rFonts w:hint="eastAsia" w:ascii="仿宋" w:hAnsi="仿宋" w:eastAsia="仿宋" w:cs="仿宋"/>
          <w:b w:val="0"/>
          <w:bCs w:val="0"/>
          <w:sz w:val="32"/>
          <w:szCs w:val="32"/>
          <w:lang w:eastAsia="zh-CN"/>
        </w:rPr>
        <w:t>负责区委重要文件、报告、讲话的起草、审核和印发。围绕区委决策部署开展调查研究，提供信息参考和政策建议。收集、分析全区经济社会发展动态，及时向区委汇报重要情况。</w:t>
      </w:r>
    </w:p>
    <w:p w14:paraId="089033E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综合协调。</w:t>
      </w:r>
      <w:r>
        <w:rPr>
          <w:rFonts w:hint="eastAsia" w:ascii="仿宋" w:hAnsi="仿宋" w:eastAsia="仿宋" w:cs="仿宋"/>
          <w:b w:val="0"/>
          <w:bCs w:val="0"/>
          <w:sz w:val="32"/>
          <w:szCs w:val="32"/>
          <w:lang w:eastAsia="zh-CN"/>
        </w:rPr>
        <w:t>协调区人大、区政府、区政协及各部门、各街道（乡镇）落实区委工作安排。组织安排区委重要会议、活动，确保高效有序运转。处理日常事务，保障区委与上下级单位之间的联络畅通。</w:t>
      </w:r>
    </w:p>
    <w:p w14:paraId="74C7709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lang w:eastAsia="zh-CN"/>
        </w:rPr>
        <w:t>督促检查。</w:t>
      </w:r>
      <w:r>
        <w:rPr>
          <w:rFonts w:hint="eastAsia" w:ascii="仿宋" w:hAnsi="仿宋" w:eastAsia="仿宋" w:cs="仿宋"/>
          <w:b w:val="0"/>
          <w:bCs w:val="0"/>
          <w:sz w:val="32"/>
          <w:szCs w:val="32"/>
          <w:lang w:eastAsia="zh-CN"/>
        </w:rPr>
        <w:t>对区委重要决策、会议决议、领导批示的落实情况进行跟踪督查。推动重点工作、重点项目进展，确保决策部署落地见效。汇总督查结果，定期向区委反馈落实情况。</w:t>
      </w:r>
    </w:p>
    <w:p w14:paraId="73CD1B5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4.</w:t>
      </w:r>
      <w:r>
        <w:rPr>
          <w:rFonts w:hint="eastAsia" w:ascii="仿宋" w:hAnsi="仿宋" w:eastAsia="仿宋" w:cs="仿宋"/>
          <w:b/>
          <w:bCs/>
          <w:sz w:val="32"/>
          <w:szCs w:val="32"/>
          <w:lang w:eastAsia="zh-CN"/>
        </w:rPr>
        <w:t>服务保障。</w:t>
      </w:r>
      <w:r>
        <w:rPr>
          <w:rFonts w:hint="eastAsia" w:ascii="仿宋" w:hAnsi="仿宋" w:eastAsia="仿宋" w:cs="仿宋"/>
          <w:b w:val="0"/>
          <w:bCs w:val="0"/>
          <w:sz w:val="32"/>
          <w:szCs w:val="32"/>
          <w:lang w:eastAsia="zh-CN"/>
        </w:rPr>
        <w:t>负责区委机关文电处理、机要保密、档案管理、值班应急等工作。统筹协调后勤保障，确保区委办公环境安全、高效运转。接待群众来访，处理来信来函，协助化解矛盾。</w:t>
      </w:r>
    </w:p>
    <w:p w14:paraId="29353D4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5.其他职责。</w:t>
      </w:r>
      <w:r>
        <w:rPr>
          <w:rFonts w:hint="eastAsia" w:ascii="仿宋" w:hAnsi="仿宋" w:eastAsia="仿宋" w:cs="仿宋"/>
          <w:b w:val="0"/>
          <w:bCs w:val="0"/>
          <w:sz w:val="32"/>
          <w:szCs w:val="32"/>
          <w:lang w:val="en-US" w:eastAsia="zh-CN"/>
        </w:rPr>
        <w:t>负责区委对外联络和接待工作。指导全区党委办公室系统业务建设。完成区委交办的其他任务。</w:t>
      </w:r>
    </w:p>
    <w:p w14:paraId="40CF435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26" w:name="_Toc29339"/>
      <w:r>
        <w:rPr>
          <w:rFonts w:hint="eastAsia" w:ascii="楷体" w:hAnsi="楷体" w:eastAsia="楷体" w:cs="楷体"/>
          <w:b/>
          <w:bCs/>
          <w:sz w:val="32"/>
          <w:szCs w:val="32"/>
          <w:lang w:val="en-US" w:eastAsia="zh-CN"/>
        </w:rPr>
        <w:t>（三）部门</w:t>
      </w:r>
      <w:r>
        <w:rPr>
          <w:rFonts w:hint="eastAsia" w:ascii="楷体" w:hAnsi="楷体" w:eastAsia="楷体" w:cs="楷体"/>
          <w:b/>
          <w:bCs/>
          <w:sz w:val="32"/>
          <w:szCs w:val="32"/>
          <w:lang w:eastAsia="zh-CN"/>
        </w:rPr>
        <w:t>组织架构与人员</w:t>
      </w:r>
      <w:bookmarkEnd w:id="26"/>
    </w:p>
    <w:p w14:paraId="70F1384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1.内部机构设置</w:t>
      </w:r>
    </w:p>
    <w:p w14:paraId="7DA80A2F">
      <w:pPr>
        <w:pStyle w:val="8"/>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default"/>
          <w:lang w:val="en-US" w:eastAsia="zh-CN"/>
        </w:rPr>
      </w:pPr>
      <w:r>
        <w:rPr>
          <w:rFonts w:hint="eastAsia" w:ascii="仿宋" w:hAnsi="仿宋" w:eastAsia="仿宋" w:cs="仿宋"/>
          <w:b/>
          <w:bCs/>
          <w:sz w:val="32"/>
          <w:szCs w:val="32"/>
          <w:highlight w:val="none"/>
          <w:lang w:val="en-US" w:eastAsia="zh-CN"/>
        </w:rPr>
        <w:t>未提供相关资料。</w:t>
      </w:r>
    </w:p>
    <w:p w14:paraId="1956EBC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2.编制及实有人员</w:t>
      </w:r>
    </w:p>
    <w:p w14:paraId="7A3428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sz w:val="32"/>
          <w:szCs w:val="32"/>
          <w:lang w:val="en-US" w:eastAsia="zh-CN"/>
        </w:rPr>
        <w:t>截至2024年12月31日，区委办公室退休</w:t>
      </w:r>
      <w:r>
        <w:rPr>
          <w:rFonts w:hint="eastAsia" w:ascii="仿宋" w:hAnsi="仿宋" w:eastAsia="仿宋" w:cs="仿宋"/>
          <w:sz w:val="32"/>
          <w:szCs w:val="32"/>
          <w:highlight w:val="none"/>
          <w:lang w:val="en-US" w:eastAsia="zh-CN"/>
        </w:rPr>
        <w:t>人员14人。</w:t>
      </w:r>
      <w:r>
        <w:rPr>
          <w:rFonts w:hint="eastAsia" w:ascii="仿宋" w:hAnsi="仿宋" w:eastAsia="仿宋" w:cs="仿宋"/>
          <w:sz w:val="32"/>
          <w:szCs w:val="32"/>
          <w:lang w:val="en-US" w:eastAsia="zh-CN"/>
        </w:rPr>
        <w:t>编制28个，在编在岗职工26人，</w:t>
      </w:r>
      <w:r>
        <w:rPr>
          <w:rFonts w:hint="eastAsia" w:ascii="仿宋" w:hAnsi="仿宋" w:eastAsia="仿宋" w:cs="仿宋"/>
          <w:b/>
          <w:bCs/>
          <w:sz w:val="32"/>
          <w:szCs w:val="32"/>
          <w:highlight w:val="none"/>
          <w:lang w:val="en-US" w:eastAsia="zh-CN"/>
        </w:rPr>
        <w:t>人员控制率92.86%。</w:t>
      </w:r>
    </w:p>
    <w:p w14:paraId="5F8F430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7" w:name="_Toc28385"/>
      <w:r>
        <w:rPr>
          <w:rFonts w:hint="eastAsia" w:ascii="楷体" w:hAnsi="楷体" w:eastAsia="楷体" w:cs="楷体"/>
          <w:b/>
          <w:bCs/>
          <w:sz w:val="32"/>
          <w:szCs w:val="32"/>
          <w:lang w:val="en-US" w:eastAsia="zh-CN"/>
        </w:rPr>
        <w:t>部门2024年度职责履行及履职效益</w:t>
      </w:r>
      <w:bookmarkEnd w:id="27"/>
    </w:p>
    <w:p w14:paraId="536103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1、坚持学在前头、勤学常思，在提升党办队伍整体素能上有新突破。</w:t>
      </w:r>
      <w:r>
        <w:rPr>
          <w:rFonts w:hint="eastAsia" w:ascii="仿宋" w:hAnsi="仿宋" w:eastAsia="仿宋" w:cs="仿宋"/>
          <w:b w:val="0"/>
          <w:bCs w:val="0"/>
          <w:color w:val="auto"/>
          <w:sz w:val="32"/>
          <w:szCs w:val="32"/>
          <w:lang w:val="en-US" w:eastAsia="zh-CN"/>
        </w:rPr>
        <w:t>区委办始终把讲政治作为第一要求，把政治学习作为首要任务，注重“学思践悟、常悟常进”，做到知之而后信之、信之而后行之、知信行统一，确保了“三服务”工作沿着正确方向推进。A</w:t>
      </w:r>
      <w:r>
        <w:rPr>
          <w:rFonts w:hint="eastAsia" w:ascii="仿宋" w:hAnsi="仿宋" w:eastAsia="仿宋" w:cs="仿宋"/>
          <w:b/>
          <w:bCs/>
          <w:color w:val="auto"/>
          <w:sz w:val="32"/>
          <w:szCs w:val="32"/>
          <w:lang w:val="en-US" w:eastAsia="zh-CN"/>
        </w:rPr>
        <w:t>抓实理论武装。</w:t>
      </w:r>
      <w:r>
        <w:rPr>
          <w:rFonts w:hint="eastAsia" w:ascii="仿宋" w:hAnsi="仿宋" w:eastAsia="仿宋" w:cs="仿宋"/>
          <w:b w:val="0"/>
          <w:bCs w:val="0"/>
          <w:color w:val="auto"/>
          <w:sz w:val="32"/>
          <w:szCs w:val="32"/>
          <w:lang w:val="en-US" w:eastAsia="zh-CN"/>
        </w:rPr>
        <w:t>坚持区委办室务会学习、党办系统全体干部职工集中学习、“三会一课”支部集中学习和学习强国平台等个人自学相结合，常态化组织干部职工深入学习党的二十大及二十届三中全会精神、习近平总书记系列重要讲话和指示批示精神以及上级最新会议、政策文件精神等，形成崇尚学习的浓厚氛围。</w:t>
      </w:r>
      <w:r>
        <w:rPr>
          <w:rFonts w:hint="eastAsia" w:ascii="仿宋" w:hAnsi="仿宋" w:eastAsia="仿宋" w:cs="仿宋"/>
          <w:b w:val="0"/>
          <w:bCs w:val="0"/>
          <w:color w:val="auto"/>
          <w:sz w:val="32"/>
          <w:szCs w:val="32"/>
          <w:u w:val="none"/>
          <w:lang w:val="en-US" w:eastAsia="zh-CN"/>
        </w:rPr>
        <w:t>全年组织办班子和干部职工集中学习17次，支部集中学习12次，交流研讨4次，集中</w:t>
      </w:r>
      <w:r>
        <w:rPr>
          <w:rFonts w:hint="eastAsia" w:ascii="仿宋" w:hAnsi="仿宋" w:eastAsia="仿宋" w:cs="仿宋"/>
          <w:b w:val="0"/>
          <w:bCs w:val="0"/>
          <w:color w:val="auto"/>
          <w:sz w:val="32"/>
          <w:szCs w:val="32"/>
          <w:lang w:val="en-US" w:eastAsia="zh-CN"/>
        </w:rPr>
        <w:t>观看《深入学习贯彻习近平总书记关于全面深化改革的一系列新思想、新观点、新论断和党的二十届三中全会精神》等3门视频课程，有效提升党办干部队伍政治素养和干事激情。B</w:t>
      </w:r>
      <w:r>
        <w:rPr>
          <w:rFonts w:hint="eastAsia" w:ascii="仿宋" w:hAnsi="仿宋" w:eastAsia="仿宋" w:cs="仿宋"/>
          <w:b/>
          <w:bCs/>
          <w:color w:val="auto"/>
          <w:sz w:val="32"/>
          <w:szCs w:val="32"/>
          <w:lang w:val="en-US" w:eastAsia="zh-CN"/>
        </w:rPr>
        <w:t>抓强党建引领。</w:t>
      </w:r>
      <w:r>
        <w:rPr>
          <w:rFonts w:hint="eastAsia" w:ascii="仿宋" w:hAnsi="仿宋" w:eastAsia="仿宋" w:cs="仿宋"/>
          <w:color w:val="auto"/>
          <w:sz w:val="32"/>
          <w:szCs w:val="32"/>
          <w:lang w:val="en-US" w:eastAsia="zh-CN"/>
        </w:rPr>
        <w:t>精心组织好党内政治</w:t>
      </w:r>
      <w:r>
        <w:rPr>
          <w:rFonts w:hint="eastAsia" w:ascii="仿宋" w:hAnsi="仿宋" w:eastAsia="仿宋" w:cs="仿宋"/>
          <w:color w:val="auto"/>
          <w:sz w:val="32"/>
          <w:szCs w:val="32"/>
          <w:u w:val="none"/>
          <w:lang w:val="en-US" w:eastAsia="zh-CN"/>
        </w:rPr>
        <w:t>生活，全年共组织开展主题党日活动12次，专题党课3次，微党课3次，党员大会7次，组织生活会1次。充分发挥党建引领作用，把模范机关建设与“一支部一特色”有机融合，把党建工作与群众工作密切衔接，引领党办干部大力</w:t>
      </w:r>
      <w:r>
        <w:rPr>
          <w:rFonts w:hint="eastAsia" w:ascii="仿宋" w:hAnsi="仿宋" w:eastAsia="仿宋" w:cs="仿宋"/>
          <w:color w:val="auto"/>
          <w:sz w:val="32"/>
          <w:szCs w:val="32"/>
          <w:lang w:val="en-US" w:eastAsia="zh-CN"/>
        </w:rPr>
        <w:t>发扬默默无闻的螺丝钉精神和甘当配角的绿叶精神，进一步做好“三服务”工作。如：健全完善党员先锋岗、责任区、志愿服务、承诺践诺等机制，结合“双报到”活动，有效开展共驻共建活动，着力解决山林村和苏眼井社区在急难险重任务中力量不足、物资紧缺等困难；在全市旅发大会筹备和开展期间，组建党员先锋队带头在攻坚克难、应急处理中冲在前、做表率。C</w:t>
      </w:r>
      <w:r>
        <w:rPr>
          <w:rFonts w:hint="eastAsia" w:ascii="仿宋" w:hAnsi="仿宋" w:eastAsia="仿宋" w:cs="仿宋"/>
          <w:b/>
          <w:bCs/>
          <w:color w:val="auto"/>
          <w:sz w:val="32"/>
          <w:szCs w:val="32"/>
          <w:lang w:val="en-US" w:eastAsia="zh-CN"/>
        </w:rPr>
        <w:t>抓好干部培养。</w:t>
      </w:r>
      <w:r>
        <w:rPr>
          <w:rFonts w:hint="eastAsia" w:ascii="仿宋" w:hAnsi="仿宋" w:eastAsia="仿宋" w:cs="仿宋"/>
          <w:b w:val="0"/>
          <w:bCs w:val="0"/>
          <w:color w:val="auto"/>
          <w:sz w:val="32"/>
          <w:szCs w:val="32"/>
          <w:lang w:val="en-US" w:eastAsia="zh-CN"/>
        </w:rPr>
        <w:t>始终把干部培养激励作为提高单位凝聚力和战斗力的重点，持续加大干部培养使用力度，为想干事、能干事、干成事的干部打造干事创业的舞台。按照规定程序积极向组织推荐政治过硬、工作踏实、实绩突出的干部</w:t>
      </w:r>
      <w:r>
        <w:rPr>
          <w:rFonts w:hint="eastAsia" w:ascii="仿宋" w:hAnsi="仿宋" w:eastAsia="仿宋" w:cs="仿宋"/>
          <w:b w:val="0"/>
          <w:bCs w:val="0"/>
          <w:color w:val="auto"/>
          <w:sz w:val="32"/>
          <w:szCs w:val="32"/>
          <w:u w:val="none"/>
          <w:lang w:val="en-US" w:eastAsia="zh-CN"/>
        </w:rPr>
        <w:t>，年内干部职级晋升1名、公开招考新增1名。充分发挥“传帮带”优良传统，积极开展办公室核心业务培训，提升干部业务能力。并组织开展工会“万步有约”分组竞赛活动，干部队伍的荣誉感、凝聚力和战斗力进一步增强</w:t>
      </w:r>
      <w:r>
        <w:rPr>
          <w:rFonts w:hint="eastAsia" w:ascii="仿宋" w:hAnsi="仿宋" w:eastAsia="仿宋" w:cs="仿宋"/>
          <w:b w:val="0"/>
          <w:bCs w:val="0"/>
          <w:color w:val="auto"/>
          <w:sz w:val="32"/>
          <w:szCs w:val="32"/>
          <w:lang w:val="en-US" w:eastAsia="zh-CN"/>
        </w:rPr>
        <w:t>。</w:t>
      </w:r>
    </w:p>
    <w:p w14:paraId="23EE37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u w:val="none"/>
          <w:lang w:eastAsia="zh-CN"/>
        </w:rPr>
      </w:pPr>
      <w:r>
        <w:rPr>
          <w:rFonts w:hint="eastAsia" w:ascii="仿宋" w:hAnsi="仿宋" w:eastAsia="仿宋" w:cs="仿宋"/>
          <w:b/>
          <w:bCs/>
          <w:color w:val="auto"/>
          <w:sz w:val="32"/>
          <w:szCs w:val="32"/>
          <w:lang w:val="en-US" w:eastAsia="zh-CN"/>
        </w:rPr>
        <w:t>2、坚持干在前列、乘势而上，在服务区委决策部署落实上有新作为。</w:t>
      </w:r>
      <w:r>
        <w:rPr>
          <w:rFonts w:hint="eastAsia" w:ascii="仿宋" w:hAnsi="仿宋" w:eastAsia="仿宋" w:cs="仿宋"/>
          <w:b w:val="0"/>
          <w:bCs w:val="0"/>
          <w:color w:val="auto"/>
          <w:sz w:val="32"/>
          <w:szCs w:val="32"/>
          <w:lang w:val="en-US" w:eastAsia="zh-CN"/>
        </w:rPr>
        <w:t>区委办全力当好区委参谋助手，充分发挥“联系上下、协调左右、沟通四方”统筹职能，协助区委领导推动各项中心工作落地见效、稳进提质。A</w:t>
      </w:r>
      <w:r>
        <w:rPr>
          <w:rFonts w:hint="eastAsia" w:ascii="仿宋" w:hAnsi="仿宋" w:eastAsia="仿宋" w:cs="仿宋"/>
          <w:b/>
          <w:bCs/>
          <w:color w:val="auto"/>
          <w:sz w:val="32"/>
          <w:szCs w:val="32"/>
          <w:lang w:val="en-US" w:eastAsia="zh-CN"/>
        </w:rPr>
        <w:t>胸怀全局“强参谋”，切实提升以文辅政水平。</w:t>
      </w:r>
      <w:r>
        <w:rPr>
          <w:rFonts w:hint="eastAsia" w:ascii="仿宋" w:hAnsi="仿宋" w:eastAsia="仿宋" w:cs="仿宋"/>
          <w:b/>
          <w:bCs/>
          <w:color w:val="auto"/>
          <w:sz w:val="32"/>
          <w:szCs w:val="32"/>
        </w:rPr>
        <w:t>一是</w:t>
      </w:r>
      <w:r>
        <w:rPr>
          <w:rFonts w:hint="eastAsia" w:ascii="仿宋" w:hAnsi="仿宋" w:eastAsia="仿宋" w:cs="仿宋"/>
          <w:b/>
          <w:bCs/>
          <w:color w:val="auto"/>
          <w:sz w:val="32"/>
          <w:szCs w:val="32"/>
          <w:lang w:val="en-US" w:eastAsia="zh-CN"/>
        </w:rPr>
        <w:t>综合</w:t>
      </w:r>
      <w:r>
        <w:rPr>
          <w:rFonts w:hint="eastAsia" w:ascii="仿宋" w:hAnsi="仿宋" w:eastAsia="仿宋" w:cs="仿宋"/>
          <w:b/>
          <w:bCs/>
          <w:color w:val="auto"/>
          <w:sz w:val="32"/>
          <w:szCs w:val="32"/>
        </w:rPr>
        <w:t>文稿精之又精。</w:t>
      </w:r>
      <w:r>
        <w:rPr>
          <w:rFonts w:hint="eastAsia" w:ascii="仿宋" w:hAnsi="仿宋" w:eastAsia="仿宋" w:cs="仿宋"/>
          <w:color w:val="auto"/>
          <w:sz w:val="32"/>
          <w:szCs w:val="32"/>
        </w:rPr>
        <w:t>突出“以文辅政”，按照“聚焦大局、环绕中心、注重创新、多出精品”的思路，不断提高文稿的领导满意度、基层认同感和对实践工作的科学指导性</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eastAsia="zh-CN"/>
        </w:rPr>
        <w:t>年内起草区委各类文稿</w:t>
      </w:r>
      <w:r>
        <w:rPr>
          <w:rFonts w:hint="eastAsia" w:ascii="仿宋" w:hAnsi="仿宋" w:eastAsia="仿宋" w:cs="仿宋"/>
          <w:color w:val="auto"/>
          <w:sz w:val="32"/>
          <w:szCs w:val="32"/>
          <w:u w:val="none"/>
          <w:lang w:val="en-US" w:eastAsia="zh-CN"/>
        </w:rPr>
        <w:t>160余篇。</w:t>
      </w:r>
      <w:r>
        <w:rPr>
          <w:rFonts w:hint="eastAsia" w:ascii="仿宋" w:hAnsi="仿宋" w:eastAsia="仿宋" w:cs="仿宋"/>
          <w:color w:val="auto"/>
          <w:sz w:val="32"/>
          <w:szCs w:val="32"/>
          <w:lang w:val="en-US" w:eastAsia="zh-CN"/>
        </w:rPr>
        <w:t>进一步强化党委信息主渠道作用，</w:t>
      </w:r>
      <w:r>
        <w:rPr>
          <w:rFonts w:hint="eastAsia" w:ascii="仿宋" w:hAnsi="仿宋" w:eastAsia="仿宋" w:cs="仿宋"/>
          <w:color w:val="auto"/>
          <w:sz w:val="32"/>
          <w:szCs w:val="32"/>
          <w:lang w:eastAsia="zh-CN"/>
        </w:rPr>
        <w:t>持续</w:t>
      </w:r>
      <w:r>
        <w:rPr>
          <w:rFonts w:hint="eastAsia" w:ascii="仿宋" w:hAnsi="仿宋" w:eastAsia="仿宋" w:cs="仿宋"/>
          <w:color w:val="auto"/>
          <w:sz w:val="32"/>
          <w:szCs w:val="32"/>
        </w:rPr>
        <w:t>推行信息工作三级体系，组织联动全区</w:t>
      </w:r>
      <w:r>
        <w:rPr>
          <w:rFonts w:hint="eastAsia" w:ascii="仿宋" w:hAnsi="仿宋" w:eastAsia="仿宋" w:cs="仿宋"/>
          <w:color w:val="auto"/>
          <w:sz w:val="32"/>
          <w:szCs w:val="32"/>
          <w:lang w:eastAsia="zh-CN"/>
        </w:rPr>
        <w:t>各</w:t>
      </w:r>
      <w:r>
        <w:rPr>
          <w:rFonts w:hint="eastAsia" w:ascii="仿宋" w:hAnsi="仿宋" w:eastAsia="仿宋" w:cs="仿宋"/>
          <w:color w:val="auto"/>
          <w:sz w:val="32"/>
          <w:szCs w:val="32"/>
        </w:rPr>
        <w:t>部门和单位开展信息报送，及时向省委、市委上报突发紧急信息，做到应报</w:t>
      </w:r>
      <w:r>
        <w:rPr>
          <w:rFonts w:hint="eastAsia" w:ascii="仿宋" w:hAnsi="仿宋" w:eastAsia="仿宋" w:cs="仿宋"/>
          <w:color w:val="auto"/>
          <w:sz w:val="32"/>
          <w:szCs w:val="32"/>
          <w:lang w:eastAsia="zh-CN"/>
        </w:rPr>
        <w:t>尽</w:t>
      </w:r>
      <w:r>
        <w:rPr>
          <w:rFonts w:hint="eastAsia" w:ascii="仿宋" w:hAnsi="仿宋" w:eastAsia="仿宋" w:cs="仿宋"/>
          <w:color w:val="auto"/>
          <w:sz w:val="32"/>
          <w:szCs w:val="32"/>
        </w:rPr>
        <w:t>报、不漏报瞒报。</w:t>
      </w:r>
      <w:r>
        <w:rPr>
          <w:rFonts w:hint="eastAsia" w:ascii="仿宋" w:hAnsi="仿宋" w:eastAsia="仿宋" w:cs="仿宋"/>
          <w:b/>
          <w:bCs/>
          <w:color w:val="auto"/>
          <w:sz w:val="32"/>
          <w:szCs w:val="32"/>
        </w:rPr>
        <w:t>二是调研服务细之又细。</w:t>
      </w:r>
      <w:r>
        <w:rPr>
          <w:rFonts w:hint="eastAsia" w:ascii="仿宋" w:hAnsi="仿宋" w:eastAsia="仿宋" w:cs="仿宋"/>
          <w:color w:val="auto"/>
          <w:sz w:val="32"/>
          <w:szCs w:val="32"/>
          <w:lang w:eastAsia="zh-CN"/>
        </w:rPr>
        <w:t>聚焦“制造立市、文旅兴城”、“放管服”、“两个健康”、基层减负赋能</w:t>
      </w:r>
      <w:r>
        <w:rPr>
          <w:rFonts w:hint="eastAsia" w:ascii="仿宋" w:hAnsi="仿宋" w:eastAsia="仿宋" w:cs="仿宋"/>
          <w:color w:val="auto"/>
          <w:sz w:val="32"/>
          <w:szCs w:val="32"/>
        </w:rPr>
        <w:t>等重点工作，紧紧围绕区委</w:t>
      </w:r>
      <w:r>
        <w:rPr>
          <w:rFonts w:hint="eastAsia" w:ascii="仿宋" w:hAnsi="仿宋" w:eastAsia="仿宋" w:cs="仿宋"/>
          <w:color w:val="auto"/>
          <w:sz w:val="32"/>
          <w:szCs w:val="32"/>
          <w:lang w:eastAsia="zh-CN"/>
        </w:rPr>
        <w:t>区政府</w:t>
      </w:r>
      <w:r>
        <w:rPr>
          <w:rFonts w:hint="eastAsia" w:ascii="仿宋" w:hAnsi="仿宋" w:eastAsia="仿宋" w:cs="仿宋"/>
          <w:color w:val="auto"/>
          <w:sz w:val="32"/>
          <w:szCs w:val="32"/>
          <w:u w:val="none"/>
        </w:rPr>
        <w:t>关注、社会关心、群众关切的课题开展一线调研</w:t>
      </w:r>
      <w:r>
        <w:rPr>
          <w:rFonts w:hint="eastAsia" w:ascii="仿宋" w:hAnsi="仿宋" w:eastAsia="仿宋" w:cs="仿宋"/>
          <w:color w:val="auto"/>
          <w:sz w:val="32"/>
          <w:szCs w:val="32"/>
          <w:u w:val="none"/>
          <w:lang w:val="en-US" w:eastAsia="zh-CN"/>
        </w:rPr>
        <w:t>60余次</w:t>
      </w:r>
      <w:r>
        <w:rPr>
          <w:rFonts w:hint="eastAsia" w:ascii="仿宋" w:hAnsi="仿宋" w:eastAsia="仿宋" w:cs="仿宋"/>
          <w:color w:val="auto"/>
          <w:sz w:val="32"/>
          <w:szCs w:val="32"/>
          <w:u w:val="none"/>
        </w:rPr>
        <w:t>，推动区委各项工作纲举目张、高效全面铺开，参有用之谋作用得到</w:t>
      </w:r>
      <w:r>
        <w:rPr>
          <w:rFonts w:hint="eastAsia" w:ascii="仿宋" w:hAnsi="仿宋" w:eastAsia="仿宋" w:cs="仿宋"/>
          <w:color w:val="auto"/>
          <w:sz w:val="32"/>
          <w:szCs w:val="32"/>
        </w:rPr>
        <w:t>有力发挥。</w:t>
      </w:r>
      <w:r>
        <w:rPr>
          <w:rFonts w:hint="eastAsia" w:ascii="仿宋" w:hAnsi="仿宋" w:eastAsia="仿宋" w:cs="仿宋"/>
          <w:b/>
          <w:bCs/>
          <w:color w:val="auto"/>
          <w:sz w:val="32"/>
          <w:szCs w:val="32"/>
        </w:rPr>
        <w:t>三是改革</w:t>
      </w:r>
      <w:r>
        <w:rPr>
          <w:rFonts w:hint="eastAsia" w:ascii="仿宋" w:hAnsi="仿宋" w:eastAsia="仿宋" w:cs="仿宋"/>
          <w:b/>
          <w:bCs/>
          <w:color w:val="auto"/>
          <w:sz w:val="32"/>
          <w:szCs w:val="32"/>
          <w:lang w:val="en-US" w:eastAsia="zh-CN"/>
        </w:rPr>
        <w:t>亮点多之又多</w:t>
      </w:r>
      <w:r>
        <w:rPr>
          <w:rFonts w:hint="eastAsia" w:ascii="仿宋" w:hAnsi="仿宋" w:eastAsia="仿宋" w:cs="仿宋"/>
          <w:b/>
          <w:bCs/>
          <w:color w:val="auto"/>
          <w:sz w:val="32"/>
          <w:szCs w:val="32"/>
        </w:rPr>
        <w:t>。</w:t>
      </w:r>
      <w:r>
        <w:rPr>
          <w:rFonts w:hint="eastAsia" w:ascii="仿宋" w:hAnsi="仿宋" w:eastAsia="仿宋" w:cs="仿宋"/>
          <w:color w:val="auto"/>
          <w:sz w:val="32"/>
          <w:szCs w:val="32"/>
          <w:u w:val="none"/>
          <w:lang w:val="en-US" w:eastAsia="zh-CN"/>
        </w:rPr>
        <w:t>10</w:t>
      </w:r>
      <w:r>
        <w:rPr>
          <w:rFonts w:hint="eastAsia" w:ascii="仿宋" w:hAnsi="仿宋" w:eastAsia="仿宋" w:cs="仿宋"/>
          <w:color w:val="auto"/>
          <w:sz w:val="32"/>
          <w:szCs w:val="32"/>
          <w:u w:val="none"/>
          <w:lang w:eastAsia="zh-CN"/>
        </w:rPr>
        <w:t>余项改革工作经验在省市推介，“高效办成一件事”被湖南日报头版推荐；“商圈法治驿站”创新经验被省政府《政务要情与交流》采纳；“法治护航，让烟火气更浓郁”被《衡阳日报》头版刊发；平安建设创新经验“‘三管齐下’铸平安</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none"/>
          <w:lang w:eastAsia="zh-CN"/>
        </w:rPr>
        <w:t>合力守护暖民心”被《衡阳通讯》推介；雁峰改革经验在全市政研和改革工作会议</w:t>
      </w:r>
      <w:r>
        <w:rPr>
          <w:rFonts w:hint="eastAsia" w:ascii="仿宋" w:hAnsi="仿宋" w:eastAsia="仿宋" w:cs="仿宋"/>
          <w:color w:val="auto"/>
          <w:sz w:val="32"/>
          <w:szCs w:val="32"/>
          <w:u w:val="none"/>
          <w:lang w:val="en-US" w:eastAsia="zh-CN"/>
        </w:rPr>
        <w:t>作</w:t>
      </w:r>
      <w:r>
        <w:rPr>
          <w:rFonts w:hint="eastAsia" w:ascii="仿宋" w:hAnsi="仿宋" w:eastAsia="仿宋" w:cs="仿宋"/>
          <w:color w:val="auto"/>
          <w:sz w:val="32"/>
          <w:szCs w:val="32"/>
          <w:u w:val="none"/>
          <w:lang w:eastAsia="zh-CN"/>
        </w:rPr>
        <w:t>典型发言（唯一）。“码上找代表”、“委员工作室+”</w:t>
      </w:r>
      <w:r>
        <w:rPr>
          <w:rFonts w:hint="eastAsia" w:ascii="仿宋" w:hAnsi="仿宋" w:eastAsia="仿宋" w:cs="仿宋"/>
          <w:color w:val="auto"/>
          <w:sz w:val="32"/>
          <w:szCs w:val="32"/>
          <w:u w:val="none"/>
          <w:lang w:val="en-US" w:eastAsia="zh-CN"/>
        </w:rPr>
        <w:t>等</w:t>
      </w:r>
      <w:r>
        <w:rPr>
          <w:rFonts w:hint="eastAsia" w:ascii="仿宋" w:hAnsi="仿宋" w:eastAsia="仿宋" w:cs="仿宋"/>
          <w:color w:val="auto"/>
          <w:sz w:val="32"/>
          <w:szCs w:val="32"/>
          <w:u w:val="none"/>
          <w:lang w:eastAsia="zh-CN"/>
        </w:rPr>
        <w:t>铸成新品牌。同时，统筹做好区委、区政府领导牵头的</w:t>
      </w:r>
      <w:r>
        <w:rPr>
          <w:rFonts w:hint="eastAsia" w:ascii="仿宋" w:hAnsi="仿宋" w:eastAsia="仿宋" w:cs="仿宋"/>
          <w:color w:val="auto"/>
          <w:sz w:val="32"/>
          <w:szCs w:val="32"/>
          <w:u w:val="none"/>
          <w:lang w:val="en-US" w:eastAsia="zh-CN"/>
        </w:rPr>
        <w:t>18项</w:t>
      </w:r>
      <w:r>
        <w:rPr>
          <w:rFonts w:hint="eastAsia" w:ascii="仿宋" w:hAnsi="仿宋" w:eastAsia="仿宋" w:cs="仿宋"/>
          <w:color w:val="auto"/>
          <w:sz w:val="32"/>
          <w:szCs w:val="32"/>
          <w:u w:val="none"/>
          <w:lang w:eastAsia="zh-CN"/>
        </w:rPr>
        <w:t>重点推进改革事项专题调研，力争让改革成色更足、改革味更浓。</w:t>
      </w:r>
    </w:p>
    <w:p w14:paraId="3AAE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color w:val="auto"/>
          <w:sz w:val="32"/>
          <w:szCs w:val="32"/>
          <w:u w:val="none"/>
          <w:lang w:val="en-US" w:eastAsia="zh-CN"/>
        </w:rPr>
      </w:pPr>
      <w:r>
        <w:rPr>
          <w:rFonts w:hint="eastAsia" w:ascii="仿宋" w:hAnsi="仿宋" w:eastAsia="仿宋" w:cs="仿宋"/>
          <w:b/>
          <w:bCs/>
          <w:color w:val="auto"/>
          <w:sz w:val="32"/>
          <w:szCs w:val="32"/>
          <w:lang w:val="en-US" w:eastAsia="zh-CN"/>
        </w:rPr>
        <w:t>B奋楫扬帆“强统筹”，切实增强政务服务质效。一是严谨细致加强综合协调。</w:t>
      </w:r>
      <w:r>
        <w:rPr>
          <w:rFonts w:hint="eastAsia" w:ascii="仿宋" w:hAnsi="仿宋" w:eastAsia="仿宋" w:cs="仿宋"/>
          <w:color w:val="auto"/>
          <w:sz w:val="32"/>
          <w:szCs w:val="32"/>
          <w:lang w:val="en-US" w:eastAsia="zh-CN"/>
        </w:rPr>
        <w:t>坚持区四大家办公室联席会议制度，构建“大党办”工作格局，提前统筹并服务好区委区政府主要领导每周工作活</w:t>
      </w:r>
      <w:r>
        <w:rPr>
          <w:rFonts w:hint="eastAsia" w:ascii="仿宋" w:hAnsi="仿宋" w:eastAsia="仿宋" w:cs="仿宋"/>
          <w:color w:val="auto"/>
          <w:sz w:val="32"/>
          <w:szCs w:val="32"/>
          <w:u w:val="none"/>
          <w:lang w:val="en-US" w:eastAsia="zh-CN"/>
        </w:rPr>
        <w:t>动预安排，全程参与、调度、把关重要会议、重大活动、重点工作，细致高效圆满完成沈晓明书记、毛伟明省长及中纪委、国家科技部、国家市场监管总局等相关重宾，省委、省政府相关领导调研、考察接待服务任务。</w:t>
      </w:r>
      <w:r>
        <w:rPr>
          <w:rFonts w:hint="eastAsia" w:ascii="仿宋" w:hAnsi="仿宋" w:eastAsia="仿宋" w:cs="仿宋"/>
          <w:b/>
          <w:bCs/>
          <w:color w:val="auto"/>
          <w:sz w:val="32"/>
          <w:szCs w:val="32"/>
          <w:lang w:val="en-US" w:eastAsia="zh-CN"/>
        </w:rPr>
        <w:t>二是精益求精抓好服务旅发大会。</w:t>
      </w:r>
      <w:r>
        <w:rPr>
          <w:rFonts w:hint="eastAsia" w:ascii="仿宋" w:hAnsi="仿宋" w:eastAsia="仿宋" w:cs="仿宋"/>
          <w:color w:val="auto"/>
          <w:sz w:val="32"/>
          <w:szCs w:val="32"/>
          <w:lang w:val="en-US" w:eastAsia="zh-CN"/>
        </w:rPr>
        <w:t>立足新定位、肩负新使命，将服务湖南省第三届旅发大会作为重要的政治使命来抓，认真组织好重点文旅项目观摩会、市区两级实战观摩、旅发大会筹备调度会，牵头制定好观摩活动工作方案，逐一细化梳理线路点位，动态梳理事关雁峰发展的重点事项，及时纳入督导重点范围，</w:t>
      </w:r>
      <w:r>
        <w:rPr>
          <w:rFonts w:hint="eastAsia" w:ascii="仿宋" w:hAnsi="仿宋" w:eastAsia="仿宋" w:cs="仿宋"/>
          <w:color w:val="auto"/>
          <w:sz w:val="32"/>
          <w:szCs w:val="32"/>
          <w:u w:val="none"/>
          <w:lang w:val="en-US" w:eastAsia="zh-CN"/>
        </w:rPr>
        <w:t>高质量完成了现场观摩、嘉宾接待、讲解服务、线路引导、车辆调度保障、市容环境、安保维稳等各项牵头协调工作，做到了事事有人管、环环相衔接，旅发大会期间顺利圆满完成全国各地、全省各地市州六批次800余人的旅发大会项目观摩，观摩活动获得了国省市领导的高度肯定和认可。同时旅发大会后，认真统筹、顺利完成岳阳市、永州市、吉首市等市区及兄弟县市区参观学习雁峰文旅项目的接待工作。</w:t>
      </w:r>
      <w:r>
        <w:rPr>
          <w:rFonts w:hint="eastAsia" w:ascii="仿宋" w:hAnsi="仿宋" w:eastAsia="仿宋" w:cs="仿宋"/>
          <w:b/>
          <w:bCs/>
          <w:color w:val="auto"/>
          <w:sz w:val="32"/>
          <w:szCs w:val="32"/>
          <w:lang w:val="en-US" w:eastAsia="zh-CN"/>
        </w:rPr>
        <w:t>三是高质有效抓实政务服务。</w:t>
      </w:r>
      <w:r>
        <w:rPr>
          <w:rFonts w:hint="eastAsia" w:ascii="仿宋" w:hAnsi="仿宋" w:eastAsia="仿宋" w:cs="仿宋"/>
          <w:color w:val="auto"/>
          <w:sz w:val="32"/>
          <w:szCs w:val="32"/>
          <w:u w:val="none"/>
          <w:lang w:val="en-US" w:eastAsia="zh-CN"/>
        </w:rPr>
        <w:t>2024年5月，组织开展全区办公室业务工作培训会，聚焦精文减会“负面清单”、紧急信息处理、公务接待、档案管理等办公室核心业务进行专题培训，进一步提升全区办公室“三服务”工作能力水平。</w:t>
      </w:r>
      <w:r>
        <w:rPr>
          <w:rFonts w:hint="eastAsia" w:ascii="仿宋" w:hAnsi="仿宋" w:eastAsia="仿宋" w:cs="仿宋"/>
          <w:color w:val="auto"/>
          <w:sz w:val="32"/>
          <w:szCs w:val="32"/>
          <w:lang w:val="en-US" w:eastAsia="zh-CN"/>
        </w:rPr>
        <w:t>健全完善保密</w:t>
      </w:r>
      <w:r>
        <w:rPr>
          <w:rFonts w:hint="eastAsia" w:ascii="仿宋" w:hAnsi="仿宋" w:eastAsia="仿宋" w:cs="仿宋"/>
          <w:color w:val="auto"/>
          <w:sz w:val="32"/>
          <w:szCs w:val="32"/>
          <w:u w:val="none"/>
          <w:lang w:val="en-US" w:eastAsia="zh-CN"/>
        </w:rPr>
        <w:t>工作机制，组织开展全区“4•15”国安宣传日活动，印制《保密工作一本通》，大力加强保密法宣传，积极推进信创产品全覆盖建设，常态化开展全区保密工作检查，</w:t>
      </w:r>
      <w:r>
        <w:rPr>
          <w:rFonts w:hint="eastAsia" w:ascii="仿宋" w:hAnsi="仿宋" w:eastAsia="仿宋" w:cs="仿宋"/>
          <w:b w:val="0"/>
          <w:bCs w:val="0"/>
          <w:color w:val="auto"/>
          <w:sz w:val="32"/>
          <w:szCs w:val="32"/>
          <w:u w:val="none"/>
          <w:lang w:val="en-US" w:eastAsia="zh-CN"/>
        </w:rPr>
        <w:t>机</w:t>
      </w:r>
      <w:r>
        <w:rPr>
          <w:rFonts w:hint="eastAsia" w:ascii="仿宋" w:hAnsi="仿宋" w:eastAsia="仿宋" w:cs="仿宋"/>
          <w:b w:val="0"/>
          <w:bCs w:val="0"/>
          <w:color w:val="auto"/>
          <w:sz w:val="32"/>
          <w:szCs w:val="32"/>
          <w:lang w:val="en-US" w:eastAsia="zh-CN"/>
        </w:rPr>
        <w:t>要保</w:t>
      </w:r>
      <w:r>
        <w:rPr>
          <w:rFonts w:hint="eastAsia" w:ascii="仿宋" w:hAnsi="仿宋" w:eastAsia="仿宋" w:cs="仿宋"/>
          <w:b w:val="0"/>
          <w:bCs w:val="0"/>
          <w:color w:val="auto"/>
          <w:sz w:val="32"/>
          <w:szCs w:val="32"/>
          <w:u w:val="none"/>
          <w:lang w:val="en-US" w:eastAsia="zh-CN"/>
        </w:rPr>
        <w:t>密工作</w:t>
      </w:r>
      <w:r>
        <w:rPr>
          <w:rFonts w:hint="eastAsia" w:ascii="仿宋" w:hAnsi="仿宋" w:eastAsia="仿宋" w:cs="仿宋"/>
          <w:color w:val="auto"/>
          <w:sz w:val="32"/>
          <w:szCs w:val="32"/>
          <w:u w:val="none"/>
          <w:lang w:val="en-US" w:eastAsia="zh-CN"/>
        </w:rPr>
        <w:t>实现零错误。年内处理上级文件456份、电报171份，公文</w:t>
      </w:r>
      <w:r>
        <w:rPr>
          <w:rFonts w:hint="eastAsia" w:ascii="仿宋" w:hAnsi="仿宋" w:eastAsia="仿宋" w:cs="仿宋"/>
          <w:color w:val="auto"/>
          <w:sz w:val="32"/>
          <w:szCs w:val="32"/>
          <w:lang w:val="en-US" w:eastAsia="zh-CN"/>
        </w:rPr>
        <w:t>处理严谨快捷，发文数量持续压减。有序推行机关档案分类方案、文件材料归档范围和档案保管期限表“三合一”制度，以“筑梦现代化 奋斗兰台人”为主题组织全区各部门各单位开展“6.9”国际档案日宣传活动。年内完成62个区直单位的国有档案资源普查，对55个区直单位开展档案监督检查自查自评；接收文书档案156卷、重点工程档案21卷，接待档案利用者达582人次、调阅档案资料1200余卷（册），切实抓好档案“收、管、用”工作。值班值守严谨有序，重大节日和活动期间实行24小时值班制度。常态化开展外</w:t>
      </w:r>
      <w:r>
        <w:rPr>
          <w:rFonts w:hint="eastAsia" w:ascii="仿宋" w:hAnsi="仿宋" w:eastAsia="仿宋" w:cs="仿宋"/>
          <w:b w:val="0"/>
          <w:bCs w:val="0"/>
          <w:color w:val="auto"/>
          <w:sz w:val="32"/>
          <w:szCs w:val="32"/>
          <w:u w:val="none"/>
          <w:lang w:val="en-US" w:eastAsia="zh-CN"/>
        </w:rPr>
        <w:t>事及港澳台事务工作</w:t>
      </w:r>
      <w:r>
        <w:rPr>
          <w:rFonts w:hint="eastAsia" w:ascii="仿宋" w:hAnsi="仿宋" w:eastAsia="仿宋" w:cs="仿宋"/>
          <w:color w:val="auto"/>
          <w:sz w:val="32"/>
          <w:szCs w:val="32"/>
          <w:u w:val="none"/>
          <w:lang w:val="en-US" w:eastAsia="zh-CN"/>
        </w:rPr>
        <w:t>，积极走访慰问部分台胞，年内协助办理2起涉外案件，</w:t>
      </w:r>
      <w:r>
        <w:rPr>
          <w:rFonts w:hint="eastAsia" w:ascii="仿宋" w:hAnsi="仿宋" w:eastAsia="仿宋" w:cs="仿宋"/>
          <w:color w:val="auto"/>
          <w:spacing w:val="-6"/>
          <w:sz w:val="32"/>
          <w:szCs w:val="32"/>
          <w:u w:val="none"/>
          <w:lang w:val="en-US" w:eastAsia="zh-CN"/>
        </w:rPr>
        <w:t>圆满完成市里交办的对台工作任务。</w:t>
      </w:r>
      <w:r>
        <w:rPr>
          <w:rFonts w:hint="eastAsia" w:ascii="仿宋" w:hAnsi="仿宋" w:eastAsia="仿宋" w:cs="仿宋"/>
          <w:b/>
          <w:bCs/>
          <w:color w:val="auto"/>
          <w:spacing w:val="-6"/>
          <w:sz w:val="32"/>
          <w:szCs w:val="32"/>
          <w:lang w:val="en-US" w:eastAsia="zh-CN"/>
        </w:rPr>
        <w:t>四是认真负责抓优机关党建。</w:t>
      </w:r>
      <w:r>
        <w:rPr>
          <w:rFonts w:hint="eastAsia" w:ascii="仿宋" w:hAnsi="仿宋" w:eastAsia="仿宋" w:cs="仿宋"/>
          <w:color w:val="auto"/>
          <w:sz w:val="32"/>
          <w:szCs w:val="32"/>
          <w:lang w:val="en-US" w:eastAsia="zh-CN"/>
        </w:rPr>
        <w:t>全力打造“三表率一模范”机关，深化“一支部一品牌”创建。争创五星级支部15个、四星级支部17个，打造“阳光司法”“清廉应急”等6个示范品牌。开展“书记领办项目”活动，实施“基层党建质效提升年”行动，深耕主责主业，强化党建引领推动区直机关基层党组织全面进步、全面过硬。落实党建带群建、群建促党建、党群共建促发展机制，把工会、妇女组织纳入党组织建设的内容，推进党建与群团工作互融互促。C</w:t>
      </w:r>
      <w:r>
        <w:rPr>
          <w:rFonts w:hint="eastAsia" w:ascii="仿宋" w:hAnsi="仿宋" w:eastAsia="仿宋" w:cs="仿宋"/>
          <w:b/>
          <w:bCs/>
          <w:color w:val="auto"/>
          <w:sz w:val="32"/>
          <w:szCs w:val="32"/>
          <w:lang w:val="en-US" w:eastAsia="zh-CN"/>
        </w:rPr>
        <w:t>实干笃行“强督查”，切实推动决策部署落实。</w:t>
      </w:r>
      <w:r>
        <w:rPr>
          <w:rFonts w:hint="eastAsia" w:ascii="仿宋" w:hAnsi="仿宋" w:eastAsia="仿宋" w:cs="仿宋"/>
          <w:b/>
          <w:bCs/>
          <w:color w:val="auto"/>
          <w:sz w:val="32"/>
          <w:szCs w:val="32"/>
          <w:u w:val="none"/>
          <w:lang w:val="en-US" w:eastAsia="zh-CN"/>
        </w:rPr>
        <w:t>一是突出一个“减”字，在提高基层效能上精准发力。</w:t>
      </w:r>
      <w:r>
        <w:rPr>
          <w:rFonts w:hint="eastAsia" w:ascii="仿宋" w:hAnsi="仿宋" w:eastAsia="仿宋" w:cs="仿宋"/>
          <w:color w:val="auto"/>
          <w:sz w:val="32"/>
          <w:szCs w:val="32"/>
          <w:u w:val="none"/>
          <w:lang w:val="en-US" w:eastAsia="zh-CN"/>
        </w:rPr>
        <w:t>重点抓好减文会数量、减基层挂牌、减评比表彰、减指尖负担，发文开会较去年同期分别下降57.8%、 52.9 %；全区村（社区）累计摸排清理各类牌子3000余块；叫停区直部门的违规评比表彰活动，清理撤销宣传选树项目9个，并取消新闻媒体评奖活动；清理解散各类工作群组440个，总体删减率超过60%。</w:t>
      </w:r>
      <w:r>
        <w:rPr>
          <w:rFonts w:hint="eastAsia" w:ascii="仿宋" w:hAnsi="仿宋" w:eastAsia="仿宋" w:cs="仿宋"/>
          <w:b/>
          <w:bCs/>
          <w:color w:val="auto"/>
          <w:sz w:val="32"/>
          <w:szCs w:val="32"/>
          <w:u w:val="none"/>
          <w:lang w:val="en-US" w:eastAsia="zh-CN"/>
        </w:rPr>
        <w:t>二是突出一个“合”字，在规范督查考核上精准发力。</w:t>
      </w:r>
      <w:r>
        <w:rPr>
          <w:rFonts w:hint="eastAsia" w:ascii="仿宋" w:hAnsi="仿宋" w:eastAsia="仿宋" w:cs="仿宋"/>
          <w:color w:val="auto"/>
          <w:sz w:val="32"/>
          <w:szCs w:val="32"/>
          <w:u w:val="none"/>
          <w:lang w:val="en-US" w:eastAsia="zh-CN"/>
        </w:rPr>
        <w:t>严格落实湖南省无扰督查的要求，开展前赋码、开展中亮码，多采用不要陪同、不听汇报的“四不两直”的暗访方式，年内综合性督查考核事项较去年删减合并55%。统筹调度每月对镇街督查事项不超过2次，避免扎堆督查。推行“并组考核”，坚持综合统筹、只考一次的原则，加强对年终各类检查考核的统筹协调和管理，所有考核事项全部合并，考核指标从633项精简为136项，精简78.52%，切实减轻基层迎考迎检压力。全年办理省、市主要领导交办函、市委督查室交办函及各类文件110份，按时办结回复率100%。下发交办函16份、督查通报3期，打通落实各项决策部署的“最后一公里”。</w:t>
      </w:r>
      <w:r>
        <w:rPr>
          <w:rFonts w:hint="eastAsia" w:ascii="仿宋" w:hAnsi="仿宋" w:eastAsia="仿宋" w:cs="仿宋"/>
          <w:b/>
          <w:bCs/>
          <w:color w:val="auto"/>
          <w:sz w:val="32"/>
          <w:szCs w:val="32"/>
          <w:u w:val="none"/>
          <w:lang w:val="en-US" w:eastAsia="zh-CN"/>
        </w:rPr>
        <w:t>三是突出一个“建”字，在建立长效机制上精准发力。</w:t>
      </w:r>
      <w:r>
        <w:rPr>
          <w:rFonts w:hint="eastAsia" w:ascii="仿宋" w:hAnsi="仿宋" w:eastAsia="仿宋" w:cs="仿宋"/>
          <w:color w:val="auto"/>
          <w:sz w:val="32"/>
          <w:szCs w:val="32"/>
          <w:u w:val="none"/>
          <w:lang w:val="en-US" w:eastAsia="zh-CN"/>
        </w:rPr>
        <w:t>建立基层权责清单，全面落实省、市 、区层面取消村级组织不应承担或没有能力承担的工作事项73项，取消村干部“坐班制”，除必要值班人员，不要求村干部集中办公，让村干部有更多时间和精力服务群众。建立问责机制，牵头区级层面专项工作机制定期向区纪委监委移送整治形式主义问题线索，区纪委对其中1条立案政务处分1人。</w:t>
      </w:r>
    </w:p>
    <w:p w14:paraId="3103A6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Style w:val="17"/>
          <w:rFonts w:hint="eastAsia" w:ascii="仿宋" w:hAnsi="仿宋" w:eastAsia="仿宋" w:cs="仿宋"/>
          <w:b w:val="0"/>
          <w:bCs/>
          <w:i w:val="0"/>
          <w:iCs w:val="0"/>
          <w:caps w:val="0"/>
          <w:color w:val="auto"/>
          <w:spacing w:val="0"/>
          <w:sz w:val="32"/>
          <w:szCs w:val="32"/>
          <w:shd w:val="clear" w:color="auto" w:fill="FFFFFF"/>
          <w:lang w:val="en-US" w:eastAsia="zh-CN"/>
        </w:rPr>
      </w:pPr>
      <w:r>
        <w:rPr>
          <w:rFonts w:hint="eastAsia" w:ascii="仿宋" w:hAnsi="仿宋" w:eastAsia="仿宋" w:cs="仿宋"/>
          <w:b/>
          <w:bCs/>
          <w:color w:val="auto"/>
          <w:sz w:val="32"/>
          <w:szCs w:val="32"/>
          <w:lang w:val="en-US" w:eastAsia="zh-CN"/>
        </w:rPr>
        <w:t>3、坚持笃行务实、日新求进，在全面落实党风廉政建设上有新成效。A主体责任严格压实。</w:t>
      </w:r>
      <w:r>
        <w:rPr>
          <w:rFonts w:hint="eastAsia" w:ascii="仿宋" w:hAnsi="仿宋" w:eastAsia="仿宋" w:cs="仿宋"/>
          <w:color w:val="auto"/>
          <w:sz w:val="32"/>
          <w:szCs w:val="32"/>
          <w:lang w:val="en-US" w:eastAsia="zh-CN"/>
        </w:rPr>
        <w:t>区委办严格落实“一岗双责”制度，抓牢主体责任“牛鼻子”，将全面从严治党、党风廉政建设、清廉单位建设等工作与业务工作同</w:t>
      </w:r>
      <w:r>
        <w:rPr>
          <w:rFonts w:hint="eastAsia" w:ascii="仿宋" w:hAnsi="仿宋" w:eastAsia="仿宋" w:cs="仿宋"/>
          <w:color w:val="auto"/>
          <w:sz w:val="32"/>
          <w:szCs w:val="32"/>
          <w:u w:val="none"/>
          <w:lang w:val="en-US" w:eastAsia="zh-CN"/>
        </w:rPr>
        <w:t>部署、同落实，形成管党治党压力层层传导、层层落实的良好局面。加强廉政教育，年内组织全体干部学习中央、省、市、区纪委全会精神及纪律通报相关文件等5次，开展党纪学习教育专题学习4次，集中观看警示教育片1次，推动党办干部廉政意识、纪律意识入脑入心，进一步筑牢了思想防线。办班子成员对全体党员干部思想、作风、纪律等方面的苗头性、倾向性问题，年内开展例行廉政谈话和提醒谈话共</w:t>
      </w:r>
      <w:r>
        <w:rPr>
          <w:rFonts w:hint="eastAsia" w:ascii="仿宋" w:hAnsi="仿宋" w:eastAsia="仿宋" w:cs="仿宋"/>
          <w:color w:val="auto"/>
          <w:spacing w:val="-6"/>
          <w:sz w:val="32"/>
          <w:szCs w:val="32"/>
          <w:u w:val="none"/>
          <w:lang w:val="en-US" w:eastAsia="zh-CN"/>
        </w:rPr>
        <w:t>计13人次，做到早提醒、早预防，有效杜绝了违纪问题</w:t>
      </w:r>
      <w:r>
        <w:rPr>
          <w:rFonts w:hint="eastAsia" w:ascii="仿宋" w:hAnsi="仿宋" w:eastAsia="仿宋" w:cs="仿宋"/>
          <w:color w:val="auto"/>
          <w:spacing w:val="-6"/>
          <w:sz w:val="32"/>
          <w:szCs w:val="32"/>
          <w:lang w:val="en-US" w:eastAsia="zh-CN"/>
        </w:rPr>
        <w:t>发生。B</w:t>
      </w:r>
      <w:r>
        <w:rPr>
          <w:rFonts w:hint="eastAsia" w:ascii="仿宋" w:hAnsi="仿宋" w:eastAsia="仿宋" w:cs="仿宋"/>
          <w:b/>
          <w:bCs/>
          <w:color w:val="auto"/>
          <w:sz w:val="32"/>
          <w:szCs w:val="32"/>
          <w:lang w:val="en-US" w:eastAsia="zh-CN"/>
        </w:rPr>
        <w:t>巡察整改有序有力。</w:t>
      </w:r>
      <w:r>
        <w:rPr>
          <w:rFonts w:hint="eastAsia" w:ascii="仿宋" w:hAnsi="仿宋" w:eastAsia="仿宋" w:cs="仿宋"/>
          <w:color w:val="auto"/>
          <w:sz w:val="32"/>
          <w:szCs w:val="32"/>
          <w:lang w:val="en-US" w:eastAsia="zh-CN"/>
        </w:rPr>
        <w:t>2024年8月27日至11月8日，区委第二巡查组对区委办开展了为期两个半月的巡察，并于12月6日反馈了八个方面的问题。针对区委巡察发现的问题，办班子高度重视，召开专题会议研究整改落实工作，制定整改落实工作方案，将反馈意见指出的八个方面的问题细化分解为21个具体整改任务，明确牵头领导、责任股室、整改措施和完成时限，坚持边整边改、立行立改，实现整改任务全面有序落实中。同时，办班子及时总结整改经验，大力推动整改落实机制化、制度化，及时健全完善财务管理制度、考勤与请休假制度、工会工作制度等28项规章制度，有效推动巡视整改见底到位、成果运用落地见效。C</w:t>
      </w:r>
      <w:r>
        <w:rPr>
          <w:rFonts w:hint="eastAsia" w:ascii="仿宋" w:hAnsi="仿宋" w:eastAsia="仿宋" w:cs="仿宋"/>
          <w:b/>
          <w:bCs/>
          <w:color w:val="auto"/>
          <w:sz w:val="32"/>
          <w:szCs w:val="32"/>
          <w:lang w:val="en-US" w:eastAsia="zh-CN"/>
        </w:rPr>
        <w:t>工作作风持续优化。</w:t>
      </w:r>
      <w:r>
        <w:rPr>
          <w:rFonts w:hint="eastAsia" w:ascii="仿宋" w:hAnsi="仿宋" w:eastAsia="仿宋" w:cs="仿宋"/>
          <w:color w:val="auto"/>
          <w:sz w:val="32"/>
          <w:szCs w:val="32"/>
          <w:lang w:val="en-US" w:eastAsia="zh-CN"/>
        </w:rPr>
        <w:t>区委办坚持严管不松劲，持之以恒优化作风，在工作任务十分繁重情况下，办班子成员以身作则、率先垂范，积极发扬“爱岗敬业、乐于奉献、争先创优”的精神，带领党办干部始终把落实好区委的各项决策部署作为工作的首要职责，按照人岗匹配、人尽其才的原则，根据班子成员变动及工作需要，及时调整细化干部职工职责分工，教育引导党办干部恪守清廉、永葆清正，促使工作作风进一步优化、工作效能进一步提升。</w:t>
      </w:r>
      <w:r>
        <w:rPr>
          <w:rFonts w:hint="eastAsia" w:ascii="仿宋" w:hAnsi="仿宋" w:eastAsia="仿宋" w:cs="仿宋"/>
          <w:i w:val="0"/>
          <w:iCs w:val="0"/>
          <w:caps w:val="0"/>
          <w:color w:val="auto"/>
          <w:spacing w:val="0"/>
          <w:sz w:val="32"/>
          <w:szCs w:val="32"/>
          <w:shd w:val="clear" w:color="auto" w:fill="FFFFFF"/>
        </w:rPr>
        <w:t>区委改革办获评中国改革2024年度地方改革宣传工作先进单位</w:t>
      </w:r>
      <w:r>
        <w:rPr>
          <w:rFonts w:hint="eastAsia" w:ascii="仿宋" w:hAnsi="仿宋" w:eastAsia="仿宋" w:cs="仿宋"/>
          <w:i w:val="0"/>
          <w:iCs w:val="0"/>
          <w:caps w:val="0"/>
          <w:color w:val="auto"/>
          <w:spacing w:val="0"/>
          <w:sz w:val="32"/>
          <w:szCs w:val="32"/>
          <w:shd w:val="clear" w:color="auto" w:fill="FFFFFF"/>
          <w:lang w:eastAsia="zh-CN"/>
        </w:rPr>
        <w:t>；组织送选卡通形象《雁卫士》获评衡阳市“新时代总体国家安全”卡通形象设计征集大赛优秀奖；</w:t>
      </w:r>
      <w:r>
        <w:rPr>
          <w:rFonts w:hint="eastAsia" w:ascii="仿宋" w:hAnsi="仿宋" w:eastAsia="仿宋" w:cs="仿宋"/>
          <w:i w:val="0"/>
          <w:iCs w:val="0"/>
          <w:caps w:val="0"/>
          <w:color w:val="auto"/>
          <w:spacing w:val="0"/>
          <w:sz w:val="32"/>
          <w:szCs w:val="32"/>
          <w:shd w:val="clear" w:color="auto" w:fill="FFFFFF"/>
        </w:rPr>
        <w:t>联点的山林村入选“2024年湖南省乡村旅游‘四个一百’工程建设名录”，苏眼井社区获评湖南省基础型“一刻钟便民生活圈”。</w:t>
      </w:r>
    </w:p>
    <w:p w14:paraId="13AF0C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i w:val="0"/>
          <w:iCs w:val="0"/>
          <w:caps w:val="0"/>
          <w:color w:val="auto"/>
          <w:spacing w:val="0"/>
          <w:sz w:val="32"/>
          <w:szCs w:val="32"/>
          <w:shd w:val="clear" w:color="auto" w:fill="FFFFFF"/>
          <w:lang w:val="en-US" w:eastAsia="zh-CN"/>
        </w:rPr>
      </w:pPr>
      <w:r>
        <w:rPr>
          <w:rFonts w:hint="eastAsia" w:ascii="仿宋" w:hAnsi="仿宋" w:eastAsia="仿宋" w:cs="仿宋"/>
          <w:b/>
          <w:bCs/>
          <w:i w:val="0"/>
          <w:iCs w:val="0"/>
          <w:caps w:val="0"/>
          <w:color w:val="auto"/>
          <w:spacing w:val="0"/>
          <w:sz w:val="32"/>
          <w:szCs w:val="32"/>
          <w:shd w:val="clear" w:color="auto" w:fill="FFFFFF"/>
          <w:lang w:val="en-US" w:eastAsia="zh-CN"/>
        </w:rPr>
        <w:t>取得的履职效益：在政治引领上展现新高度。</w:t>
      </w:r>
      <w:r>
        <w:rPr>
          <w:rFonts w:hint="eastAsia" w:ascii="仿宋" w:hAnsi="仿宋" w:eastAsia="仿宋" w:cs="仿宋"/>
          <w:i w:val="0"/>
          <w:iCs w:val="0"/>
          <w:caps w:val="0"/>
          <w:color w:val="auto"/>
          <w:spacing w:val="0"/>
          <w:sz w:val="32"/>
          <w:szCs w:val="32"/>
          <w:shd w:val="clear" w:color="auto" w:fill="FFFFFF"/>
          <w:lang w:val="en-US" w:eastAsia="zh-CN"/>
        </w:rPr>
        <w:t>理论武装持续深化，党建融合推动服务效能整体提升，干部队伍素能全面增强。</w:t>
      </w:r>
      <w:r>
        <w:rPr>
          <w:rFonts w:hint="eastAsia" w:ascii="仿宋" w:hAnsi="仿宋" w:eastAsia="仿宋" w:cs="仿宋"/>
          <w:b/>
          <w:bCs/>
          <w:i w:val="0"/>
          <w:iCs w:val="0"/>
          <w:caps w:val="0"/>
          <w:color w:val="auto"/>
          <w:spacing w:val="0"/>
          <w:sz w:val="32"/>
          <w:szCs w:val="32"/>
          <w:shd w:val="clear" w:color="auto" w:fill="FFFFFF"/>
          <w:lang w:val="en-US" w:eastAsia="zh-CN"/>
        </w:rPr>
        <w:t>在参谋辅政上实现新作为。</w:t>
      </w:r>
      <w:r>
        <w:rPr>
          <w:rFonts w:hint="eastAsia" w:ascii="仿宋" w:hAnsi="仿宋" w:eastAsia="仿宋" w:cs="仿宋"/>
          <w:i w:val="0"/>
          <w:iCs w:val="0"/>
          <w:caps w:val="0"/>
          <w:color w:val="auto"/>
          <w:spacing w:val="0"/>
          <w:sz w:val="32"/>
          <w:szCs w:val="32"/>
          <w:shd w:val="clear" w:color="auto" w:fill="FFFFFF"/>
          <w:lang w:val="en-US" w:eastAsia="zh-CN"/>
        </w:rPr>
        <w:t>文稿服务精准有力，调研改革亮点纷呈，统筹协调高效有序，政务服务严谨规范。</w:t>
      </w:r>
      <w:r>
        <w:rPr>
          <w:rFonts w:hint="eastAsia" w:ascii="仿宋" w:hAnsi="仿宋" w:eastAsia="仿宋" w:cs="仿宋"/>
          <w:b/>
          <w:bCs/>
          <w:i w:val="0"/>
          <w:iCs w:val="0"/>
          <w:caps w:val="0"/>
          <w:color w:val="auto"/>
          <w:spacing w:val="0"/>
          <w:sz w:val="32"/>
          <w:szCs w:val="32"/>
          <w:shd w:val="clear" w:color="auto" w:fill="FFFFFF"/>
          <w:lang w:val="en-US" w:eastAsia="zh-CN"/>
        </w:rPr>
        <w:t>在督查落实上取得新成效。</w:t>
      </w:r>
      <w:r>
        <w:rPr>
          <w:rFonts w:hint="eastAsia" w:ascii="仿宋" w:hAnsi="仿宋" w:eastAsia="仿宋" w:cs="仿宋"/>
          <w:i w:val="0"/>
          <w:iCs w:val="0"/>
          <w:caps w:val="0"/>
          <w:color w:val="auto"/>
          <w:spacing w:val="0"/>
          <w:sz w:val="32"/>
          <w:szCs w:val="32"/>
          <w:shd w:val="clear" w:color="auto" w:fill="FFFFFF"/>
          <w:lang w:val="en-US" w:eastAsia="zh-CN"/>
        </w:rPr>
        <w:t>基层减负成效显著，督查考核规范整合，长效机制健全完善，决策落地贯通到底。</w:t>
      </w:r>
      <w:r>
        <w:rPr>
          <w:rFonts w:hint="eastAsia" w:ascii="仿宋" w:hAnsi="仿宋" w:eastAsia="仿宋" w:cs="仿宋"/>
          <w:b/>
          <w:bCs/>
          <w:i w:val="0"/>
          <w:iCs w:val="0"/>
          <w:caps w:val="0"/>
          <w:color w:val="auto"/>
          <w:spacing w:val="0"/>
          <w:sz w:val="32"/>
          <w:szCs w:val="32"/>
          <w:shd w:val="clear" w:color="auto" w:fill="FFFFFF"/>
          <w:lang w:val="en-US" w:eastAsia="zh-CN"/>
        </w:rPr>
        <w:t>在廉政建设上彰显新担当。</w:t>
      </w:r>
      <w:r>
        <w:rPr>
          <w:rFonts w:hint="eastAsia" w:ascii="仿宋" w:hAnsi="仿宋" w:eastAsia="仿宋" w:cs="仿宋"/>
          <w:i w:val="0"/>
          <w:iCs w:val="0"/>
          <w:caps w:val="0"/>
          <w:color w:val="auto"/>
          <w:spacing w:val="0"/>
          <w:sz w:val="32"/>
          <w:szCs w:val="32"/>
          <w:shd w:val="clear" w:color="auto" w:fill="FFFFFF"/>
          <w:lang w:val="en-US" w:eastAsia="zh-CN"/>
        </w:rPr>
        <w:t>主体责任压紧压实，巡察整改有力有序，作风优化持续深入，清廉根基不断筑牢。</w:t>
      </w:r>
      <w:r>
        <w:rPr>
          <w:rFonts w:hint="eastAsia" w:ascii="仿宋" w:hAnsi="仿宋" w:eastAsia="仿宋" w:cs="仿宋"/>
          <w:b/>
          <w:bCs/>
          <w:i w:val="0"/>
          <w:iCs w:val="0"/>
          <w:caps w:val="0"/>
          <w:color w:val="auto"/>
          <w:spacing w:val="0"/>
          <w:sz w:val="32"/>
          <w:szCs w:val="32"/>
          <w:shd w:val="clear" w:color="auto" w:fill="FFFFFF"/>
          <w:lang w:val="en-US" w:eastAsia="zh-CN"/>
        </w:rPr>
        <w:t>在改革创新上打造新品牌。</w:t>
      </w:r>
      <w:r>
        <w:rPr>
          <w:rFonts w:hint="eastAsia" w:ascii="仿宋" w:hAnsi="仿宋" w:eastAsia="仿宋" w:cs="仿宋"/>
          <w:i w:val="0"/>
          <w:iCs w:val="0"/>
          <w:caps w:val="0"/>
          <w:color w:val="auto"/>
          <w:spacing w:val="0"/>
          <w:sz w:val="32"/>
          <w:szCs w:val="32"/>
          <w:shd w:val="clear" w:color="auto" w:fill="FFFFFF"/>
          <w:lang w:val="en-US" w:eastAsia="zh-CN"/>
        </w:rPr>
        <w:t>多项经验获省市级推广，改革案例形成雁峰特色，文旅服务赢得广泛认可，整体工作实现跨越提升。</w:t>
      </w:r>
    </w:p>
    <w:p w14:paraId="05CEE2B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lang w:eastAsia="zh-CN"/>
        </w:rPr>
      </w:pPr>
      <w:bookmarkStart w:id="28" w:name="_Toc27236"/>
      <w:r>
        <w:rPr>
          <w:rFonts w:hint="eastAsia" w:ascii="黑体" w:hAnsi="黑体" w:eastAsia="黑体" w:cs="黑体"/>
          <w:sz w:val="32"/>
          <w:szCs w:val="32"/>
          <w:lang w:eastAsia="zh-CN"/>
        </w:rPr>
        <w:t>部门</w:t>
      </w:r>
      <w:r>
        <w:rPr>
          <w:rFonts w:hint="eastAsia" w:ascii="黑体" w:hAnsi="黑体" w:eastAsia="黑体" w:cs="黑体"/>
          <w:sz w:val="32"/>
          <w:szCs w:val="32"/>
          <w:lang w:val="en-US" w:eastAsia="zh-CN"/>
        </w:rPr>
        <w:t>预算及</w:t>
      </w:r>
      <w:r>
        <w:rPr>
          <w:rFonts w:hint="eastAsia" w:ascii="黑体" w:hAnsi="黑体" w:eastAsia="黑体" w:cs="黑体"/>
          <w:sz w:val="32"/>
          <w:szCs w:val="32"/>
          <w:lang w:eastAsia="zh-CN"/>
        </w:rPr>
        <w:t>整体支出概况</w:t>
      </w:r>
      <w:bookmarkEnd w:id="28"/>
    </w:p>
    <w:p w14:paraId="5E9392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分析逻辑流程：年初预算数→全年预算数（调整后预算数）→账套数→重分类数，重分类后与决算数进行对比分析。</w:t>
      </w:r>
    </w:p>
    <w:p w14:paraId="10336602">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29" w:name="_Toc8394"/>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配置</w:t>
      </w:r>
      <w:r>
        <w:rPr>
          <w:rFonts w:hint="eastAsia" w:ascii="楷体" w:hAnsi="楷体" w:eastAsia="楷体" w:cs="楷体"/>
          <w:b/>
          <w:bCs/>
          <w:sz w:val="32"/>
          <w:szCs w:val="32"/>
          <w:lang w:eastAsia="zh-CN"/>
        </w:rPr>
        <w:t>情况</w:t>
      </w:r>
      <w:r>
        <w:rPr>
          <w:rFonts w:hint="eastAsia" w:ascii="楷体" w:hAnsi="楷体" w:eastAsia="楷体" w:cs="楷体"/>
          <w:b/>
          <w:bCs/>
          <w:sz w:val="32"/>
          <w:szCs w:val="32"/>
          <w:lang w:val="en-US" w:eastAsia="zh-CN"/>
        </w:rPr>
        <w:t>及分析</w:t>
      </w:r>
      <w:bookmarkEnd w:id="29"/>
    </w:p>
    <w:p w14:paraId="06B55F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楷体" w:hAnsi="楷体" w:eastAsia="楷体" w:cs="楷体"/>
          <w:b/>
          <w:bCs/>
          <w:sz w:val="32"/>
          <w:szCs w:val="32"/>
          <w:lang w:val="en-US" w:eastAsia="zh-CN"/>
        </w:rPr>
      </w:pPr>
      <w:r>
        <w:rPr>
          <w:rFonts w:hint="eastAsia" w:ascii="仿宋" w:hAnsi="仿宋" w:eastAsia="仿宋" w:cs="仿宋"/>
          <w:b/>
          <w:bCs/>
          <w:sz w:val="32"/>
          <w:szCs w:val="32"/>
          <w:lang w:val="en-US" w:eastAsia="zh-CN"/>
        </w:rPr>
        <w:t>1.预算配置情况</w:t>
      </w:r>
    </w:p>
    <w:p w14:paraId="725D31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楷体" w:hAnsi="楷体" w:eastAsia="楷体" w:cs="楷体"/>
          <w:b w:val="0"/>
          <w:bCs w:val="0"/>
          <w:sz w:val="32"/>
          <w:szCs w:val="32"/>
          <w:lang w:eastAsia="zh-CN"/>
        </w:rPr>
      </w:pPr>
      <w:r>
        <w:rPr>
          <w:rFonts w:hint="eastAsia" w:ascii="仿宋" w:hAnsi="仿宋" w:eastAsia="仿宋" w:cs="仿宋"/>
          <w:b w:val="0"/>
          <w:bCs w:val="0"/>
          <w:sz w:val="32"/>
          <w:szCs w:val="32"/>
          <w:lang w:eastAsia="zh-CN"/>
        </w:rPr>
        <w:t>年初预算额</w:t>
      </w:r>
      <w:r>
        <w:rPr>
          <w:rFonts w:hint="eastAsia" w:ascii="仿宋" w:hAnsi="仿宋" w:eastAsia="仿宋" w:cs="仿宋"/>
          <w:b w:val="0"/>
          <w:bCs w:val="0"/>
          <w:sz w:val="32"/>
          <w:szCs w:val="32"/>
          <w:highlight w:val="none"/>
          <w:lang w:eastAsia="zh-CN"/>
        </w:rPr>
        <w:t>度7,593,627.92元，</w:t>
      </w:r>
      <w:r>
        <w:rPr>
          <w:rFonts w:hint="eastAsia" w:ascii="仿宋" w:hAnsi="仿宋" w:eastAsia="仿宋" w:cs="仿宋"/>
          <w:b w:val="0"/>
          <w:bCs w:val="0"/>
          <w:sz w:val="32"/>
          <w:szCs w:val="32"/>
          <w:highlight w:val="none"/>
          <w:lang w:val="en-US" w:eastAsia="zh-CN"/>
        </w:rPr>
        <w:t>预算调整后额度 7,000,058.61元</w:t>
      </w:r>
      <w:r>
        <w:rPr>
          <w:rFonts w:hint="eastAsia" w:ascii="仿宋" w:hAnsi="仿宋" w:eastAsia="仿宋" w:cs="仿宋"/>
          <w:b w:val="0"/>
          <w:bCs w:val="0"/>
          <w:sz w:val="32"/>
          <w:szCs w:val="32"/>
          <w:highlight w:val="none"/>
          <w:lang w:eastAsia="zh-CN"/>
        </w:rPr>
        <w:t>。</w:t>
      </w:r>
    </w:p>
    <w:p w14:paraId="7B87E63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2.预算配置</w:t>
      </w:r>
      <w:r>
        <w:rPr>
          <w:rFonts w:hint="eastAsia" w:ascii="仿宋" w:hAnsi="仿宋" w:eastAsia="仿宋" w:cs="仿宋"/>
          <w:b/>
          <w:bCs/>
          <w:sz w:val="32"/>
          <w:szCs w:val="32"/>
          <w:lang w:eastAsia="zh-CN"/>
        </w:rPr>
        <w:t>分析</w:t>
      </w:r>
      <w:r>
        <w:rPr>
          <w:rFonts w:hint="eastAsia" w:ascii="仿宋" w:hAnsi="仿宋" w:eastAsia="仿宋" w:cs="仿宋"/>
          <w:b/>
          <w:bCs/>
          <w:sz w:val="32"/>
          <w:szCs w:val="32"/>
          <w:lang w:val="en-US" w:eastAsia="zh-CN"/>
        </w:rPr>
        <w:t>及调整，</w:t>
      </w:r>
      <w:r>
        <w:rPr>
          <w:rFonts w:hint="eastAsia" w:ascii="仿宋" w:hAnsi="仿宋" w:eastAsia="仿宋" w:cs="仿宋"/>
          <w:b/>
          <w:bCs/>
          <w:sz w:val="32"/>
          <w:szCs w:val="32"/>
          <w:highlight w:val="none"/>
          <w:lang w:val="en-US" w:eastAsia="zh-CN"/>
        </w:rPr>
        <w:t>未提供预算调整的批复。</w:t>
      </w:r>
    </w:p>
    <w:p w14:paraId="0277EEE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配置对比表如下：</w:t>
      </w:r>
    </w:p>
    <w:p w14:paraId="5B1306EB">
      <w:pPr>
        <w:pStyle w:val="4"/>
        <w:numPr>
          <w:ilvl w:val="0"/>
          <w:numId w:val="0"/>
        </w:numPr>
        <w:jc w:val="center"/>
      </w:pPr>
      <w:r>
        <w:drawing>
          <wp:inline distT="0" distB="0" distL="114300" distR="114300">
            <wp:extent cx="4210050" cy="1181100"/>
            <wp:effectExtent l="9525" t="9525" r="9525" b="9525"/>
            <wp:docPr id="23" name="图片 14"/>
            <wp:cNvGraphicFramePr/>
            <a:graphic xmlns:a="http://schemas.openxmlformats.org/drawingml/2006/main">
              <a:graphicData uri="http://schemas.openxmlformats.org/drawingml/2006/picture">
                <pic:pic xmlns:pic="http://schemas.openxmlformats.org/drawingml/2006/picture">
                  <pic:nvPicPr>
                    <pic:cNvPr id="23" name="图片 14"/>
                    <pic:cNvPicPr/>
                  </pic:nvPicPr>
                  <pic:blipFill>
                    <a:blip r:embed="rId7"/>
                  </pic:blipFill>
                  <pic:spPr>
                    <a:xfrm>
                      <a:off x="0" y="0"/>
                      <a:ext cx="4210050" cy="1181100"/>
                    </a:xfrm>
                    <a:prstGeom prst="rect">
                      <a:avLst/>
                    </a:prstGeom>
                    <a:solidFill>
                      <a:srgbClr val="FFFFFF"/>
                    </a:solidFill>
                    <a:ln w="9525">
                      <a:solidFill>
                        <a:srgbClr val="000000"/>
                      </a:solidFill>
                    </a:ln>
                  </pic:spPr>
                </pic:pic>
              </a:graphicData>
            </a:graphic>
          </wp:inline>
        </w:drawing>
      </w:r>
    </w:p>
    <w:p w14:paraId="49459220">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预算调整率为25.32%，</w:t>
      </w:r>
      <w:r>
        <w:rPr>
          <w:rFonts w:hint="eastAsia" w:ascii="仿宋" w:hAnsi="仿宋" w:eastAsia="仿宋" w:cs="仿宋"/>
          <w:b w:val="0"/>
          <w:bCs w:val="0"/>
          <w:sz w:val="32"/>
          <w:szCs w:val="32"/>
          <w:highlight w:val="none"/>
          <w:lang w:val="en-US" w:eastAsia="zh-CN"/>
        </w:rPr>
        <w:t>调整明细如下：</w:t>
      </w:r>
    </w:p>
    <w:p w14:paraId="72D9FC1C">
      <w:pPr>
        <w:pStyle w:val="4"/>
        <w:numPr>
          <w:ilvl w:val="0"/>
          <w:numId w:val="0"/>
        </w:numPr>
        <w:jc w:val="both"/>
        <w:rPr>
          <w:rFonts w:hint="eastAsia" w:ascii="楷体" w:hAnsi="楷体" w:eastAsia="楷体" w:cs="楷体"/>
          <w:b/>
          <w:bCs/>
          <w:sz w:val="32"/>
          <w:szCs w:val="32"/>
          <w:lang w:eastAsia="zh-CN"/>
        </w:rPr>
      </w:pPr>
      <w:r>
        <w:drawing>
          <wp:inline distT="0" distB="0" distL="114300" distR="114300">
            <wp:extent cx="6144895" cy="1229360"/>
            <wp:effectExtent l="9525" t="9525" r="17780" b="18415"/>
            <wp:docPr id="12" name="图片 2"/>
            <wp:cNvGraphicFramePr/>
            <a:graphic xmlns:a="http://schemas.openxmlformats.org/drawingml/2006/main">
              <a:graphicData uri="http://schemas.openxmlformats.org/drawingml/2006/picture">
                <pic:pic xmlns:pic="http://schemas.openxmlformats.org/drawingml/2006/picture">
                  <pic:nvPicPr>
                    <pic:cNvPr id="12" name="图片 2"/>
                    <pic:cNvPicPr/>
                  </pic:nvPicPr>
                  <pic:blipFill>
                    <a:blip r:embed="rId8"/>
                  </pic:blipFill>
                  <pic:spPr>
                    <a:xfrm>
                      <a:off x="0" y="0"/>
                      <a:ext cx="6144895" cy="1229360"/>
                    </a:xfrm>
                    <a:prstGeom prst="rect">
                      <a:avLst/>
                    </a:prstGeom>
                    <a:solidFill>
                      <a:srgbClr val="FFFFFF"/>
                    </a:solidFill>
                    <a:ln w="9525">
                      <a:solidFill>
                        <a:srgbClr val="000000"/>
                      </a:solidFill>
                    </a:ln>
                  </pic:spPr>
                </pic:pic>
              </a:graphicData>
            </a:graphic>
          </wp:inline>
        </w:drawing>
      </w:r>
    </w:p>
    <w:p w14:paraId="7172654B">
      <w:pPr>
        <w:rPr>
          <w:rFonts w:hint="eastAsia" w:ascii="楷体" w:hAnsi="楷体" w:eastAsia="楷体" w:cs="楷体"/>
          <w:b/>
          <w:bCs/>
          <w:sz w:val="32"/>
          <w:szCs w:val="32"/>
          <w:lang w:eastAsia="zh-CN"/>
        </w:rPr>
      </w:pPr>
      <w:r>
        <w:drawing>
          <wp:inline distT="0" distB="0" distL="114300" distR="114300">
            <wp:extent cx="6153785" cy="1475740"/>
            <wp:effectExtent l="9525" t="9525" r="27940" b="19685"/>
            <wp:docPr id="4" name="图片 3"/>
            <wp:cNvGraphicFramePr/>
            <a:graphic xmlns:a="http://schemas.openxmlformats.org/drawingml/2006/main">
              <a:graphicData uri="http://schemas.openxmlformats.org/drawingml/2006/picture">
                <pic:pic xmlns:pic="http://schemas.openxmlformats.org/drawingml/2006/picture">
                  <pic:nvPicPr>
                    <pic:cNvPr id="4" name="图片 3"/>
                    <pic:cNvPicPr/>
                  </pic:nvPicPr>
                  <pic:blipFill>
                    <a:blip r:embed="rId9"/>
                  </pic:blipFill>
                  <pic:spPr>
                    <a:xfrm>
                      <a:off x="0" y="0"/>
                      <a:ext cx="6153785" cy="1475740"/>
                    </a:xfrm>
                    <a:prstGeom prst="rect">
                      <a:avLst/>
                    </a:prstGeom>
                    <a:solidFill>
                      <a:srgbClr val="FFFFFF"/>
                    </a:solidFill>
                    <a:ln w="9525">
                      <a:solidFill>
                        <a:srgbClr val="000000"/>
                      </a:solidFill>
                    </a:ln>
                  </pic:spPr>
                </pic:pic>
              </a:graphicData>
            </a:graphic>
          </wp:inline>
        </w:drawing>
      </w:r>
    </w:p>
    <w:p w14:paraId="06FF73EE">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eastAsia="zh-CN"/>
        </w:rPr>
      </w:pPr>
      <w:bookmarkStart w:id="30" w:name="_Toc21756"/>
      <w:r>
        <w:rPr>
          <w:rFonts w:hint="eastAsia" w:ascii="楷体" w:hAnsi="楷体" w:eastAsia="楷体" w:cs="楷体"/>
          <w:b/>
          <w:bCs/>
          <w:sz w:val="32"/>
          <w:szCs w:val="32"/>
          <w:lang w:eastAsia="zh-CN"/>
        </w:rPr>
        <w:t>预算执行</w:t>
      </w:r>
      <w:r>
        <w:rPr>
          <w:rFonts w:hint="eastAsia" w:ascii="楷体" w:hAnsi="楷体" w:eastAsia="楷体" w:cs="楷体"/>
          <w:b/>
          <w:bCs/>
          <w:sz w:val="32"/>
          <w:szCs w:val="32"/>
          <w:lang w:val="en-US" w:eastAsia="zh-CN"/>
        </w:rPr>
        <w:t>情况及分析</w:t>
      </w:r>
      <w:bookmarkEnd w:id="30"/>
    </w:p>
    <w:p w14:paraId="3AAAF8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1.预算执行基本信息</w:t>
      </w:r>
    </w:p>
    <w:p w14:paraId="1EB6B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default"/>
          <w:highlight w:val="none"/>
          <w:lang w:val="en-US" w:eastAsia="zh-CN"/>
        </w:rPr>
      </w:pPr>
      <w:r>
        <w:rPr>
          <w:rFonts w:hint="eastAsia" w:ascii="仿宋" w:hAnsi="仿宋" w:eastAsia="仿宋" w:cs="仿宋"/>
          <w:b w:val="0"/>
          <w:bCs w:val="0"/>
          <w:sz w:val="32"/>
          <w:szCs w:val="32"/>
          <w:highlight w:val="none"/>
          <w:lang w:val="en-US" w:eastAsia="zh-CN"/>
        </w:rPr>
        <w:t>（1）收入来源总计6,900,058.61元，其中一般公共预算财政拨款6,888,058.61元，其他收入12,000.00元。</w:t>
      </w:r>
    </w:p>
    <w:p w14:paraId="1F2EC7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（2）预算资金指标支付汇总</w:t>
      </w:r>
    </w:p>
    <w:p w14:paraId="7C91188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937760" cy="781050"/>
            <wp:effectExtent l="9525" t="9525" r="24765" b="9525"/>
            <wp:docPr id="27" name="图片 3"/>
            <wp:cNvGraphicFramePr/>
            <a:graphic xmlns:a="http://schemas.openxmlformats.org/drawingml/2006/main">
              <a:graphicData uri="http://schemas.openxmlformats.org/drawingml/2006/picture">
                <pic:pic xmlns:pic="http://schemas.openxmlformats.org/drawingml/2006/picture">
                  <pic:nvPicPr>
                    <pic:cNvPr id="27" name="图片 3"/>
                    <pic:cNvPicPr/>
                  </pic:nvPicPr>
                  <pic:blipFill>
                    <a:blip r:embed="rId10"/>
                  </pic:blipFill>
                  <pic:spPr>
                    <a:xfrm>
                      <a:off x="0" y="0"/>
                      <a:ext cx="4937760" cy="781050"/>
                    </a:xfrm>
                    <a:prstGeom prst="rect">
                      <a:avLst/>
                    </a:prstGeom>
                    <a:solidFill>
                      <a:srgbClr val="FFFFFF"/>
                    </a:solidFill>
                    <a:ln w="9525">
                      <a:solidFill>
                        <a:srgbClr val="000000"/>
                      </a:solidFill>
                    </a:ln>
                  </pic:spPr>
                </pic:pic>
              </a:graphicData>
            </a:graphic>
          </wp:inline>
        </w:drawing>
      </w:r>
    </w:p>
    <w:p w14:paraId="61B6A0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4824730" cy="2743200"/>
            <wp:effectExtent l="4445" t="4445" r="9525" b="14605"/>
            <wp:docPr id="2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DDC51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2.预算执行分析</w:t>
      </w:r>
    </w:p>
    <w:p w14:paraId="35B64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1</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预算执行率为98.57%。详情如下：</w:t>
      </w:r>
    </w:p>
    <w:p w14:paraId="10E3FD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9"/>
        <w:rPr>
          <w:rFonts w:hint="eastAsia" w:ascii="仿宋" w:hAnsi="仿宋" w:eastAsia="仿宋" w:cs="仿宋"/>
          <w:b/>
          <w:bCs/>
          <w:sz w:val="32"/>
          <w:szCs w:val="32"/>
          <w:lang w:eastAsia="zh-CN"/>
        </w:rPr>
      </w:pPr>
      <w:r>
        <w:drawing>
          <wp:inline distT="0" distB="0" distL="114300" distR="114300">
            <wp:extent cx="5706745" cy="1456690"/>
            <wp:effectExtent l="9525" t="9525" r="17780" b="19685"/>
            <wp:docPr id="6" name="图片 5"/>
            <wp:cNvGraphicFramePr/>
            <a:graphic xmlns:a="http://schemas.openxmlformats.org/drawingml/2006/main">
              <a:graphicData uri="http://schemas.openxmlformats.org/drawingml/2006/picture">
                <pic:pic xmlns:pic="http://schemas.openxmlformats.org/drawingml/2006/picture">
                  <pic:nvPicPr>
                    <pic:cNvPr id="6" name="图片 5"/>
                    <pic:cNvPicPr/>
                  </pic:nvPicPr>
                  <pic:blipFill>
                    <a:blip r:embed="rId12"/>
                  </pic:blipFill>
                  <pic:spPr>
                    <a:xfrm>
                      <a:off x="0" y="0"/>
                      <a:ext cx="5706745" cy="1456690"/>
                    </a:xfrm>
                    <a:prstGeom prst="rect">
                      <a:avLst/>
                    </a:prstGeom>
                    <a:solidFill>
                      <a:srgbClr val="FFFFFF"/>
                    </a:solidFill>
                    <a:ln w="9525">
                      <a:solidFill>
                        <a:srgbClr val="000000"/>
                      </a:solidFill>
                    </a:ln>
                  </pic:spPr>
                </pic:pic>
              </a:graphicData>
            </a:graphic>
          </wp:inline>
        </w:drawing>
      </w:r>
    </w:p>
    <w:p w14:paraId="78AFAB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）进度匹配度</w:t>
      </w:r>
      <w:r>
        <w:rPr>
          <w:rFonts w:hint="eastAsia" w:ascii="仿宋" w:hAnsi="仿宋" w:eastAsia="仿宋" w:cs="仿宋"/>
          <w:b/>
          <w:bCs/>
          <w:sz w:val="32"/>
          <w:szCs w:val="32"/>
          <w:lang w:val="en-US" w:eastAsia="zh-CN"/>
        </w:rPr>
        <w:t>与效率。</w:t>
      </w:r>
      <w:r>
        <w:rPr>
          <w:rFonts w:hint="eastAsia" w:ascii="仿宋" w:hAnsi="仿宋" w:eastAsia="仿宋" w:cs="仿宋"/>
          <w:b w:val="0"/>
          <w:bCs w:val="0"/>
          <w:sz w:val="32"/>
          <w:szCs w:val="32"/>
          <w:lang w:val="en-US" w:eastAsia="zh-CN"/>
        </w:rPr>
        <w:t>资金支付及时，不存在项目等钱情况。指标下达数与指标使用数对比详情列示如下：</w:t>
      </w:r>
    </w:p>
    <w:p w14:paraId="3017C704">
      <w:pPr>
        <w:pStyle w:val="4"/>
        <w:jc w:val="center"/>
        <w:rPr>
          <w:rFonts w:hint="eastAsia" w:ascii="仿宋" w:hAnsi="仿宋" w:eastAsia="仿宋" w:cs="仿宋"/>
          <w:b w:val="0"/>
          <w:bCs w:val="0"/>
          <w:sz w:val="32"/>
          <w:szCs w:val="32"/>
          <w:lang w:val="en-US" w:eastAsia="zh-CN"/>
        </w:rPr>
      </w:pPr>
      <w:r>
        <w:drawing>
          <wp:inline distT="0" distB="0" distL="114300" distR="114300">
            <wp:extent cx="5118100" cy="4038600"/>
            <wp:effectExtent l="9525" t="9525" r="15875" b="9525"/>
            <wp:docPr id="17" name="图片 2"/>
            <wp:cNvGraphicFramePr/>
            <a:graphic xmlns:a="http://schemas.openxmlformats.org/drawingml/2006/main">
              <a:graphicData uri="http://schemas.openxmlformats.org/drawingml/2006/picture">
                <pic:pic xmlns:pic="http://schemas.openxmlformats.org/drawingml/2006/picture">
                  <pic:nvPicPr>
                    <pic:cNvPr id="17" name="图片 2"/>
                    <pic:cNvPicPr/>
                  </pic:nvPicPr>
                  <pic:blipFill>
                    <a:blip r:embed="rId13"/>
                  </pic:blipFill>
                  <pic:spPr>
                    <a:xfrm>
                      <a:off x="0" y="0"/>
                      <a:ext cx="5118100" cy="4038600"/>
                    </a:xfrm>
                    <a:prstGeom prst="rect">
                      <a:avLst/>
                    </a:prstGeom>
                    <a:solidFill>
                      <a:srgbClr val="FFFFFF"/>
                    </a:solidFill>
                    <a:ln w="9525">
                      <a:solidFill>
                        <a:srgbClr val="000000"/>
                      </a:solidFill>
                    </a:ln>
                  </pic:spPr>
                </pic:pic>
              </a:graphicData>
            </a:graphic>
          </wp:inline>
        </w:drawing>
      </w:r>
    </w:p>
    <w:p w14:paraId="3F9EEB01">
      <w:pPr>
        <w:jc w:val="center"/>
        <w:rPr>
          <w:rFonts w:hint="eastAsia" w:ascii="仿宋" w:hAnsi="仿宋" w:eastAsia="仿宋" w:cs="仿宋"/>
          <w:b/>
          <w:bCs/>
          <w:sz w:val="32"/>
          <w:szCs w:val="32"/>
          <w:lang w:val="en-US" w:eastAsia="zh-CN"/>
        </w:rPr>
      </w:pPr>
      <w:r>
        <w:drawing>
          <wp:inline distT="0" distB="0" distL="114300" distR="114300">
            <wp:extent cx="4820920" cy="2743200"/>
            <wp:effectExtent l="4445" t="5080" r="13335" b="13970"/>
            <wp:docPr id="2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37B0A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资金</w:t>
      </w:r>
      <w:r>
        <w:rPr>
          <w:rFonts w:hint="eastAsia" w:ascii="仿宋" w:hAnsi="仿宋" w:eastAsia="仿宋" w:cs="仿宋"/>
          <w:b/>
          <w:bCs/>
          <w:sz w:val="32"/>
          <w:szCs w:val="32"/>
          <w:highlight w:val="none"/>
          <w:lang w:eastAsia="zh-CN"/>
        </w:rPr>
        <w:t>合规性检查。</w:t>
      </w:r>
      <w:r>
        <w:rPr>
          <w:rFonts w:hint="eastAsia" w:ascii="仿宋" w:hAnsi="仿宋" w:eastAsia="仿宋" w:cs="仿宋"/>
          <w:b w:val="0"/>
          <w:bCs w:val="0"/>
          <w:sz w:val="32"/>
          <w:szCs w:val="32"/>
          <w:lang w:val="en-US" w:eastAsia="zh-CN"/>
        </w:rPr>
        <w:t>从预算约束、用途合规、程序合规、报销凭证完整性与合规性四个方面进行核查，在检查凭证过程中，我们发现存在基本挤占项目支出的情况。详情见后附各类支出情况汇总及分析。</w:t>
      </w:r>
    </w:p>
    <w:p w14:paraId="439DA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4</w:t>
      </w:r>
      <w:r>
        <w:rPr>
          <w:rFonts w:hint="eastAsia" w:ascii="仿宋" w:hAnsi="仿宋" w:eastAsia="仿宋" w:cs="仿宋"/>
          <w:b/>
          <w:bCs/>
          <w:sz w:val="32"/>
          <w:szCs w:val="32"/>
          <w:highlight w:val="none"/>
          <w:lang w:eastAsia="zh-CN"/>
        </w:rPr>
        <w:t>）成本控制。</w:t>
      </w:r>
      <w:r>
        <w:rPr>
          <w:rFonts w:hint="eastAsia" w:ascii="仿宋" w:hAnsi="仿宋" w:eastAsia="仿宋" w:cs="仿宋"/>
          <w:b w:val="0"/>
          <w:bCs w:val="0"/>
          <w:sz w:val="32"/>
          <w:szCs w:val="32"/>
          <w:lang w:val="en-US" w:eastAsia="zh-CN"/>
        </w:rPr>
        <w:t>基本支出的绩效评价侧重成本控制和合规性。项目支出的绩效评价关联项目目标，如会议是否推动了政策落地、办公经费是否支撑了专项任务完成等。详情见后附各类支出情况汇总及分析。</w:t>
      </w:r>
    </w:p>
    <w:p w14:paraId="69415C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lang w:eastAsia="zh-CN"/>
        </w:rPr>
        <w:t>）对产出的影响。</w:t>
      </w:r>
      <w:r>
        <w:rPr>
          <w:rFonts w:hint="eastAsia" w:ascii="仿宋" w:hAnsi="仿宋" w:eastAsia="仿宋" w:cs="仿宋"/>
          <w:b w:val="0"/>
          <w:bCs w:val="0"/>
          <w:sz w:val="32"/>
          <w:szCs w:val="32"/>
          <w:highlight w:val="none"/>
          <w:lang w:val="en-US" w:eastAsia="zh-CN"/>
        </w:rPr>
        <w:t>未存在因预算执行合规与否、快慢情况直接影响绩效产出目标的实现的情况。</w:t>
      </w:r>
    </w:p>
    <w:p w14:paraId="7FE879F2">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43" w:firstLineChars="200"/>
        <w:jc w:val="both"/>
        <w:textAlignment w:val="auto"/>
        <w:outlineLvl w:val="9"/>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6</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本年度决算数与上年度决算数对比，减少率20.39%。</w:t>
      </w:r>
    </w:p>
    <w:p w14:paraId="5A66D042">
      <w:pPr>
        <w:pStyle w:val="7"/>
      </w:pPr>
      <w:r>
        <w:drawing>
          <wp:inline distT="0" distB="0" distL="114300" distR="114300">
            <wp:extent cx="5736590" cy="3406140"/>
            <wp:effectExtent l="9525" t="9525" r="26035" b="13335"/>
            <wp:docPr id="30" name="图片 4"/>
            <wp:cNvGraphicFramePr/>
            <a:graphic xmlns:a="http://schemas.openxmlformats.org/drawingml/2006/main">
              <a:graphicData uri="http://schemas.openxmlformats.org/drawingml/2006/picture">
                <pic:pic xmlns:pic="http://schemas.openxmlformats.org/drawingml/2006/picture">
                  <pic:nvPicPr>
                    <pic:cNvPr id="30" name="图片 4"/>
                    <pic:cNvPicPr/>
                  </pic:nvPicPr>
                  <pic:blipFill>
                    <a:blip r:embed="rId15"/>
                  </pic:blipFill>
                  <pic:spPr>
                    <a:xfrm>
                      <a:off x="0" y="0"/>
                      <a:ext cx="5736590" cy="3406140"/>
                    </a:xfrm>
                    <a:prstGeom prst="rect">
                      <a:avLst/>
                    </a:prstGeom>
                    <a:solidFill>
                      <a:srgbClr val="FFFFFF"/>
                    </a:solidFill>
                    <a:ln w="9525">
                      <a:solidFill>
                        <a:srgbClr val="000000"/>
                      </a:solidFill>
                    </a:ln>
                  </pic:spPr>
                </pic:pic>
              </a:graphicData>
            </a:graphic>
          </wp:inline>
        </w:drawing>
      </w:r>
    </w:p>
    <w:p w14:paraId="7E2AC0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pPr>
      <w:r>
        <w:rPr>
          <w:rFonts w:hint="eastAsia" w:ascii="仿宋" w:hAnsi="仿宋" w:eastAsia="仿宋" w:cs="仿宋"/>
          <w:b/>
          <w:bCs/>
          <w:sz w:val="32"/>
          <w:szCs w:val="32"/>
          <w:lang w:val="en-US" w:eastAsia="zh-CN"/>
        </w:rPr>
        <w:t>（7）本年度全年预算数、账套数、决算数、重分类决算数汇总对比表列示如下：</w:t>
      </w:r>
    </w:p>
    <w:p w14:paraId="353A0C8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640070" cy="1677035"/>
            <wp:effectExtent l="9525" t="9525" r="27305" b="27940"/>
            <wp:docPr id="24" name="图片 6"/>
            <wp:cNvGraphicFramePr/>
            <a:graphic xmlns:a="http://schemas.openxmlformats.org/drawingml/2006/main">
              <a:graphicData uri="http://schemas.openxmlformats.org/drawingml/2006/picture">
                <pic:pic xmlns:pic="http://schemas.openxmlformats.org/drawingml/2006/picture">
                  <pic:nvPicPr>
                    <pic:cNvPr id="24" name="图片 6"/>
                    <pic:cNvPicPr/>
                  </pic:nvPicPr>
                  <pic:blipFill>
                    <a:blip r:embed="rId16"/>
                  </pic:blipFill>
                  <pic:spPr>
                    <a:xfrm>
                      <a:off x="0" y="0"/>
                      <a:ext cx="5640070" cy="1677035"/>
                    </a:xfrm>
                    <a:prstGeom prst="rect">
                      <a:avLst/>
                    </a:prstGeom>
                    <a:solidFill>
                      <a:srgbClr val="FFFFFF"/>
                    </a:solidFill>
                    <a:ln w="9525">
                      <a:solidFill>
                        <a:srgbClr val="000000"/>
                      </a:solidFill>
                    </a:ln>
                  </pic:spPr>
                </pic:pic>
              </a:graphicData>
            </a:graphic>
          </wp:inline>
        </w:drawing>
      </w:r>
    </w:p>
    <w:p w14:paraId="2FC1CD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rPr>
          <w:rFonts w:hint="eastAsia"/>
          <w:lang w:val="en-US" w:eastAsia="zh-CN"/>
        </w:rPr>
      </w:pPr>
      <w:r>
        <w:drawing>
          <wp:inline distT="0" distB="0" distL="114300" distR="114300">
            <wp:extent cx="5697220" cy="2162175"/>
            <wp:effectExtent l="9525" t="9525" r="27305" b="19050"/>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17"/>
                  </pic:blipFill>
                  <pic:spPr>
                    <a:xfrm>
                      <a:off x="0" y="0"/>
                      <a:ext cx="5697220" cy="2162175"/>
                    </a:xfrm>
                    <a:prstGeom prst="rect">
                      <a:avLst/>
                    </a:prstGeom>
                    <a:solidFill>
                      <a:srgbClr val="FFFFFF"/>
                    </a:solidFill>
                    <a:ln w="9525">
                      <a:solidFill>
                        <a:srgbClr val="000000"/>
                      </a:solidFill>
                    </a:ln>
                  </pic:spPr>
                </pic:pic>
              </a:graphicData>
            </a:graphic>
          </wp:inline>
        </w:drawing>
      </w:r>
    </w:p>
    <w:p w14:paraId="49F5B1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jc w:val="both"/>
        <w:textAlignment w:val="auto"/>
        <w:outlineLvl w:val="9"/>
      </w:pPr>
      <w:r>
        <w:drawing>
          <wp:inline distT="0" distB="0" distL="114300" distR="114300">
            <wp:extent cx="5588635" cy="4457065"/>
            <wp:effectExtent l="5080" t="4445" r="6985" b="15240"/>
            <wp:docPr id="2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6DABC4C">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val="en-US" w:eastAsia="zh-CN"/>
        </w:rPr>
      </w:pPr>
      <w:bookmarkStart w:id="31" w:name="_Toc31659"/>
      <w:r>
        <w:rPr>
          <w:rFonts w:hint="eastAsia" w:ascii="楷体" w:hAnsi="楷体" w:eastAsia="楷体" w:cs="楷体"/>
          <w:b/>
          <w:bCs/>
          <w:sz w:val="32"/>
          <w:szCs w:val="32"/>
          <w:lang w:val="en-US" w:eastAsia="zh-CN"/>
        </w:rPr>
        <w:t>整体支出汇总及分析</w:t>
      </w:r>
      <w:bookmarkEnd w:id="31"/>
    </w:p>
    <w:p w14:paraId="6E7074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支出检查范围及内容：是否符合预算用途和相关财经法规条例，有无超范围、超标准支出，报销凭证完整性与合规性，政府采购程序是否规范，招投标是否合规，重大项目开支和大额资金使用是否经单位党组集体研究决策，资金支付是否有完整的审批程序和手续等。</w:t>
      </w:r>
    </w:p>
    <w:p w14:paraId="4645D9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1.整体支出情况</w:t>
      </w:r>
    </w:p>
    <w:p w14:paraId="4B71BD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（1）整体支出分类及范围</w:t>
      </w:r>
    </w:p>
    <w:p w14:paraId="4C96E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仿宋" w:hAnsi="仿宋" w:eastAsia="仿宋" w:cs="仿宋"/>
          <w:b w:val="0"/>
          <w:bCs w:val="0"/>
          <w:sz w:val="32"/>
          <w:szCs w:val="32"/>
          <w:lang w:val="en-US" w:eastAsia="zh-CN"/>
        </w:rPr>
        <w:t>区委办公室的整体支出分为三大类，分别为基本支出-人员经费、基本支出-公用经费（一般性支出）与项目支出。</w:t>
      </w:r>
      <w:r>
        <w:rPr>
          <w:rFonts w:hint="eastAsia" w:ascii="仿宋" w:hAnsi="仿宋" w:eastAsia="仿宋" w:cs="仿宋"/>
          <w:b/>
          <w:bCs/>
          <w:sz w:val="32"/>
          <w:szCs w:val="32"/>
          <w:lang w:val="en-US" w:eastAsia="zh-CN"/>
        </w:rPr>
        <w:t>一是基本支出-人员经费</w:t>
      </w:r>
      <w:r>
        <w:rPr>
          <w:rFonts w:hint="eastAsia" w:ascii="仿宋" w:hAnsi="仿宋" w:eastAsia="仿宋" w:cs="仿宋"/>
          <w:b w:val="0"/>
          <w:bCs w:val="0"/>
          <w:sz w:val="32"/>
          <w:szCs w:val="32"/>
          <w:lang w:val="en-US" w:eastAsia="zh-CN"/>
        </w:rPr>
        <w:t>包括基本工资、社会保障缴费、住房公积金、奖金、对家庭和个人的补助、其他保障等。</w:t>
      </w:r>
      <w:r>
        <w:rPr>
          <w:rFonts w:hint="eastAsia" w:ascii="仿宋" w:hAnsi="仿宋" w:eastAsia="仿宋" w:cs="仿宋"/>
          <w:b/>
          <w:bCs/>
          <w:sz w:val="32"/>
          <w:szCs w:val="32"/>
          <w:lang w:val="en-US" w:eastAsia="zh-CN"/>
        </w:rPr>
        <w:t>二是基本支出-公用经费</w:t>
      </w:r>
      <w:r>
        <w:rPr>
          <w:rFonts w:hint="eastAsia" w:ascii="仿宋" w:hAnsi="仿宋" w:eastAsia="仿宋" w:cs="仿宋"/>
          <w:b w:val="0"/>
          <w:bCs w:val="0"/>
          <w:sz w:val="32"/>
          <w:szCs w:val="32"/>
          <w:lang w:val="en-US" w:eastAsia="zh-CN"/>
        </w:rPr>
        <w:t>包括办公经费、工会经费、食堂餐费、公务车运行维护费、会议费、培训费、报告咨询、差旅费、党建、绿植花卉等。</w:t>
      </w:r>
      <w:r>
        <w:rPr>
          <w:rFonts w:hint="eastAsia" w:ascii="仿宋" w:hAnsi="仿宋" w:eastAsia="仿宋" w:cs="仿宋"/>
          <w:b/>
          <w:bCs/>
          <w:sz w:val="32"/>
          <w:szCs w:val="32"/>
          <w:lang w:val="en-US" w:eastAsia="zh-CN"/>
        </w:rPr>
        <w:t>三是项目支出内容包括</w:t>
      </w:r>
      <w:r>
        <w:rPr>
          <w:rFonts w:hint="eastAsia" w:ascii="仿宋" w:hAnsi="仿宋" w:eastAsia="仿宋" w:cs="仿宋"/>
          <w:b w:val="0"/>
          <w:bCs w:val="0"/>
          <w:sz w:val="32"/>
          <w:szCs w:val="32"/>
          <w:lang w:val="en-US" w:eastAsia="zh-CN"/>
        </w:rPr>
        <w:t>工作经费、乡村振兴资金、雁峰区电子公文交换平台、制造立市，文旅兴城项目、还款、加班餐费、南岳第一峰景区视频制作、4.15国家安全教育日、保密法宣传、人力资源服务、档案馆项目、文明创建、春暖湘商等。</w:t>
      </w:r>
    </w:p>
    <w:p w14:paraId="44719A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（2）各类支出从账套数到重分类数的调整过程如下：</w:t>
      </w:r>
    </w:p>
    <w:p w14:paraId="764ACB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center"/>
        <w:textAlignment w:val="auto"/>
        <w:outlineLvl w:val="9"/>
        <w:rPr>
          <w:rFonts w:hint="eastAsia" w:ascii="仿宋" w:hAnsi="仿宋" w:eastAsia="仿宋" w:cs="仿宋"/>
          <w:b/>
          <w:bCs/>
          <w:sz w:val="32"/>
          <w:szCs w:val="32"/>
          <w:lang w:val="en-US" w:eastAsia="zh-CN"/>
        </w:rPr>
      </w:pPr>
      <w:r>
        <w:drawing>
          <wp:inline distT="0" distB="0" distL="114300" distR="114300">
            <wp:extent cx="5953760" cy="2715895"/>
            <wp:effectExtent l="9525" t="9525" r="18415" b="17780"/>
            <wp:docPr id="7" name="图片 2"/>
            <wp:cNvGraphicFramePr/>
            <a:graphic xmlns:a="http://schemas.openxmlformats.org/drawingml/2006/main">
              <a:graphicData uri="http://schemas.openxmlformats.org/drawingml/2006/picture">
                <pic:pic xmlns:pic="http://schemas.openxmlformats.org/drawingml/2006/picture">
                  <pic:nvPicPr>
                    <pic:cNvPr id="7" name="图片 2"/>
                    <pic:cNvPicPr/>
                  </pic:nvPicPr>
                  <pic:blipFill>
                    <a:blip r:embed="rId19"/>
                  </pic:blipFill>
                  <pic:spPr>
                    <a:xfrm>
                      <a:off x="0" y="0"/>
                      <a:ext cx="5953760" cy="2715895"/>
                    </a:xfrm>
                    <a:prstGeom prst="rect">
                      <a:avLst/>
                    </a:prstGeom>
                    <a:solidFill>
                      <a:srgbClr val="FFFFFF"/>
                    </a:solidFill>
                    <a:ln w="9525">
                      <a:solidFill>
                        <a:srgbClr val="000000"/>
                      </a:solidFill>
                    </a:ln>
                  </pic:spPr>
                </pic:pic>
              </a:graphicData>
            </a:graphic>
          </wp:inline>
        </w:drawing>
      </w:r>
    </w:p>
    <w:p w14:paraId="5F244AF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outlineLvl w:val="9"/>
        <w:rPr>
          <w:rFonts w:hint="eastAsia" w:ascii="仿宋" w:hAnsi="仿宋" w:eastAsia="仿宋" w:cs="仿宋"/>
          <w:b/>
          <w:bCs/>
          <w:sz w:val="32"/>
          <w:szCs w:val="32"/>
          <w:lang w:val="en-US" w:eastAsia="zh-CN"/>
        </w:rPr>
      </w:pPr>
    </w:p>
    <w:p w14:paraId="376ADD2B">
      <w:pPr>
        <w:pStyle w:val="8"/>
        <w:rPr>
          <w:rFonts w:hint="eastAsia" w:ascii="仿宋" w:hAnsi="仿宋" w:eastAsia="仿宋" w:cs="仿宋"/>
          <w:b/>
          <w:bCs/>
          <w:sz w:val="32"/>
          <w:szCs w:val="32"/>
          <w:lang w:val="en-US" w:eastAsia="zh-CN"/>
        </w:rPr>
      </w:pPr>
    </w:p>
    <w:p w14:paraId="5C6E62A0">
      <w:pPr>
        <w:rPr>
          <w:rFonts w:hint="eastAsia" w:ascii="仿宋" w:hAnsi="仿宋" w:eastAsia="仿宋" w:cs="仿宋"/>
          <w:b/>
          <w:bCs/>
          <w:sz w:val="32"/>
          <w:szCs w:val="32"/>
          <w:lang w:val="en-US" w:eastAsia="zh-CN"/>
        </w:rPr>
      </w:pPr>
      <w:r>
        <w:drawing>
          <wp:inline distT="0" distB="0" distL="114300" distR="114300">
            <wp:extent cx="6057900" cy="5385435"/>
            <wp:effectExtent l="9525" t="9525" r="9525" b="15240"/>
            <wp:docPr id="10" name="图片 4"/>
            <wp:cNvGraphicFramePr/>
            <a:graphic xmlns:a="http://schemas.openxmlformats.org/drawingml/2006/main">
              <a:graphicData uri="http://schemas.openxmlformats.org/drawingml/2006/picture">
                <pic:pic xmlns:pic="http://schemas.openxmlformats.org/drawingml/2006/picture">
                  <pic:nvPicPr>
                    <pic:cNvPr id="10" name="图片 4"/>
                    <pic:cNvPicPr/>
                  </pic:nvPicPr>
                  <pic:blipFill>
                    <a:blip r:embed="rId20"/>
                  </pic:blipFill>
                  <pic:spPr>
                    <a:xfrm>
                      <a:off x="0" y="0"/>
                      <a:ext cx="6057900" cy="5385435"/>
                    </a:xfrm>
                    <a:prstGeom prst="rect">
                      <a:avLst/>
                    </a:prstGeom>
                    <a:solidFill>
                      <a:srgbClr val="FFFFFF"/>
                    </a:solidFill>
                    <a:ln w="9525">
                      <a:solidFill>
                        <a:srgbClr val="000000"/>
                      </a:solidFill>
                    </a:ln>
                  </pic:spPr>
                </pic:pic>
              </a:graphicData>
            </a:graphic>
          </wp:inline>
        </w:drawing>
      </w:r>
    </w:p>
    <w:p w14:paraId="0779A5E4">
      <w:pPr>
        <w:pStyle w:val="8"/>
        <w:rPr>
          <w:rFonts w:hint="eastAsia" w:ascii="仿宋" w:hAnsi="仿宋" w:eastAsia="仿宋" w:cs="仿宋"/>
          <w:b/>
          <w:bCs/>
          <w:sz w:val="32"/>
          <w:szCs w:val="32"/>
          <w:lang w:val="en-US" w:eastAsia="zh-CN"/>
        </w:rPr>
      </w:pPr>
    </w:p>
    <w:p w14:paraId="1F599209">
      <w:pPr>
        <w:rPr>
          <w:rFonts w:hint="eastAsia" w:ascii="仿宋" w:hAnsi="仿宋" w:eastAsia="仿宋" w:cs="仿宋"/>
          <w:b/>
          <w:bCs/>
          <w:sz w:val="32"/>
          <w:szCs w:val="32"/>
          <w:lang w:val="en-US" w:eastAsia="zh-CN"/>
        </w:rPr>
      </w:pPr>
      <w:r>
        <w:drawing>
          <wp:inline distT="0" distB="0" distL="114300" distR="114300">
            <wp:extent cx="5668010" cy="7957185"/>
            <wp:effectExtent l="9525" t="9525" r="18415" b="15240"/>
            <wp:docPr id="16" name="图片 1"/>
            <wp:cNvGraphicFramePr/>
            <a:graphic xmlns:a="http://schemas.openxmlformats.org/drawingml/2006/main">
              <a:graphicData uri="http://schemas.openxmlformats.org/drawingml/2006/picture">
                <pic:pic xmlns:pic="http://schemas.openxmlformats.org/drawingml/2006/picture">
                  <pic:nvPicPr>
                    <pic:cNvPr id="16" name="图片 1"/>
                    <pic:cNvPicPr/>
                  </pic:nvPicPr>
                  <pic:blipFill>
                    <a:blip r:embed="rId21"/>
                  </pic:blipFill>
                  <pic:spPr>
                    <a:xfrm>
                      <a:off x="0" y="0"/>
                      <a:ext cx="5668010" cy="7957185"/>
                    </a:xfrm>
                    <a:prstGeom prst="rect">
                      <a:avLst/>
                    </a:prstGeom>
                    <a:solidFill>
                      <a:srgbClr val="FFFFFF"/>
                    </a:solidFill>
                    <a:ln w="9525">
                      <a:solidFill>
                        <a:srgbClr val="000000"/>
                      </a:solidFill>
                    </a:ln>
                  </pic:spPr>
                </pic:pic>
              </a:graphicData>
            </a:graphic>
          </wp:inline>
        </w:drawing>
      </w:r>
    </w:p>
    <w:p w14:paraId="16815D76">
      <w:pPr>
        <w:pStyle w:val="8"/>
        <w:rPr>
          <w:rFonts w:hint="eastAsia" w:ascii="仿宋" w:hAnsi="仿宋" w:eastAsia="仿宋" w:cs="仿宋"/>
          <w:b/>
          <w:bCs/>
          <w:sz w:val="32"/>
          <w:szCs w:val="32"/>
          <w:lang w:val="en-US" w:eastAsia="zh-CN"/>
        </w:rPr>
      </w:pPr>
    </w:p>
    <w:p w14:paraId="3A8DDE86">
      <w:pPr>
        <w:rPr>
          <w:rFonts w:hint="eastAsia" w:ascii="仿宋" w:hAnsi="仿宋" w:eastAsia="仿宋" w:cs="仿宋"/>
          <w:b/>
          <w:bCs/>
          <w:sz w:val="32"/>
          <w:szCs w:val="32"/>
          <w:lang w:val="en-US" w:eastAsia="zh-CN"/>
        </w:rPr>
      </w:pPr>
    </w:p>
    <w:p w14:paraId="5B641493">
      <w:pPr>
        <w:pStyle w:val="8"/>
        <w:rPr>
          <w:rFonts w:hint="eastAsia"/>
          <w:lang w:val="en-US" w:eastAsia="zh-CN"/>
        </w:rPr>
      </w:pPr>
    </w:p>
    <w:p w14:paraId="060649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（3）各类支出重分类数与决算数的对比分析</w:t>
      </w:r>
    </w:p>
    <w:p w14:paraId="37A372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由下表可知，重分类数与决算数相比，人员经费增加375,050.00元，增长率7.36%。公用经费增加594,636.23元，增加率246.20%。项目支出减少969,686.23元，减少率62.14%。原因为基本支出指标不够用，使用项目支出指标。</w:t>
      </w:r>
    </w:p>
    <w:p w14:paraId="2A6B8D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center"/>
        <w:textAlignment w:val="auto"/>
        <w:outlineLvl w:val="9"/>
        <w:rPr>
          <w:rFonts w:hint="eastAsia" w:ascii="仿宋" w:hAnsi="仿宋" w:eastAsia="仿宋" w:cs="仿宋"/>
          <w:b/>
          <w:bCs/>
          <w:sz w:val="32"/>
          <w:szCs w:val="32"/>
          <w:lang w:val="en-US" w:eastAsia="zh-CN"/>
        </w:rPr>
      </w:pPr>
      <w:r>
        <w:drawing>
          <wp:inline distT="0" distB="0" distL="114300" distR="114300">
            <wp:extent cx="6106160" cy="1232535"/>
            <wp:effectExtent l="9525" t="9525" r="18415" b="15240"/>
            <wp:docPr id="9" name="图片 8"/>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22"/>
                  </pic:blipFill>
                  <pic:spPr>
                    <a:xfrm>
                      <a:off x="0" y="0"/>
                      <a:ext cx="6106160" cy="1232535"/>
                    </a:xfrm>
                    <a:prstGeom prst="rect">
                      <a:avLst/>
                    </a:prstGeom>
                    <a:solidFill>
                      <a:srgbClr val="FFFFFF"/>
                    </a:solidFill>
                    <a:ln w="9525">
                      <a:solidFill>
                        <a:srgbClr val="000000"/>
                      </a:solidFill>
                    </a:ln>
                  </pic:spPr>
                </pic:pic>
              </a:graphicData>
            </a:graphic>
          </wp:inline>
        </w:drawing>
      </w:r>
    </w:p>
    <w:p w14:paraId="483A40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2.基本支出-人员经费重分类数汇总及分析</w:t>
      </w:r>
    </w:p>
    <w:p w14:paraId="582428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详见后附工资管理情况及分析</w:t>
      </w:r>
    </w:p>
    <w:p w14:paraId="03CABA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b/>
          <w:bCs/>
          <w:sz w:val="32"/>
          <w:szCs w:val="32"/>
          <w:lang w:val="en-US" w:eastAsia="zh-CN"/>
        </w:rPr>
      </w:pPr>
      <w:r>
        <w:drawing>
          <wp:inline distT="0" distB="0" distL="114300" distR="114300">
            <wp:extent cx="5572760" cy="1752600"/>
            <wp:effectExtent l="9525" t="9525" r="18415" b="9525"/>
            <wp:docPr id="26" name="图片 3"/>
            <wp:cNvGraphicFramePr/>
            <a:graphic xmlns:a="http://schemas.openxmlformats.org/drawingml/2006/main">
              <a:graphicData uri="http://schemas.openxmlformats.org/drawingml/2006/picture">
                <pic:pic xmlns:pic="http://schemas.openxmlformats.org/drawingml/2006/picture">
                  <pic:nvPicPr>
                    <pic:cNvPr id="26" name="图片 3"/>
                    <pic:cNvPicPr/>
                  </pic:nvPicPr>
                  <pic:blipFill>
                    <a:blip r:embed="rId23"/>
                  </pic:blipFill>
                  <pic:spPr>
                    <a:xfrm>
                      <a:off x="0" y="0"/>
                      <a:ext cx="5572760" cy="1752600"/>
                    </a:xfrm>
                    <a:prstGeom prst="rect">
                      <a:avLst/>
                    </a:prstGeom>
                    <a:solidFill>
                      <a:srgbClr val="FFFFFF"/>
                    </a:solidFill>
                    <a:ln w="9525">
                      <a:solidFill>
                        <a:srgbClr val="000000"/>
                      </a:solidFill>
                    </a:ln>
                  </pic:spPr>
                </pic:pic>
              </a:graphicData>
            </a:graphic>
          </wp:inline>
        </w:drawing>
      </w:r>
    </w:p>
    <w:p w14:paraId="5F8EBF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pPr>
      <w:r>
        <w:rPr>
          <w:rFonts w:hint="eastAsia" w:ascii="仿宋" w:hAnsi="仿宋" w:eastAsia="仿宋" w:cs="仿宋"/>
          <w:b/>
          <w:bCs/>
          <w:sz w:val="32"/>
          <w:szCs w:val="32"/>
          <w:lang w:val="en-US" w:eastAsia="zh-CN"/>
        </w:rPr>
        <w:t>3.基本支出-公用经费重分类数汇总及分析</w:t>
      </w:r>
    </w:p>
    <w:p w14:paraId="4706AD1E">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outlineLvl w:val="9"/>
        <w:rPr>
          <w:rFonts w:hint="eastAsia" w:ascii="仿宋" w:hAnsi="仿宋" w:eastAsia="仿宋" w:cs="仿宋"/>
          <w:sz w:val="32"/>
          <w:szCs w:val="32"/>
          <w:highlight w:val="yellow"/>
          <w:lang w:val="en-US" w:eastAsia="zh-CN"/>
        </w:rPr>
      </w:pPr>
      <w:r>
        <w:drawing>
          <wp:inline distT="0" distB="0" distL="114300" distR="114300">
            <wp:extent cx="5486400" cy="2400300"/>
            <wp:effectExtent l="9525" t="9525" r="9525" b="9525"/>
            <wp:docPr id="20" name="图片 1"/>
            <wp:cNvGraphicFramePr/>
            <a:graphic xmlns:a="http://schemas.openxmlformats.org/drawingml/2006/main">
              <a:graphicData uri="http://schemas.openxmlformats.org/drawingml/2006/picture">
                <pic:pic xmlns:pic="http://schemas.openxmlformats.org/drawingml/2006/picture">
                  <pic:nvPicPr>
                    <pic:cNvPr id="20" name="图片 1"/>
                    <pic:cNvPicPr/>
                  </pic:nvPicPr>
                  <pic:blipFill>
                    <a:blip r:embed="rId24"/>
                  </pic:blipFill>
                  <pic:spPr>
                    <a:xfrm>
                      <a:off x="0" y="0"/>
                      <a:ext cx="5486400" cy="2400300"/>
                    </a:xfrm>
                    <a:prstGeom prst="rect">
                      <a:avLst/>
                    </a:prstGeom>
                    <a:solidFill>
                      <a:srgbClr val="FFFFFF"/>
                    </a:solidFill>
                    <a:ln w="9525">
                      <a:solidFill>
                        <a:srgbClr val="000000"/>
                      </a:solidFill>
                    </a:ln>
                  </pic:spPr>
                </pic:pic>
              </a:graphicData>
            </a:graphic>
          </wp:inline>
        </w:drawing>
      </w:r>
    </w:p>
    <w:p w14:paraId="584994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注：存在人员退回2021年纪念品超标款4,288.00元。详见2024年12月44号凭证。询问原因为2021年“三八”妇女节活动发放纪念品368.00元/人，参照工会标准100.00元/人，明显超支。回复及整改：当时参加的17名女同志，除1人去世，其余16人已将超标准的268.00元，共计4,288.00元退还区委办账户。</w:t>
      </w:r>
    </w:p>
    <w:p w14:paraId="2DD0D3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lang w:val="en-US" w:eastAsia="zh-CN"/>
        </w:rPr>
      </w:pPr>
      <w:r>
        <w:rPr>
          <w:rFonts w:hint="eastAsia" w:ascii="仿宋" w:hAnsi="仿宋" w:eastAsia="仿宋" w:cs="仿宋"/>
          <w:sz w:val="32"/>
          <w:szCs w:val="32"/>
          <w:highlight w:val="none"/>
          <w:lang w:val="en-US" w:eastAsia="zh-CN"/>
        </w:rPr>
        <w:t>检查凭证存在以下情况：</w:t>
      </w:r>
      <w:r>
        <w:rPr>
          <w:rFonts w:hint="eastAsia" w:ascii="仿宋" w:hAnsi="仿宋" w:eastAsia="仿宋" w:cs="仿宋"/>
          <w:b/>
          <w:bCs/>
          <w:sz w:val="32"/>
          <w:szCs w:val="32"/>
          <w:highlight w:val="none"/>
          <w:lang w:val="en-US" w:eastAsia="zh-CN"/>
        </w:rPr>
        <w:t>一是</w:t>
      </w:r>
      <w:r>
        <w:rPr>
          <w:rFonts w:hint="eastAsia" w:ascii="仿宋" w:hAnsi="仿宋" w:eastAsia="仿宋" w:cs="仿宋"/>
          <w:sz w:val="32"/>
          <w:szCs w:val="32"/>
          <w:highlight w:val="none"/>
          <w:lang w:val="en-US" w:eastAsia="zh-CN"/>
        </w:rPr>
        <w:t>2024年10月8号凭证支付办公室日常支出20，637.00元。发票有明细，合同与验收无明细。2024年3月18号凭证支付日常办公用品6,983.00元。合同内无明细清单，附件有明细清单。</w:t>
      </w:r>
      <w:r>
        <w:rPr>
          <w:rFonts w:hint="eastAsia" w:ascii="仿宋" w:hAnsi="仿宋" w:eastAsia="仿宋" w:cs="仿宋"/>
          <w:b/>
          <w:bCs/>
          <w:sz w:val="32"/>
          <w:szCs w:val="32"/>
          <w:highlight w:val="none"/>
          <w:lang w:val="en-US" w:eastAsia="zh-CN"/>
        </w:rPr>
        <w:t>二是</w:t>
      </w:r>
      <w:r>
        <w:rPr>
          <w:rFonts w:hint="eastAsia" w:ascii="仿宋" w:hAnsi="仿宋" w:eastAsia="仿宋" w:cs="仿宋"/>
          <w:sz w:val="32"/>
          <w:szCs w:val="32"/>
          <w:highlight w:val="none"/>
          <w:lang w:val="en-US" w:eastAsia="zh-CN"/>
        </w:rPr>
        <w:t>2024年1月9号凭证支付2024年春节慰问台胞台属后附常清单有台胞台属联谊会盖章，有人员银行账号，但通过工资账户支付慰问金，无回单，无收款签字确认，后附台胞台属清单无对应人员联系电话。</w:t>
      </w:r>
      <w:r>
        <w:rPr>
          <w:rFonts w:hint="eastAsia" w:ascii="仿宋" w:hAnsi="仿宋" w:eastAsia="仿宋" w:cs="仿宋"/>
          <w:b/>
          <w:bCs/>
          <w:sz w:val="32"/>
          <w:szCs w:val="32"/>
          <w:highlight w:val="none"/>
          <w:lang w:val="en-US" w:eastAsia="zh-CN"/>
        </w:rPr>
        <w:t>三是</w:t>
      </w:r>
      <w:r>
        <w:rPr>
          <w:rFonts w:hint="eastAsia" w:ascii="仿宋" w:hAnsi="仿宋" w:eastAsia="仿宋" w:cs="仿宋"/>
          <w:sz w:val="32"/>
          <w:szCs w:val="32"/>
          <w:highlight w:val="none"/>
          <w:lang w:val="en-US" w:eastAsia="zh-CN"/>
        </w:rPr>
        <w:t>2024年4月3号凭证支付核算云会计软件3,500.00元，合同未标明业务起止日期。</w:t>
      </w:r>
      <w:r>
        <w:rPr>
          <w:rFonts w:hint="eastAsia" w:ascii="仿宋" w:hAnsi="仿宋" w:eastAsia="仿宋" w:cs="仿宋"/>
          <w:b/>
          <w:bCs/>
          <w:sz w:val="32"/>
          <w:szCs w:val="32"/>
          <w:highlight w:val="none"/>
          <w:lang w:val="en-US" w:eastAsia="zh-CN"/>
        </w:rPr>
        <w:t>四是</w:t>
      </w:r>
      <w:r>
        <w:rPr>
          <w:rFonts w:hint="eastAsia" w:ascii="仿宋" w:hAnsi="仿宋" w:eastAsia="仿宋" w:cs="仿宋"/>
          <w:sz w:val="32"/>
          <w:szCs w:val="32"/>
          <w:highlight w:val="none"/>
          <w:lang w:val="en-US" w:eastAsia="zh-CN"/>
        </w:rPr>
        <w:t>2024年4月26号凭证支付全区通讯录加印费8,400.00元后未附有印刷样本。</w:t>
      </w:r>
      <w:r>
        <w:rPr>
          <w:rFonts w:hint="eastAsia" w:ascii="仿宋" w:hAnsi="仿宋" w:eastAsia="仿宋" w:cs="仿宋"/>
          <w:b/>
          <w:bCs/>
          <w:sz w:val="32"/>
          <w:szCs w:val="32"/>
          <w:highlight w:val="none"/>
          <w:lang w:val="en-US" w:eastAsia="zh-CN"/>
        </w:rPr>
        <w:t>五是</w:t>
      </w:r>
      <w:r>
        <w:rPr>
          <w:rFonts w:hint="eastAsia" w:ascii="仿宋" w:hAnsi="仿宋" w:eastAsia="仿宋" w:cs="仿宋"/>
          <w:sz w:val="32"/>
          <w:szCs w:val="32"/>
          <w:highlight w:val="none"/>
          <w:lang w:val="en-US" w:eastAsia="zh-CN"/>
        </w:rPr>
        <w:t>2024年1至6月业务发生时间，合同签订时间2024年8月，后附送货单或销售清单，合同及验收单内均未列明货物品种与数量。2024年10月18号凭证支付7,750.00元。后无印刷打印制作的样本。有明细清单汇总。2024年12月12号凭证支付办公用品及耗材9,055.00元，业务在前，合同在后。有每次送货清单，无汇总结算清单。</w:t>
      </w:r>
      <w:r>
        <w:rPr>
          <w:rFonts w:hint="eastAsia" w:ascii="仿宋" w:hAnsi="仿宋" w:eastAsia="仿宋" w:cs="仿宋"/>
          <w:b/>
          <w:bCs/>
          <w:sz w:val="32"/>
          <w:szCs w:val="32"/>
          <w:highlight w:val="none"/>
          <w:lang w:val="en-US" w:eastAsia="zh-CN"/>
        </w:rPr>
        <w:t>六是</w:t>
      </w:r>
      <w:r>
        <w:rPr>
          <w:rFonts w:hint="eastAsia" w:ascii="仿宋" w:hAnsi="仿宋" w:eastAsia="仿宋" w:cs="仿宋"/>
          <w:sz w:val="32"/>
          <w:szCs w:val="32"/>
          <w:highlight w:val="none"/>
          <w:lang w:val="en-US" w:eastAsia="zh-CN"/>
        </w:rPr>
        <w:t>2024年12月31号凭证支付跨期费用，支付2022年的节目制作单费用780.00元。后附有收款方的说明。2024年12月37号凭证支付印制保密工作资料2,597.60元，后未附有打印制作的样本。</w:t>
      </w:r>
      <w:r>
        <w:rPr>
          <w:rFonts w:hint="eastAsia" w:ascii="仿宋" w:hAnsi="仿宋" w:eastAsia="仿宋" w:cs="仿宋"/>
          <w:b/>
          <w:bCs/>
          <w:sz w:val="32"/>
          <w:szCs w:val="32"/>
          <w:highlight w:val="none"/>
          <w:lang w:val="en-US" w:eastAsia="zh-CN"/>
        </w:rPr>
        <w:t>七是</w:t>
      </w:r>
      <w:r>
        <w:rPr>
          <w:rFonts w:hint="eastAsia" w:ascii="仿宋" w:hAnsi="仿宋" w:eastAsia="仿宋" w:cs="仿宋"/>
          <w:sz w:val="32"/>
          <w:szCs w:val="32"/>
          <w:highlight w:val="none"/>
          <w:lang w:val="en-US" w:eastAsia="zh-CN"/>
        </w:rPr>
        <w:t>2024年4月14号凭证支付慰问区直机关困境妇女儿童费12,000.00元。代收代付慰问费，打入工资账户，后有领款人签字确认表。未直接打入慰问人员账户。八是预付食堂餐费191，889.00元，未结算食堂餐费。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58"/>
      </w:tblGrid>
      <w:tr w14:paraId="0C7AE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Pr>
          <w:p w14:paraId="0B966C4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drawing>
                <wp:inline distT="0" distB="0" distL="114300" distR="114300">
                  <wp:extent cx="2529840" cy="1176655"/>
                  <wp:effectExtent l="0" t="0" r="3810" b="4445"/>
                  <wp:docPr id="11" name="图片 11" descr="区为报告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区为报告_1"/>
                          <pic:cNvPicPr>
                            <a:picLocks noChangeAspect="1"/>
                          </pic:cNvPicPr>
                        </pic:nvPicPr>
                        <pic:blipFill>
                          <a:blip r:embed="rId25"/>
                          <a:stretch>
                            <a:fillRect/>
                          </a:stretch>
                        </pic:blipFill>
                        <pic:spPr>
                          <a:xfrm>
                            <a:off x="0" y="0"/>
                            <a:ext cx="2529840" cy="1176655"/>
                          </a:xfrm>
                          <a:prstGeom prst="rect">
                            <a:avLst/>
                          </a:prstGeom>
                        </pic:spPr>
                      </pic:pic>
                    </a:graphicData>
                  </a:graphic>
                </wp:inline>
              </w:drawing>
            </w:r>
          </w:p>
        </w:tc>
        <w:tc>
          <w:tcPr>
            <w:tcW w:w="4258" w:type="dxa"/>
          </w:tcPr>
          <w:p w14:paraId="31C2C28F">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drawing>
                <wp:inline distT="0" distB="0" distL="114300" distR="114300">
                  <wp:extent cx="2540000" cy="1276350"/>
                  <wp:effectExtent l="0" t="0" r="12700" b="0"/>
                  <wp:docPr id="13" name="图片 13" descr="区为报告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区为报告_2"/>
                          <pic:cNvPicPr>
                            <a:picLocks noChangeAspect="1"/>
                          </pic:cNvPicPr>
                        </pic:nvPicPr>
                        <pic:blipFill>
                          <a:blip r:embed="rId26"/>
                          <a:stretch>
                            <a:fillRect/>
                          </a:stretch>
                        </pic:blipFill>
                        <pic:spPr>
                          <a:xfrm>
                            <a:off x="0" y="0"/>
                            <a:ext cx="2540000" cy="1276350"/>
                          </a:xfrm>
                          <a:prstGeom prst="rect">
                            <a:avLst/>
                          </a:prstGeom>
                        </pic:spPr>
                      </pic:pic>
                    </a:graphicData>
                  </a:graphic>
                </wp:inline>
              </w:drawing>
            </w:r>
          </w:p>
        </w:tc>
      </w:tr>
      <w:tr w14:paraId="47363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8" w:type="dxa"/>
          </w:tcPr>
          <w:p w14:paraId="75B9D10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sz w:val="32"/>
                <w:szCs w:val="32"/>
                <w:vertAlign w:val="baseline"/>
                <w:lang w:val="en-US" w:eastAsia="zh-CN"/>
              </w:rPr>
            </w:pPr>
            <w:r>
              <w:rPr>
                <w:rFonts w:hint="eastAsia" w:ascii="仿宋" w:hAnsi="仿宋" w:eastAsia="仿宋" w:cs="仿宋"/>
                <w:b/>
                <w:bCs/>
                <w:sz w:val="32"/>
                <w:szCs w:val="32"/>
                <w:vertAlign w:val="baseline"/>
                <w:lang w:val="en-US" w:eastAsia="zh-CN"/>
              </w:rPr>
              <w:drawing>
                <wp:inline distT="0" distB="0" distL="114300" distR="114300">
                  <wp:extent cx="2534920" cy="1277620"/>
                  <wp:effectExtent l="0" t="0" r="17780" b="17780"/>
                  <wp:docPr id="18" name="图片 18" descr="区为报告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区为报告_4"/>
                          <pic:cNvPicPr>
                            <a:picLocks noChangeAspect="1"/>
                          </pic:cNvPicPr>
                        </pic:nvPicPr>
                        <pic:blipFill>
                          <a:blip r:embed="rId27"/>
                          <a:stretch>
                            <a:fillRect/>
                          </a:stretch>
                        </pic:blipFill>
                        <pic:spPr>
                          <a:xfrm>
                            <a:off x="0" y="0"/>
                            <a:ext cx="2534920" cy="1277620"/>
                          </a:xfrm>
                          <a:prstGeom prst="rect">
                            <a:avLst/>
                          </a:prstGeom>
                        </pic:spPr>
                      </pic:pic>
                    </a:graphicData>
                  </a:graphic>
                </wp:inline>
              </w:drawing>
            </w:r>
          </w:p>
        </w:tc>
        <w:tc>
          <w:tcPr>
            <w:tcW w:w="4258" w:type="dxa"/>
          </w:tcPr>
          <w:p w14:paraId="72D060F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vertAlign w:val="baseline"/>
                <w:lang w:val="en-US" w:eastAsia="zh-CN"/>
              </w:rPr>
            </w:pPr>
          </w:p>
        </w:tc>
      </w:tr>
    </w:tbl>
    <w:p w14:paraId="6C95C375">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4.“三公”经费重分类数汇总及分析</w:t>
      </w:r>
    </w:p>
    <w:p w14:paraId="4BA221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（1）区委办公室2024年度无因公出国（境）费。（2）区委办公室2024年度两辆车即湘DG0006与湘DL0633公车公车运行及维护费81,639.00元，存在业务发生在前，合同签订在后情况。</w:t>
      </w:r>
      <w:r>
        <w:rPr>
          <w:rFonts w:hint="eastAsia" w:ascii="仿宋" w:hAnsi="仿宋" w:eastAsia="仿宋" w:cs="仿宋"/>
          <w:b/>
          <w:bCs/>
          <w:sz w:val="32"/>
          <w:szCs w:val="32"/>
          <w:lang w:val="en-US" w:eastAsia="zh-CN"/>
        </w:rPr>
        <w:t>与交通费相关联事项：</w:t>
      </w:r>
      <w:r>
        <w:rPr>
          <w:rFonts w:hint="eastAsia" w:ascii="仿宋" w:hAnsi="仿宋" w:eastAsia="仿宋" w:cs="仿宋"/>
          <w:b w:val="0"/>
          <w:bCs w:val="0"/>
          <w:sz w:val="32"/>
          <w:szCs w:val="32"/>
          <w:lang w:val="en-US" w:eastAsia="zh-CN"/>
        </w:rPr>
        <w:t>另存在交通补贴造表发放，发放表未见人力资源部或组织部审批盖章，有本部门领导签字。（3）区委办公室2024年度公务接待费1,680.00元。</w:t>
      </w:r>
    </w:p>
    <w:p w14:paraId="4B1FA7D4">
      <w:pPr>
        <w:pStyle w:val="8"/>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注：2024年收到车码头汽车养护公司退区委办公室2021年11月至2023年12月洗车费3,250.00元。详见2024年12月46号凭证。询问原因为巡察组检查认为同等情况下，洗车费超标，与其他单位标准不同。回复及整改为确保与其他单位在同一洗车店同样洗车标准，已同洗车店协商，对方同意按区内其他单位标准收费，并将多收款项退回区委办。</w:t>
      </w:r>
    </w:p>
    <w:p w14:paraId="0DCCA9D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5.会议费情况汇总</w:t>
      </w:r>
    </w:p>
    <w:p w14:paraId="3BCB1E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yellow"/>
          <w:lang w:val="en-US" w:eastAsia="zh-CN"/>
        </w:rPr>
      </w:pPr>
      <w:r>
        <w:rPr>
          <w:rFonts w:hint="eastAsia" w:ascii="仿宋" w:hAnsi="仿宋" w:eastAsia="仿宋" w:cs="仿宋"/>
          <w:b w:val="0"/>
          <w:bCs w:val="0"/>
          <w:sz w:val="32"/>
          <w:szCs w:val="32"/>
          <w:highlight w:val="none"/>
          <w:lang w:val="en-US" w:eastAsia="zh-CN"/>
        </w:rPr>
        <w:t>2024年会议费内容为区委五届五次全会暨区委经济工作会议资料制作、区委五届五次全会暨区委经济工作会议视频制作、区委五届六次全会及上半年经济运行分析会议资料印制，金额合计29,422.80元。</w:t>
      </w:r>
    </w:p>
    <w:p w14:paraId="4222F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6.办公经费情况汇总</w:t>
      </w:r>
    </w:p>
    <w:p w14:paraId="1100C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b w:val="0"/>
          <w:bCs w:val="0"/>
          <w:sz w:val="32"/>
          <w:szCs w:val="32"/>
          <w:lang w:val="en-US" w:eastAsia="zh-CN"/>
        </w:rPr>
        <w:t>基本支出-公用经费-办公经费重分类数295,147.00元，具体情况请见基本支出-公用经费情况汇总分析。</w:t>
      </w:r>
    </w:p>
    <w:p w14:paraId="02FA753B">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outlineLvl w:val="9"/>
        <w:rPr>
          <w:rFonts w:hint="eastAsia" w:ascii="仿宋" w:hAnsi="仿宋" w:eastAsia="仿宋" w:cs="仿宋"/>
          <w:b/>
          <w:bCs/>
          <w:sz w:val="32"/>
          <w:szCs w:val="32"/>
          <w:lang w:val="en-US" w:eastAsia="zh-CN"/>
        </w:rPr>
      </w:pPr>
      <w:r>
        <w:drawing>
          <wp:inline distT="0" distB="0" distL="114300" distR="114300">
            <wp:extent cx="5486400" cy="2038350"/>
            <wp:effectExtent l="9525" t="9525" r="9525" b="9525"/>
            <wp:docPr id="28" name="图片 3"/>
            <wp:cNvGraphicFramePr/>
            <a:graphic xmlns:a="http://schemas.openxmlformats.org/drawingml/2006/main">
              <a:graphicData uri="http://schemas.openxmlformats.org/drawingml/2006/picture">
                <pic:pic xmlns:pic="http://schemas.openxmlformats.org/drawingml/2006/picture">
                  <pic:nvPicPr>
                    <pic:cNvPr id="28" name="图片 3"/>
                    <pic:cNvPicPr/>
                  </pic:nvPicPr>
                  <pic:blipFill>
                    <a:blip r:embed="rId28"/>
                  </pic:blipFill>
                  <pic:spPr>
                    <a:xfrm>
                      <a:off x="0" y="0"/>
                      <a:ext cx="5486400" cy="2038350"/>
                    </a:xfrm>
                    <a:prstGeom prst="rect">
                      <a:avLst/>
                    </a:prstGeom>
                    <a:solidFill>
                      <a:srgbClr val="FFFFFF"/>
                    </a:solidFill>
                    <a:ln w="9525">
                      <a:solidFill>
                        <a:srgbClr val="000000"/>
                      </a:solidFill>
                    </a:ln>
                  </pic:spPr>
                </pic:pic>
              </a:graphicData>
            </a:graphic>
          </wp:inline>
        </w:drawing>
      </w:r>
    </w:p>
    <w:p w14:paraId="1448D1C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7.新增财政性支出情况汇总</w:t>
      </w:r>
    </w:p>
    <w:p w14:paraId="1D7F44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无新增财政性支出。</w:t>
      </w:r>
    </w:p>
    <w:p w14:paraId="5FA83342">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2" w:name="_Toc8573"/>
      <w:r>
        <w:rPr>
          <w:rFonts w:hint="eastAsia" w:ascii="楷体" w:hAnsi="楷体" w:eastAsia="楷体" w:cs="楷体"/>
          <w:b/>
          <w:bCs/>
          <w:sz w:val="32"/>
          <w:szCs w:val="32"/>
          <w:lang w:eastAsia="zh-CN"/>
        </w:rPr>
        <w:t>预算</w:t>
      </w:r>
      <w:r>
        <w:rPr>
          <w:rFonts w:hint="eastAsia" w:ascii="楷体" w:hAnsi="楷体" w:eastAsia="楷体" w:cs="楷体"/>
          <w:b/>
          <w:bCs/>
          <w:sz w:val="32"/>
          <w:szCs w:val="32"/>
          <w:lang w:val="en-US" w:eastAsia="zh-CN"/>
        </w:rPr>
        <w:t>管理情况及分析</w:t>
      </w:r>
      <w:bookmarkEnd w:id="32"/>
    </w:p>
    <w:p w14:paraId="7107F7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1.预算管理情况</w:t>
      </w:r>
    </w:p>
    <w:p w14:paraId="4FB2880D">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w:t>
      </w:r>
      <w:r>
        <w:rPr>
          <w:rFonts w:hint="eastAsia" w:ascii="仿宋" w:hAnsi="仿宋" w:eastAsia="仿宋" w:cs="仿宋"/>
          <w:b w:val="0"/>
          <w:bCs w:val="0"/>
          <w:sz w:val="32"/>
          <w:szCs w:val="32"/>
          <w:highlight w:val="none"/>
          <w:lang w:val="en-US" w:eastAsia="zh-CN"/>
        </w:rPr>
        <w:t>部门在预算管理方面建立的制度。</w:t>
      </w:r>
      <w:r>
        <w:rPr>
          <w:rFonts w:hint="eastAsia" w:ascii="仿宋" w:hAnsi="仿宋" w:eastAsia="仿宋" w:cs="仿宋"/>
          <w:b/>
          <w:bCs/>
          <w:sz w:val="32"/>
          <w:szCs w:val="32"/>
          <w:highlight w:val="none"/>
          <w:lang w:val="en-US" w:eastAsia="zh-CN"/>
        </w:rPr>
        <w:t>未提供财务管理制度及政府采购内部控制制度，预算管理制度，合同管理制度，专项资金管理办法，绩效管理制度，信息化管理制度，决算与财务报告制度，监督与审计制度，工会管理制度等。</w:t>
      </w:r>
    </w:p>
    <w:p w14:paraId="5B140CF2">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（2）预算管理相关的信息化工具。</w:t>
      </w:r>
      <w:r>
        <w:rPr>
          <w:rFonts w:hint="eastAsia" w:ascii="Times New Roman" w:hAnsi="Times New Roman" w:eastAsia="仿宋_GB2312" w:cs="Times New Roman"/>
          <w:color w:val="auto"/>
          <w:sz w:val="32"/>
          <w:szCs w:val="32"/>
          <w:highlight w:val="none"/>
          <w:lang w:val="en-US" w:eastAsia="zh-CN"/>
        </w:rPr>
        <w:t>使用财政预算一体化信息系统。</w:t>
      </w:r>
    </w:p>
    <w:p w14:paraId="60BB84EB">
      <w:pPr>
        <w:keepNext w:val="0"/>
        <w:keepLines w:val="0"/>
        <w:pageBreakBefore w:val="0"/>
        <w:widowControl/>
        <w:kinsoku/>
        <w:wordWrap/>
        <w:overflowPunct/>
        <w:topLinePunct w:val="0"/>
        <w:autoSpaceDE/>
        <w:autoSpaceDN/>
        <w:bidi w:val="0"/>
        <w:adjustRightInd w:val="0"/>
        <w:snapToGrid w:val="0"/>
        <w:spacing w:line="560" w:lineRule="exact"/>
        <w:ind w:left="0" w:leftChars="0"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（3）预算信息公开情况。</w:t>
      </w:r>
      <w:r>
        <w:rPr>
          <w:rFonts w:hint="eastAsia" w:ascii="Times New Roman" w:hAnsi="Times New Roman" w:eastAsia="仿宋_GB2312" w:cs="Times New Roman"/>
          <w:b w:val="0"/>
          <w:bCs w:val="0"/>
          <w:color w:val="auto"/>
          <w:sz w:val="32"/>
          <w:szCs w:val="32"/>
          <w:highlight w:val="none"/>
          <w:lang w:val="en-US" w:eastAsia="zh-CN"/>
        </w:rPr>
        <w:t>在</w:t>
      </w:r>
      <w:r>
        <w:rPr>
          <w:rFonts w:hint="eastAsia" w:ascii="Times New Roman" w:hAnsi="Times New Roman" w:eastAsia="仿宋_GB2312" w:cs="Times New Roman"/>
          <w:color w:val="auto"/>
          <w:sz w:val="32"/>
          <w:szCs w:val="32"/>
          <w:highlight w:val="none"/>
          <w:lang w:val="en-US" w:eastAsia="zh-CN"/>
        </w:rPr>
        <w:t>衡阳雁峰区政府网上可以查到区委办公室的2024年预算公开信息。</w:t>
      </w:r>
    </w:p>
    <w:p w14:paraId="74AE0D6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2.预算管理分析</w:t>
      </w:r>
    </w:p>
    <w:p w14:paraId="5771DD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（1）制度健全性。</w:t>
      </w:r>
      <w:r>
        <w:rPr>
          <w:rFonts w:hint="eastAsia" w:ascii="仿宋" w:hAnsi="仿宋" w:eastAsia="仿宋" w:cs="仿宋"/>
          <w:b w:val="0"/>
          <w:bCs w:val="0"/>
          <w:sz w:val="32"/>
          <w:szCs w:val="32"/>
          <w:lang w:val="en-US" w:eastAsia="zh-CN"/>
        </w:rPr>
        <w:t>未提供</w:t>
      </w:r>
      <w:r>
        <w:rPr>
          <w:rFonts w:hint="eastAsia" w:ascii="仿宋" w:hAnsi="仿宋" w:eastAsia="仿宋" w:cs="仿宋"/>
          <w:b w:val="0"/>
          <w:bCs w:val="0"/>
          <w:sz w:val="32"/>
          <w:szCs w:val="32"/>
          <w:highlight w:val="none"/>
          <w:lang w:val="en-US" w:eastAsia="zh-CN"/>
        </w:rPr>
        <w:t>财务管理制度及相关管理制度。</w:t>
      </w:r>
    </w:p>
    <w:p w14:paraId="02209D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（2）执行有效性。</w:t>
      </w:r>
      <w:r>
        <w:rPr>
          <w:rFonts w:hint="eastAsia" w:ascii="仿宋" w:hAnsi="仿宋" w:eastAsia="仿宋" w:cs="仿宋"/>
          <w:b w:val="0"/>
          <w:bCs w:val="0"/>
          <w:sz w:val="32"/>
          <w:szCs w:val="32"/>
          <w:lang w:val="en-US" w:eastAsia="zh-CN"/>
        </w:rPr>
        <w:t>未提供</w:t>
      </w:r>
      <w:r>
        <w:rPr>
          <w:rFonts w:hint="eastAsia" w:ascii="仿宋" w:hAnsi="仿宋" w:eastAsia="仿宋" w:cs="仿宋"/>
          <w:b w:val="0"/>
          <w:bCs w:val="0"/>
          <w:sz w:val="32"/>
          <w:szCs w:val="32"/>
          <w:highlight w:val="none"/>
          <w:lang w:val="en-US" w:eastAsia="zh-CN"/>
        </w:rPr>
        <w:t>财务管理制度及相关管理制度。存在不足之处详见整体支出汇总及分析。</w:t>
      </w:r>
    </w:p>
    <w:p w14:paraId="1100C8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（3）监控预警能力。</w:t>
      </w:r>
      <w:r>
        <w:rPr>
          <w:rFonts w:hint="eastAsia" w:ascii="仿宋" w:hAnsi="仿宋" w:eastAsia="仿宋" w:cs="仿宋"/>
          <w:b w:val="0"/>
          <w:bCs w:val="0"/>
          <w:sz w:val="32"/>
          <w:szCs w:val="32"/>
          <w:highlight w:val="none"/>
          <w:lang w:val="en-US" w:eastAsia="zh-CN"/>
        </w:rPr>
        <w:t>政府会计系统通过“指标-支出-核算”一体化管理，在一定程度上实现了预算执行全流程监控。</w:t>
      </w:r>
    </w:p>
    <w:p w14:paraId="3F3089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（4）信息化支撑。</w:t>
      </w:r>
      <w:r>
        <w:rPr>
          <w:rFonts w:hint="eastAsia" w:ascii="仿宋" w:hAnsi="仿宋" w:eastAsia="仿宋" w:cs="仿宋"/>
          <w:b w:val="0"/>
          <w:bCs w:val="0"/>
          <w:sz w:val="32"/>
          <w:szCs w:val="32"/>
          <w:lang w:val="en-US" w:eastAsia="zh-CN"/>
        </w:rPr>
        <w:t>实现预算编制、执行、核算、决算全流程线上化，有效支撑了预算管理和监控。</w:t>
      </w:r>
    </w:p>
    <w:p w14:paraId="234E2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（5）管理规范性。未提供预算调整批复文件。存在基本支出挤占项目支出的情况</w:t>
      </w:r>
      <w:r>
        <w:rPr>
          <w:rFonts w:hint="eastAsia" w:ascii="仿宋" w:hAnsi="仿宋" w:eastAsia="仿宋" w:cs="仿宋"/>
          <w:b w:val="0"/>
          <w:bCs w:val="0"/>
          <w:sz w:val="32"/>
          <w:szCs w:val="32"/>
          <w:highlight w:val="none"/>
          <w:lang w:val="en-US" w:eastAsia="zh-CN"/>
        </w:rPr>
        <w:t>。详见整体支出汇总及分析。</w:t>
      </w:r>
    </w:p>
    <w:p w14:paraId="2F3BF7F0">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33" w:name="_Toc30551"/>
      <w:r>
        <w:rPr>
          <w:rFonts w:hint="eastAsia" w:ascii="楷体" w:hAnsi="楷体" w:eastAsia="楷体" w:cs="楷体"/>
          <w:b/>
          <w:bCs/>
          <w:sz w:val="32"/>
          <w:szCs w:val="32"/>
          <w:lang w:val="en-US" w:eastAsia="zh-CN"/>
        </w:rPr>
        <w:t>工资管理情况及分析</w:t>
      </w:r>
      <w:bookmarkEnd w:id="33"/>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未提供发放职工津贴与车补的相关文件。未提供工资流程及工资管理制度。未提供相关审计检查文件或资料。</w:t>
      </w:r>
    </w:p>
    <w:p w14:paraId="6323CA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2.检查凭证过程中，发现存在以下情况：</w:t>
      </w:r>
    </w:p>
    <w:p w14:paraId="621B8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一是</w:t>
      </w:r>
      <w:r>
        <w:rPr>
          <w:rFonts w:hint="default" w:ascii="仿宋" w:hAnsi="仿宋" w:eastAsia="仿宋" w:cs="仿宋"/>
          <w:b w:val="0"/>
          <w:bCs w:val="0"/>
          <w:sz w:val="32"/>
          <w:szCs w:val="32"/>
          <w:highlight w:val="none"/>
          <w:lang w:val="en-US" w:eastAsia="zh-CN"/>
        </w:rPr>
        <w:t>工资后附国库支付单，</w:t>
      </w:r>
      <w:r>
        <w:rPr>
          <w:rFonts w:hint="eastAsia" w:ascii="仿宋" w:hAnsi="仿宋" w:eastAsia="仿宋" w:cs="仿宋"/>
          <w:b w:val="0"/>
          <w:bCs w:val="0"/>
          <w:sz w:val="32"/>
          <w:szCs w:val="32"/>
          <w:highlight w:val="none"/>
          <w:lang w:val="en-US" w:eastAsia="zh-CN"/>
        </w:rPr>
        <w:t>工资明细表，</w:t>
      </w:r>
      <w:r>
        <w:rPr>
          <w:rFonts w:hint="default" w:ascii="仿宋" w:hAnsi="仿宋" w:eastAsia="仿宋" w:cs="仿宋"/>
          <w:b w:val="0"/>
          <w:bCs w:val="0"/>
          <w:sz w:val="32"/>
          <w:szCs w:val="32"/>
          <w:highlight w:val="none"/>
          <w:lang w:val="en-US" w:eastAsia="zh-CN"/>
        </w:rPr>
        <w:t>无回单，无</w:t>
      </w:r>
      <w:r>
        <w:rPr>
          <w:rFonts w:hint="eastAsia" w:ascii="仿宋" w:hAnsi="仿宋" w:eastAsia="仿宋" w:cs="仿宋"/>
          <w:b w:val="0"/>
          <w:bCs w:val="0"/>
          <w:sz w:val="32"/>
          <w:szCs w:val="32"/>
          <w:highlight w:val="none"/>
          <w:lang w:val="en-US" w:eastAsia="zh-CN"/>
        </w:rPr>
        <w:t>人力资源或组织部签字</w:t>
      </w:r>
      <w:r>
        <w:rPr>
          <w:rFonts w:hint="default" w:ascii="仿宋" w:hAnsi="仿宋" w:eastAsia="仿宋" w:cs="仿宋"/>
          <w:b w:val="0"/>
          <w:bCs w:val="0"/>
          <w:sz w:val="32"/>
          <w:szCs w:val="32"/>
          <w:highlight w:val="none"/>
          <w:lang w:val="en-US" w:eastAsia="zh-CN"/>
        </w:rPr>
        <w:t>审批</w:t>
      </w:r>
      <w:r>
        <w:rPr>
          <w:rFonts w:hint="eastAsia" w:ascii="仿宋" w:hAnsi="仿宋" w:eastAsia="仿宋" w:cs="仿宋"/>
          <w:b w:val="0"/>
          <w:bCs w:val="0"/>
          <w:sz w:val="32"/>
          <w:szCs w:val="32"/>
          <w:highlight w:val="none"/>
          <w:lang w:val="en-US" w:eastAsia="zh-CN"/>
        </w:rPr>
        <w:t>盖章</w:t>
      </w:r>
      <w:r>
        <w:rPr>
          <w:rFonts w:hint="default"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二是</w:t>
      </w:r>
      <w:r>
        <w:rPr>
          <w:rFonts w:hint="default" w:ascii="仿宋" w:hAnsi="仿宋" w:eastAsia="仿宋" w:cs="仿宋"/>
          <w:b w:val="0"/>
          <w:bCs w:val="0"/>
          <w:sz w:val="32"/>
          <w:szCs w:val="32"/>
          <w:highlight w:val="none"/>
          <w:lang w:val="en-US" w:eastAsia="zh-CN"/>
        </w:rPr>
        <w:t>后附计提五险一金表</w:t>
      </w:r>
      <w:r>
        <w:rPr>
          <w:rFonts w:hint="eastAsia" w:ascii="仿宋" w:hAnsi="仿宋" w:eastAsia="仿宋" w:cs="仿宋"/>
          <w:b w:val="0"/>
          <w:bCs w:val="0"/>
          <w:sz w:val="32"/>
          <w:szCs w:val="32"/>
          <w:highlight w:val="none"/>
          <w:lang w:val="en-US" w:eastAsia="zh-CN"/>
        </w:rPr>
        <w:t>有计提对应人员明细，无</w:t>
      </w:r>
      <w:r>
        <w:rPr>
          <w:rFonts w:hint="default" w:ascii="仿宋" w:hAnsi="仿宋" w:eastAsia="仿宋" w:cs="仿宋"/>
          <w:b w:val="0"/>
          <w:bCs w:val="0"/>
          <w:sz w:val="32"/>
          <w:szCs w:val="32"/>
          <w:highlight w:val="none"/>
          <w:lang w:val="en-US" w:eastAsia="zh-CN"/>
        </w:rPr>
        <w:t>人力资源审批签字</w:t>
      </w:r>
      <w:r>
        <w:rPr>
          <w:rFonts w:hint="eastAsia" w:ascii="仿宋" w:hAnsi="仿宋" w:eastAsia="仿宋" w:cs="仿宋"/>
          <w:b w:val="0"/>
          <w:bCs w:val="0"/>
          <w:sz w:val="32"/>
          <w:szCs w:val="32"/>
          <w:highlight w:val="none"/>
          <w:lang w:val="en-US" w:eastAsia="zh-CN"/>
        </w:rPr>
        <w:t>盖章</w:t>
      </w:r>
      <w:r>
        <w:rPr>
          <w:rFonts w:hint="default"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三是</w:t>
      </w:r>
      <w:r>
        <w:rPr>
          <w:rFonts w:hint="default" w:ascii="仿宋" w:hAnsi="仿宋" w:eastAsia="仿宋" w:cs="仿宋"/>
          <w:b w:val="0"/>
          <w:bCs w:val="0"/>
          <w:sz w:val="32"/>
          <w:szCs w:val="32"/>
          <w:highlight w:val="none"/>
          <w:lang w:val="en-US" w:eastAsia="zh-CN"/>
        </w:rPr>
        <w:t>住房公积金</w:t>
      </w:r>
      <w:r>
        <w:rPr>
          <w:rFonts w:hint="eastAsia" w:ascii="仿宋" w:hAnsi="仿宋" w:eastAsia="仿宋" w:cs="仿宋"/>
          <w:b w:val="0"/>
          <w:bCs w:val="0"/>
          <w:sz w:val="32"/>
          <w:szCs w:val="32"/>
          <w:highlight w:val="none"/>
          <w:lang w:val="en-US" w:eastAsia="zh-CN"/>
        </w:rPr>
        <w:t>的计提依据</w:t>
      </w:r>
      <w:r>
        <w:rPr>
          <w:rFonts w:hint="default" w:ascii="仿宋" w:hAnsi="仿宋" w:eastAsia="仿宋" w:cs="仿宋"/>
          <w:b w:val="0"/>
          <w:bCs w:val="0"/>
          <w:sz w:val="32"/>
          <w:szCs w:val="32"/>
          <w:highlight w:val="none"/>
          <w:lang w:val="en-US" w:eastAsia="zh-CN"/>
        </w:rPr>
        <w:t>，</w:t>
      </w:r>
      <w:r>
        <w:rPr>
          <w:rFonts w:hint="eastAsia" w:ascii="仿宋" w:hAnsi="仿宋" w:eastAsia="仿宋" w:cs="仿宋"/>
          <w:b w:val="0"/>
          <w:bCs w:val="0"/>
          <w:sz w:val="32"/>
          <w:szCs w:val="32"/>
          <w:highlight w:val="none"/>
          <w:lang w:val="en-US" w:eastAsia="zh-CN"/>
        </w:rPr>
        <w:t>有本单位的经办人及领导签字，</w:t>
      </w:r>
      <w:r>
        <w:rPr>
          <w:rFonts w:hint="default" w:ascii="仿宋" w:hAnsi="仿宋" w:eastAsia="仿宋" w:cs="仿宋"/>
          <w:b w:val="0"/>
          <w:bCs w:val="0"/>
          <w:sz w:val="32"/>
          <w:szCs w:val="32"/>
          <w:highlight w:val="none"/>
          <w:lang w:val="en-US" w:eastAsia="zh-CN"/>
        </w:rPr>
        <w:t>无人力资源</w:t>
      </w:r>
      <w:r>
        <w:rPr>
          <w:rFonts w:hint="eastAsia" w:ascii="仿宋" w:hAnsi="仿宋" w:eastAsia="仿宋" w:cs="仿宋"/>
          <w:b w:val="0"/>
          <w:bCs w:val="0"/>
          <w:sz w:val="32"/>
          <w:szCs w:val="32"/>
          <w:highlight w:val="none"/>
          <w:lang w:val="en-US" w:eastAsia="zh-CN"/>
        </w:rPr>
        <w:t>审核签字</w:t>
      </w:r>
      <w:r>
        <w:rPr>
          <w:rFonts w:hint="default" w:ascii="仿宋" w:hAnsi="仿宋" w:eastAsia="仿宋" w:cs="仿宋"/>
          <w:b w:val="0"/>
          <w:bCs w:val="0"/>
          <w:sz w:val="32"/>
          <w:szCs w:val="32"/>
          <w:highlight w:val="none"/>
          <w:lang w:val="en-US" w:eastAsia="zh-CN"/>
        </w:rPr>
        <w:t>盖章</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四是</w:t>
      </w:r>
      <w:r>
        <w:rPr>
          <w:rFonts w:hint="eastAsia" w:ascii="仿宋" w:hAnsi="仿宋" w:eastAsia="仿宋" w:cs="仿宋"/>
          <w:b w:val="0"/>
          <w:bCs w:val="0"/>
          <w:sz w:val="32"/>
          <w:szCs w:val="32"/>
          <w:highlight w:val="none"/>
          <w:lang w:val="en-US" w:eastAsia="zh-CN"/>
        </w:rPr>
        <w:t>津贴补贴表</w:t>
      </w:r>
      <w:r>
        <w:rPr>
          <w:rFonts w:hint="default" w:ascii="仿宋" w:hAnsi="仿宋" w:eastAsia="仿宋" w:cs="仿宋"/>
          <w:b w:val="0"/>
          <w:bCs w:val="0"/>
          <w:sz w:val="32"/>
          <w:szCs w:val="32"/>
          <w:highlight w:val="none"/>
          <w:lang w:val="en-US" w:eastAsia="zh-CN"/>
        </w:rPr>
        <w:t>缺乏人力资源或组织部门的审核</w:t>
      </w:r>
      <w:r>
        <w:rPr>
          <w:rFonts w:hint="eastAsia" w:ascii="仿宋" w:hAnsi="仿宋" w:eastAsia="仿宋" w:cs="仿宋"/>
          <w:b w:val="0"/>
          <w:bCs w:val="0"/>
          <w:sz w:val="32"/>
          <w:szCs w:val="32"/>
          <w:highlight w:val="none"/>
          <w:lang w:val="en-US" w:eastAsia="zh-CN"/>
        </w:rPr>
        <w:t>签字</w:t>
      </w:r>
      <w:r>
        <w:rPr>
          <w:rFonts w:hint="default" w:ascii="仿宋" w:hAnsi="仿宋" w:eastAsia="仿宋" w:cs="仿宋"/>
          <w:b w:val="0"/>
          <w:bCs w:val="0"/>
          <w:sz w:val="32"/>
          <w:szCs w:val="32"/>
          <w:highlight w:val="none"/>
          <w:lang w:val="en-US" w:eastAsia="zh-CN"/>
        </w:rPr>
        <w:t>盖章</w:t>
      </w:r>
      <w:r>
        <w:rPr>
          <w:rFonts w:hint="eastAsia" w:ascii="仿宋" w:hAnsi="仿宋" w:eastAsia="仿宋" w:cs="仿宋"/>
          <w:b w:val="0"/>
          <w:bCs w:val="0"/>
          <w:sz w:val="32"/>
          <w:szCs w:val="32"/>
          <w:highlight w:val="none"/>
          <w:lang w:val="en-US" w:eastAsia="zh-CN"/>
        </w:rPr>
        <w:t>、无回单</w:t>
      </w:r>
      <w:r>
        <w:rPr>
          <w:rFonts w:hint="default" w:ascii="仿宋" w:hAnsi="仿宋" w:eastAsia="仿宋" w:cs="仿宋"/>
          <w:b w:val="0"/>
          <w:bCs w:val="0"/>
          <w:sz w:val="32"/>
          <w:szCs w:val="32"/>
          <w:highlight w:val="none"/>
          <w:lang w:val="en-US" w:eastAsia="zh-CN"/>
        </w:rPr>
        <w:t>。由本单位领导签字，无人力资源</w:t>
      </w:r>
      <w:r>
        <w:rPr>
          <w:rFonts w:hint="eastAsia" w:ascii="仿宋" w:hAnsi="仿宋" w:eastAsia="仿宋" w:cs="仿宋"/>
          <w:b w:val="0"/>
          <w:bCs w:val="0"/>
          <w:sz w:val="32"/>
          <w:szCs w:val="32"/>
          <w:highlight w:val="none"/>
          <w:lang w:val="en-US" w:eastAsia="zh-CN"/>
        </w:rPr>
        <w:t>或组织部</w:t>
      </w:r>
      <w:r>
        <w:rPr>
          <w:rFonts w:hint="default" w:ascii="仿宋" w:hAnsi="仿宋" w:eastAsia="仿宋" w:cs="仿宋"/>
          <w:b w:val="0"/>
          <w:bCs w:val="0"/>
          <w:sz w:val="32"/>
          <w:szCs w:val="32"/>
          <w:highlight w:val="none"/>
          <w:lang w:val="en-US" w:eastAsia="zh-CN"/>
        </w:rPr>
        <w:t>审核。</w:t>
      </w:r>
      <w:r>
        <w:rPr>
          <w:rFonts w:hint="eastAsia" w:ascii="仿宋" w:hAnsi="仿宋" w:eastAsia="仿宋" w:cs="仿宋"/>
          <w:b/>
          <w:bCs/>
          <w:sz w:val="32"/>
          <w:szCs w:val="32"/>
          <w:highlight w:val="none"/>
          <w:lang w:val="en-US" w:eastAsia="zh-CN"/>
        </w:rPr>
        <w:t>五是</w:t>
      </w:r>
      <w:r>
        <w:rPr>
          <w:rFonts w:hint="default" w:ascii="仿宋" w:hAnsi="仿宋" w:eastAsia="仿宋" w:cs="仿宋"/>
          <w:b w:val="0"/>
          <w:bCs w:val="0"/>
          <w:sz w:val="32"/>
          <w:szCs w:val="32"/>
          <w:highlight w:val="none"/>
          <w:lang w:val="en-US" w:eastAsia="zh-CN"/>
        </w:rPr>
        <w:t>发放退休人员补贴由本单位领导签字，无人力资源审核</w:t>
      </w:r>
      <w:r>
        <w:rPr>
          <w:rFonts w:hint="eastAsia" w:ascii="仿宋" w:hAnsi="仿宋" w:eastAsia="仿宋" w:cs="仿宋"/>
          <w:b w:val="0"/>
          <w:bCs w:val="0"/>
          <w:sz w:val="32"/>
          <w:szCs w:val="32"/>
          <w:highlight w:val="none"/>
          <w:lang w:val="en-US" w:eastAsia="zh-CN"/>
        </w:rPr>
        <w:t>，无回单</w:t>
      </w:r>
      <w:r>
        <w:rPr>
          <w:rFonts w:hint="default" w:ascii="仿宋" w:hAnsi="仿宋" w:eastAsia="仿宋" w:cs="仿宋"/>
          <w:b w:val="0"/>
          <w:bCs w:val="0"/>
          <w:sz w:val="32"/>
          <w:szCs w:val="32"/>
          <w:highlight w:val="none"/>
          <w:lang w:val="en-US" w:eastAsia="zh-CN"/>
        </w:rPr>
        <w:t>。</w:t>
      </w:r>
    </w:p>
    <w:p w14:paraId="11FF4B96">
      <w:pPr>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lang w:val="en-US" w:eastAsia="zh-CN"/>
        </w:rPr>
      </w:pPr>
      <w:bookmarkStart w:id="34" w:name="_Toc8461"/>
      <w:r>
        <w:rPr>
          <w:rFonts w:hint="eastAsia" w:ascii="楷体" w:hAnsi="楷体" w:eastAsia="楷体" w:cs="楷体"/>
          <w:b/>
          <w:bCs/>
          <w:sz w:val="32"/>
          <w:szCs w:val="32"/>
          <w:lang w:val="en-US" w:eastAsia="zh-CN"/>
        </w:rPr>
        <w:t>项目支出管理情况及分析</w:t>
      </w:r>
      <w:bookmarkEnd w:id="34"/>
    </w:p>
    <w:p w14:paraId="46964CD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区委办公室未提供项目管理制度，未提供政府采购管理制度。</w:t>
      </w:r>
    </w:p>
    <w:p w14:paraId="7F0D5A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1.项目支出内容包括</w:t>
      </w:r>
      <w:r>
        <w:rPr>
          <w:rFonts w:hint="eastAsia" w:ascii="仿宋" w:hAnsi="仿宋" w:eastAsia="仿宋" w:cs="仿宋"/>
          <w:b w:val="0"/>
          <w:bCs w:val="0"/>
          <w:sz w:val="32"/>
          <w:szCs w:val="32"/>
          <w:lang w:val="en-US" w:eastAsia="zh-CN"/>
        </w:rPr>
        <w:t>工作经费、乡村振兴资金、雁峰区电子公文交换平台、制造立市，文旅兴城项目、还款、加班餐费、南岳第一峰景区视频制作、4.15国家安全教育日、保密法宣传、人力资源服务、档案馆项目、文明创建、春暖湘商等。</w:t>
      </w:r>
    </w:p>
    <w:p w14:paraId="32194612">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center"/>
        <w:textAlignment w:val="auto"/>
        <w:outlineLvl w:val="9"/>
        <w:rPr>
          <w:rFonts w:hint="default" w:ascii="仿宋" w:hAnsi="仿宋" w:eastAsia="仿宋" w:cs="仿宋"/>
          <w:sz w:val="32"/>
          <w:szCs w:val="32"/>
          <w:lang w:val="en-US" w:eastAsia="zh-CN"/>
        </w:rPr>
      </w:pPr>
      <w:r>
        <w:drawing>
          <wp:inline distT="0" distB="0" distL="114300" distR="114300">
            <wp:extent cx="5706110" cy="2762250"/>
            <wp:effectExtent l="9525" t="9525" r="18415" b="9525"/>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29"/>
                  </pic:blipFill>
                  <pic:spPr>
                    <a:xfrm>
                      <a:off x="0" y="0"/>
                      <a:ext cx="5706110" cy="2762250"/>
                    </a:xfrm>
                    <a:prstGeom prst="rect">
                      <a:avLst/>
                    </a:prstGeom>
                    <a:solidFill>
                      <a:srgbClr val="FFFFFF"/>
                    </a:solidFill>
                    <a:ln w="9525">
                      <a:solidFill>
                        <a:srgbClr val="000000"/>
                      </a:solidFill>
                    </a:ln>
                  </pic:spPr>
                </pic:pic>
              </a:graphicData>
            </a:graphic>
          </wp:inline>
        </w:drawing>
      </w:r>
    </w:p>
    <w:p w14:paraId="5BAB12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b w:val="0"/>
          <w:bCs w:val="0"/>
          <w:lang w:val="en-US" w:eastAsia="zh-CN"/>
        </w:rPr>
      </w:pPr>
      <w:r>
        <w:rPr>
          <w:rFonts w:hint="eastAsia" w:ascii="仿宋" w:hAnsi="仿宋" w:eastAsia="仿宋" w:cs="仿宋"/>
          <w:b/>
          <w:bCs/>
          <w:sz w:val="32"/>
          <w:szCs w:val="32"/>
          <w:highlight w:val="none"/>
          <w:lang w:val="en-US" w:eastAsia="zh-CN"/>
        </w:rPr>
        <w:t>2.检查凭证信息，存在以下情况：一是</w:t>
      </w:r>
      <w:r>
        <w:rPr>
          <w:rFonts w:hint="eastAsia" w:ascii="仿宋" w:hAnsi="仿宋" w:eastAsia="仿宋" w:cs="仿宋"/>
          <w:sz w:val="32"/>
          <w:szCs w:val="32"/>
          <w:highlight w:val="none"/>
          <w:lang w:val="en-US" w:eastAsia="zh-CN"/>
        </w:rPr>
        <w:t>2024年1月4号凭证档案馆日常开支3,181.00元。支付工作用餐审批表，未标明加班事由与预算金额。</w:t>
      </w:r>
      <w:r>
        <w:rPr>
          <w:rFonts w:hint="eastAsia" w:ascii="仿宋" w:hAnsi="仿宋" w:eastAsia="仿宋" w:cs="仿宋"/>
          <w:b/>
          <w:bCs/>
          <w:sz w:val="32"/>
          <w:szCs w:val="32"/>
          <w:highlight w:val="none"/>
          <w:lang w:val="en-US" w:eastAsia="zh-CN"/>
        </w:rPr>
        <w:t>二是</w:t>
      </w:r>
      <w:r>
        <w:rPr>
          <w:rFonts w:hint="eastAsia" w:ascii="仿宋" w:hAnsi="仿宋" w:eastAsia="仿宋" w:cs="仿宋"/>
          <w:sz w:val="32"/>
          <w:szCs w:val="32"/>
          <w:highlight w:val="none"/>
          <w:lang w:val="en-US" w:eastAsia="zh-CN"/>
        </w:rPr>
        <w:t>2024年2月8号凭证支付卫生劳务费2,050.00元。支付个人刘春娥，后附整理清单，有时间及用途费用，签名，无合同及验收单。</w:t>
      </w:r>
      <w:r>
        <w:rPr>
          <w:rFonts w:hint="eastAsia" w:ascii="仿宋" w:hAnsi="仿宋" w:eastAsia="仿宋" w:cs="仿宋"/>
          <w:b/>
          <w:bCs/>
          <w:sz w:val="32"/>
          <w:szCs w:val="32"/>
          <w:highlight w:val="none"/>
          <w:lang w:val="en-US" w:eastAsia="zh-CN"/>
        </w:rPr>
        <w:t>三是</w:t>
      </w:r>
      <w:r>
        <w:rPr>
          <w:rFonts w:hint="eastAsia" w:ascii="仿宋" w:hAnsi="仿宋" w:eastAsia="仿宋" w:cs="仿宋"/>
          <w:sz w:val="32"/>
          <w:szCs w:val="32"/>
          <w:highlight w:val="none"/>
          <w:lang w:val="en-US" w:eastAsia="zh-CN"/>
        </w:rPr>
        <w:t>2024年4月10号凭证支付文明创建垃圾清运费7,000.00元。后附国库支付单，往来收据及领导审批。无会议纪要或其他依据。</w:t>
      </w:r>
      <w:r>
        <w:rPr>
          <w:rFonts w:hint="eastAsia" w:ascii="仿宋" w:hAnsi="仿宋" w:eastAsia="仿宋" w:cs="仿宋"/>
          <w:b/>
          <w:bCs/>
          <w:sz w:val="32"/>
          <w:szCs w:val="32"/>
          <w:highlight w:val="none"/>
          <w:lang w:val="en-US" w:eastAsia="zh-CN"/>
        </w:rPr>
        <w:t>四是</w:t>
      </w:r>
      <w:r>
        <w:rPr>
          <w:rFonts w:hint="eastAsia" w:ascii="仿宋" w:hAnsi="仿宋" w:eastAsia="仿宋" w:cs="仿宋"/>
          <w:sz w:val="32"/>
          <w:szCs w:val="32"/>
          <w:highlight w:val="none"/>
          <w:lang w:val="en-US" w:eastAsia="zh-CN"/>
        </w:rPr>
        <w:t>2024年4月15号凭证支付保密法治代言人宣传片拍摄15,220.00元。五</w:t>
      </w:r>
      <w:r>
        <w:rPr>
          <w:rFonts w:hint="eastAsia" w:ascii="仿宋" w:hAnsi="仿宋" w:eastAsia="仿宋" w:cs="仿宋"/>
          <w:b/>
          <w:bCs/>
          <w:sz w:val="32"/>
          <w:szCs w:val="32"/>
          <w:highlight w:val="none"/>
          <w:lang w:val="en-US" w:eastAsia="zh-CN"/>
        </w:rPr>
        <w:t>是</w:t>
      </w:r>
      <w:r>
        <w:rPr>
          <w:rFonts w:hint="eastAsia" w:ascii="仿宋" w:hAnsi="仿宋" w:eastAsia="仿宋" w:cs="仿宋"/>
          <w:sz w:val="32"/>
          <w:szCs w:val="32"/>
          <w:highlight w:val="none"/>
          <w:lang w:val="en-US" w:eastAsia="zh-CN"/>
        </w:rPr>
        <w:t>2024年4月17号凭证支付4.15国家安全教育日宣传展制作9,120.00元。4.18签订电子合同与验收，4.22付款，后附国库支付单，发票，合同，验收单，一张效果图，未提供其他支付款项明细清单及其他附件。六</w:t>
      </w:r>
      <w:r>
        <w:rPr>
          <w:rFonts w:hint="eastAsia" w:ascii="仿宋" w:hAnsi="仿宋" w:eastAsia="仿宋" w:cs="仿宋"/>
          <w:b/>
          <w:bCs/>
          <w:sz w:val="32"/>
          <w:szCs w:val="32"/>
          <w:highlight w:val="none"/>
          <w:lang w:val="en-US" w:eastAsia="zh-CN"/>
        </w:rPr>
        <w:t>是</w:t>
      </w:r>
      <w:r>
        <w:rPr>
          <w:rFonts w:hint="eastAsia" w:ascii="仿宋" w:hAnsi="仿宋" w:eastAsia="仿宋" w:cs="仿宋"/>
          <w:sz w:val="32"/>
          <w:szCs w:val="32"/>
          <w:highlight w:val="none"/>
          <w:lang w:val="en-US" w:eastAsia="zh-CN"/>
        </w:rPr>
        <w:t>2024年4月16号凭证支付保密宣传资料印刷1,800.00元。后未附有印刷样本。</w:t>
      </w:r>
      <w:r>
        <w:rPr>
          <w:rFonts w:hint="eastAsia" w:ascii="仿宋" w:hAnsi="仿宋" w:eastAsia="仿宋" w:cs="仿宋"/>
          <w:b/>
          <w:bCs/>
          <w:sz w:val="32"/>
          <w:szCs w:val="32"/>
          <w:highlight w:val="none"/>
          <w:lang w:val="en-US" w:eastAsia="zh-CN"/>
        </w:rPr>
        <w:t>七是</w:t>
      </w:r>
      <w:r>
        <w:rPr>
          <w:rFonts w:hint="eastAsia" w:ascii="仿宋" w:hAnsi="仿宋" w:eastAsia="仿宋" w:cs="仿宋"/>
          <w:sz w:val="32"/>
          <w:szCs w:val="32"/>
          <w:highlight w:val="none"/>
          <w:lang w:val="en-US" w:eastAsia="zh-CN"/>
        </w:rPr>
        <w:t>2024年7月10号凭证还以前年度2006年岳屏镇政府借款50,000.00元。</w:t>
      </w:r>
      <w:r>
        <w:rPr>
          <w:rFonts w:hint="eastAsia" w:ascii="仿宋" w:hAnsi="仿宋" w:eastAsia="仿宋" w:cs="仿宋"/>
          <w:b/>
          <w:bCs/>
          <w:sz w:val="32"/>
          <w:szCs w:val="32"/>
          <w:highlight w:val="none"/>
          <w:lang w:val="en-US" w:eastAsia="zh-CN"/>
        </w:rPr>
        <w:t>八是</w:t>
      </w:r>
      <w:r>
        <w:rPr>
          <w:rFonts w:hint="eastAsia" w:ascii="仿宋" w:hAnsi="仿宋" w:eastAsia="仿宋" w:cs="仿宋"/>
          <w:sz w:val="32"/>
          <w:szCs w:val="32"/>
          <w:highlight w:val="none"/>
          <w:lang w:val="en-US" w:eastAsia="zh-CN"/>
        </w:rPr>
        <w:t>2024年12月11号凭证支付15,600.00元。用于区委党委视频会议室年度维护和技术支持，无详细的维护业务记录清单，即对应的时间与维护内容。</w:t>
      </w:r>
      <w:r>
        <w:rPr>
          <w:rFonts w:hint="eastAsia" w:ascii="仿宋" w:hAnsi="仿宋" w:eastAsia="仿宋" w:cs="仿宋"/>
          <w:b/>
          <w:bCs/>
          <w:sz w:val="32"/>
          <w:szCs w:val="32"/>
          <w:highlight w:val="none"/>
          <w:lang w:val="en-US" w:eastAsia="zh-CN"/>
        </w:rPr>
        <w:t>八是</w:t>
      </w:r>
      <w:r>
        <w:rPr>
          <w:rFonts w:hint="eastAsia" w:ascii="仿宋" w:hAnsi="仿宋" w:eastAsia="仿宋" w:cs="仿宋"/>
          <w:b w:val="0"/>
          <w:bCs w:val="0"/>
          <w:sz w:val="32"/>
          <w:szCs w:val="32"/>
          <w:highlight w:val="none"/>
          <w:lang w:val="en-US" w:eastAsia="zh-CN"/>
        </w:rPr>
        <w:t>关于项目支出的工作经费148,000.00元，及乡村振兴资金100,000.00元,未作项目支出的效益归纳与总结。</w:t>
      </w:r>
    </w:p>
    <w:p w14:paraId="568AA2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lang w:val="en-US" w:eastAsia="zh-CN"/>
        </w:rPr>
        <w:t>3.项目支出取得效益</w:t>
      </w:r>
    </w:p>
    <w:p w14:paraId="686590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项目支出铸就了运转保障的坚实后盾，催生了区域发展的强劲动能，换取了民生服务的显著提升，树立了改革创新的雁峰品牌。</w:t>
      </w:r>
    </w:p>
    <w:p w14:paraId="2D3ADE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1"/>
        <w:rPr>
          <w:rFonts w:hint="eastAsia" w:ascii="楷体" w:hAnsi="楷体" w:eastAsia="楷体" w:cs="楷体"/>
          <w:b/>
          <w:bCs/>
          <w:sz w:val="32"/>
          <w:szCs w:val="32"/>
          <w:highlight w:val="none"/>
          <w:lang w:val="en-US" w:eastAsia="zh-CN"/>
        </w:rPr>
      </w:pPr>
      <w:bookmarkStart w:id="35" w:name="_Toc24204"/>
      <w:r>
        <w:rPr>
          <w:rFonts w:hint="eastAsia" w:ascii="楷体" w:hAnsi="楷体" w:eastAsia="楷体" w:cs="楷体"/>
          <w:b/>
          <w:bCs/>
          <w:sz w:val="32"/>
          <w:szCs w:val="32"/>
          <w:highlight w:val="none"/>
          <w:lang w:val="en-US" w:eastAsia="zh-CN"/>
        </w:rPr>
        <w:t>（七）固定资产及无形资产管理情况及分析</w:t>
      </w:r>
      <w:bookmarkEnd w:id="35"/>
    </w:p>
    <w:p w14:paraId="146E0A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固定资产管理存在规格型号待完善，如固定资产台账未标明轿车车牌号，使用部门信息缺失情况等。固定资产2024年原值及折旧变动情况见下表（金额：元）：</w:t>
      </w:r>
    </w:p>
    <w:tbl>
      <w:tblPr>
        <w:tblStyle w:val="14"/>
        <w:tblpPr w:leftFromText="180" w:rightFromText="180" w:vertAnchor="text" w:horzAnchor="page" w:tblpX="1814" w:tblpY="11"/>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4"/>
        <w:gridCol w:w="1536"/>
        <w:gridCol w:w="1724"/>
        <w:gridCol w:w="1725"/>
        <w:gridCol w:w="1627"/>
      </w:tblGrid>
      <w:tr w14:paraId="5CDDF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113" w:type="pct"/>
            <w:tcBorders>
              <w:top w:val="single" w:color="5B9BD5" w:sz="8" w:space="0"/>
              <w:left w:val="single" w:color="5B9BD5" w:sz="8" w:space="0"/>
              <w:bottom w:val="single" w:color="5B9BD5" w:sz="8" w:space="0"/>
              <w:right w:val="single" w:color="9BC2E6" w:sz="8" w:space="0"/>
            </w:tcBorders>
            <w:shd w:val="clear" w:color="auto" w:fill="auto"/>
            <w:vAlign w:val="center"/>
          </w:tcPr>
          <w:p w14:paraId="134CEDD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902" w:type="pct"/>
            <w:tcBorders>
              <w:top w:val="single" w:color="5B9BD5" w:sz="8" w:space="0"/>
              <w:left w:val="nil"/>
              <w:bottom w:val="single" w:color="5B9BD5" w:sz="8" w:space="0"/>
              <w:right w:val="single" w:color="9BC2E6" w:sz="8" w:space="0"/>
            </w:tcBorders>
            <w:shd w:val="clear" w:color="auto" w:fill="auto"/>
            <w:noWrap/>
            <w:vAlign w:val="center"/>
          </w:tcPr>
          <w:p w14:paraId="7A30D44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期初余额</w:t>
            </w:r>
          </w:p>
        </w:tc>
        <w:tc>
          <w:tcPr>
            <w:tcW w:w="1013" w:type="pct"/>
            <w:tcBorders>
              <w:top w:val="single" w:color="5B9BD5" w:sz="8" w:space="0"/>
              <w:left w:val="nil"/>
              <w:bottom w:val="single" w:color="5B9BD5" w:sz="8" w:space="0"/>
              <w:right w:val="single" w:color="9BC2E6" w:sz="8" w:space="0"/>
            </w:tcBorders>
            <w:shd w:val="clear" w:color="auto" w:fill="auto"/>
            <w:noWrap/>
            <w:vAlign w:val="center"/>
          </w:tcPr>
          <w:p w14:paraId="7299FF4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2024年增加额</w:t>
            </w:r>
          </w:p>
        </w:tc>
        <w:tc>
          <w:tcPr>
            <w:tcW w:w="1013" w:type="pct"/>
            <w:tcBorders>
              <w:top w:val="single" w:color="5B9BD5" w:sz="8" w:space="0"/>
              <w:left w:val="nil"/>
              <w:bottom w:val="single" w:color="5B9BD5" w:sz="8" w:space="0"/>
              <w:right w:val="single" w:color="9BC2E6" w:sz="8" w:space="0"/>
            </w:tcBorders>
            <w:shd w:val="clear" w:color="auto" w:fill="auto"/>
            <w:noWrap/>
            <w:vAlign w:val="center"/>
          </w:tcPr>
          <w:p w14:paraId="23759607">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2024年减少额</w:t>
            </w:r>
          </w:p>
        </w:tc>
        <w:tc>
          <w:tcPr>
            <w:tcW w:w="956" w:type="pct"/>
            <w:tcBorders>
              <w:top w:val="single" w:color="5B9BD5" w:sz="8" w:space="0"/>
              <w:left w:val="nil"/>
              <w:bottom w:val="single" w:color="5B9BD5" w:sz="8" w:space="0"/>
              <w:right w:val="single" w:color="5B9BD5" w:sz="8" w:space="0"/>
            </w:tcBorders>
            <w:shd w:val="clear" w:color="auto" w:fill="auto"/>
            <w:noWrap/>
            <w:vAlign w:val="center"/>
          </w:tcPr>
          <w:p w14:paraId="62DE4AF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期末余额</w:t>
            </w:r>
          </w:p>
        </w:tc>
      </w:tr>
      <w:tr w14:paraId="7211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DDEBF7"/>
            <w:vAlign w:val="center"/>
          </w:tcPr>
          <w:p w14:paraId="6042B5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固定资产原值</w:t>
            </w:r>
          </w:p>
        </w:tc>
        <w:tc>
          <w:tcPr>
            <w:tcW w:w="902" w:type="pct"/>
            <w:tcBorders>
              <w:top w:val="nil"/>
              <w:left w:val="nil"/>
              <w:bottom w:val="single" w:color="9BC2E6" w:sz="8" w:space="0"/>
              <w:right w:val="single" w:color="9BC2E6" w:sz="8" w:space="0"/>
            </w:tcBorders>
            <w:shd w:val="clear" w:color="auto" w:fill="DEEBF6" w:themeFill="accent1" w:themeFillTint="32"/>
            <w:noWrap/>
            <w:vAlign w:val="bottom"/>
          </w:tcPr>
          <w:p w14:paraId="3E90205F">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4,949,993.29</w:t>
            </w:r>
          </w:p>
        </w:tc>
        <w:tc>
          <w:tcPr>
            <w:tcW w:w="1013" w:type="pct"/>
            <w:tcBorders>
              <w:top w:val="nil"/>
              <w:left w:val="nil"/>
              <w:bottom w:val="single" w:color="9BC2E6" w:sz="8" w:space="0"/>
              <w:right w:val="single" w:color="9BC2E6" w:sz="8" w:space="0"/>
            </w:tcBorders>
            <w:shd w:val="clear" w:color="auto" w:fill="DEEBF6" w:themeFill="accent1" w:themeFillTint="32"/>
            <w:noWrap/>
            <w:vAlign w:val="bottom"/>
          </w:tcPr>
          <w:p w14:paraId="77352B20">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8,800.00</w:t>
            </w:r>
          </w:p>
        </w:tc>
        <w:tc>
          <w:tcPr>
            <w:tcW w:w="1013" w:type="pct"/>
            <w:tcBorders>
              <w:top w:val="nil"/>
              <w:left w:val="nil"/>
              <w:bottom w:val="single" w:color="9BC2E6" w:sz="8" w:space="0"/>
              <w:right w:val="single" w:color="9BC2E6" w:sz="8" w:space="0"/>
            </w:tcBorders>
            <w:shd w:val="clear" w:color="auto" w:fill="DDEBF7"/>
            <w:noWrap/>
            <w:vAlign w:val="bottom"/>
          </w:tcPr>
          <w:p w14:paraId="23E4E10F">
            <w:pPr>
              <w:jc w:val="center"/>
              <w:rPr>
                <w:rFonts w:hint="eastAsia" w:ascii="宋体" w:hAnsi="宋体" w:eastAsia="宋体" w:cs="宋体"/>
                <w:i w:val="0"/>
                <w:iCs w:val="0"/>
                <w:color w:val="000000"/>
                <w:sz w:val="24"/>
                <w:szCs w:val="24"/>
                <w:highlight w:val="none"/>
                <w:u w:val="none"/>
              </w:rPr>
            </w:pPr>
          </w:p>
        </w:tc>
        <w:tc>
          <w:tcPr>
            <w:tcW w:w="956" w:type="pct"/>
            <w:tcBorders>
              <w:top w:val="nil"/>
              <w:left w:val="nil"/>
              <w:bottom w:val="single" w:color="9BC2E6" w:sz="8" w:space="0"/>
              <w:right w:val="single" w:color="5B9BD5" w:sz="8" w:space="0"/>
            </w:tcBorders>
            <w:shd w:val="clear" w:color="auto" w:fill="DEEBF6" w:themeFill="accent1" w:themeFillTint="32"/>
            <w:noWrap/>
            <w:vAlign w:val="bottom"/>
          </w:tcPr>
          <w:p w14:paraId="4CF0E83C">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4,958,793.29</w:t>
            </w:r>
          </w:p>
        </w:tc>
      </w:tr>
      <w:tr w14:paraId="3D75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auto"/>
            <w:vAlign w:val="center"/>
          </w:tcPr>
          <w:p w14:paraId="64B0B9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累计折旧</w:t>
            </w:r>
          </w:p>
        </w:tc>
        <w:tc>
          <w:tcPr>
            <w:tcW w:w="902" w:type="pct"/>
            <w:tcBorders>
              <w:top w:val="nil"/>
              <w:left w:val="nil"/>
              <w:bottom w:val="single" w:color="9BC2E6" w:sz="8" w:space="0"/>
              <w:right w:val="single" w:color="9BC2E6" w:sz="8" w:space="0"/>
            </w:tcBorders>
            <w:shd w:val="clear" w:color="auto" w:fill="auto"/>
            <w:noWrap/>
            <w:vAlign w:val="bottom"/>
          </w:tcPr>
          <w:p w14:paraId="189D17A8">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3,026,020.78</w:t>
            </w:r>
          </w:p>
        </w:tc>
        <w:tc>
          <w:tcPr>
            <w:tcW w:w="1013" w:type="pct"/>
            <w:tcBorders>
              <w:top w:val="nil"/>
              <w:left w:val="nil"/>
              <w:bottom w:val="single" w:color="9BC2E6" w:sz="8" w:space="0"/>
              <w:right w:val="single" w:color="9BC2E6" w:sz="8" w:space="0"/>
            </w:tcBorders>
            <w:shd w:val="clear" w:color="auto" w:fill="auto"/>
            <w:noWrap/>
            <w:vAlign w:val="bottom"/>
          </w:tcPr>
          <w:p w14:paraId="1422D50C">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436,334.57</w:t>
            </w:r>
          </w:p>
        </w:tc>
        <w:tc>
          <w:tcPr>
            <w:tcW w:w="1013" w:type="pct"/>
            <w:tcBorders>
              <w:top w:val="nil"/>
              <w:left w:val="nil"/>
              <w:bottom w:val="single" w:color="9BC2E6" w:sz="8" w:space="0"/>
              <w:right w:val="single" w:color="9BC2E6" w:sz="8" w:space="0"/>
            </w:tcBorders>
            <w:shd w:val="clear" w:color="auto" w:fill="auto"/>
            <w:noWrap/>
            <w:vAlign w:val="bottom"/>
          </w:tcPr>
          <w:p w14:paraId="3F3C03A8">
            <w:pPr>
              <w:jc w:val="center"/>
              <w:rPr>
                <w:rFonts w:hint="eastAsia" w:ascii="宋体" w:hAnsi="宋体" w:eastAsia="宋体" w:cs="宋体"/>
                <w:i w:val="0"/>
                <w:iCs w:val="0"/>
                <w:color w:val="000000"/>
                <w:sz w:val="24"/>
                <w:szCs w:val="24"/>
                <w:highlight w:val="none"/>
                <w:u w:val="none"/>
              </w:rPr>
            </w:pPr>
          </w:p>
        </w:tc>
        <w:tc>
          <w:tcPr>
            <w:tcW w:w="956" w:type="pct"/>
            <w:tcBorders>
              <w:top w:val="nil"/>
              <w:left w:val="nil"/>
              <w:bottom w:val="single" w:color="9BC2E6" w:sz="8" w:space="0"/>
              <w:right w:val="single" w:color="5B9BD5" w:sz="8" w:space="0"/>
            </w:tcBorders>
            <w:shd w:val="clear" w:color="auto" w:fill="auto"/>
            <w:noWrap/>
            <w:vAlign w:val="bottom"/>
          </w:tcPr>
          <w:p w14:paraId="5325150F">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3,462,355.35</w:t>
            </w:r>
          </w:p>
        </w:tc>
      </w:tr>
      <w:tr w14:paraId="2C95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DDEBF7"/>
            <w:vAlign w:val="center"/>
          </w:tcPr>
          <w:p w14:paraId="1591F8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固定资产净值</w:t>
            </w:r>
          </w:p>
        </w:tc>
        <w:tc>
          <w:tcPr>
            <w:tcW w:w="902" w:type="pct"/>
            <w:tcBorders>
              <w:top w:val="nil"/>
              <w:left w:val="nil"/>
              <w:bottom w:val="single" w:color="9BC2E6" w:sz="8" w:space="0"/>
              <w:right w:val="single" w:color="9BC2E6" w:sz="8" w:space="0"/>
            </w:tcBorders>
            <w:shd w:val="clear" w:color="auto" w:fill="DEEBF6" w:themeFill="accent1" w:themeFillTint="32"/>
            <w:noWrap/>
            <w:vAlign w:val="bottom"/>
          </w:tcPr>
          <w:p w14:paraId="1AF85FAF">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1,923,972.51</w:t>
            </w:r>
          </w:p>
        </w:tc>
        <w:tc>
          <w:tcPr>
            <w:tcW w:w="1013" w:type="pct"/>
            <w:tcBorders>
              <w:top w:val="nil"/>
              <w:left w:val="nil"/>
              <w:bottom w:val="single" w:color="9BC2E6" w:sz="8" w:space="0"/>
              <w:right w:val="single" w:color="9BC2E6" w:sz="8" w:space="0"/>
            </w:tcBorders>
            <w:shd w:val="clear" w:color="auto" w:fill="DDEBF7"/>
            <w:noWrap/>
            <w:vAlign w:val="center"/>
          </w:tcPr>
          <w:p w14:paraId="46885380">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-427,534.57</w:t>
            </w:r>
          </w:p>
        </w:tc>
        <w:tc>
          <w:tcPr>
            <w:tcW w:w="1013" w:type="pct"/>
            <w:tcBorders>
              <w:top w:val="nil"/>
              <w:left w:val="nil"/>
              <w:bottom w:val="single" w:color="9BC2E6" w:sz="8" w:space="0"/>
              <w:right w:val="single" w:color="9BC2E6" w:sz="8" w:space="0"/>
            </w:tcBorders>
            <w:shd w:val="clear" w:color="auto" w:fill="DDEBF7"/>
            <w:noWrap/>
            <w:vAlign w:val="bottom"/>
          </w:tcPr>
          <w:p w14:paraId="7B8FD1B5">
            <w:pPr>
              <w:jc w:val="center"/>
              <w:rPr>
                <w:rFonts w:hint="eastAsia" w:ascii="宋体" w:hAnsi="宋体" w:eastAsia="宋体" w:cs="宋体"/>
                <w:i w:val="0"/>
                <w:iCs w:val="0"/>
                <w:color w:val="000000"/>
                <w:sz w:val="24"/>
                <w:szCs w:val="24"/>
                <w:highlight w:val="none"/>
                <w:u w:val="none"/>
              </w:rPr>
            </w:pPr>
          </w:p>
        </w:tc>
        <w:tc>
          <w:tcPr>
            <w:tcW w:w="956" w:type="pct"/>
            <w:tcBorders>
              <w:top w:val="nil"/>
              <w:left w:val="nil"/>
              <w:bottom w:val="single" w:color="9BC2E6" w:sz="8" w:space="0"/>
              <w:right w:val="single" w:color="5B9BD5" w:sz="8" w:space="0"/>
            </w:tcBorders>
            <w:shd w:val="clear" w:color="auto" w:fill="DEEBF6" w:themeFill="accent1" w:themeFillTint="32"/>
            <w:noWrap/>
            <w:vAlign w:val="bottom"/>
          </w:tcPr>
          <w:p w14:paraId="7136011C">
            <w:pPr>
              <w:keepNext w:val="0"/>
              <w:keepLines w:val="0"/>
              <w:widowControl/>
              <w:suppressLineNumbers w:val="0"/>
              <w:jc w:val="right"/>
              <w:textAlignment w:val="bottom"/>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1,496,437.94</w:t>
            </w:r>
          </w:p>
        </w:tc>
      </w:tr>
    </w:tbl>
    <w:p w14:paraId="21937F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楷体" w:hAnsi="楷体" w:eastAsia="楷体" w:cs="楷体"/>
          <w:b/>
          <w:bCs/>
          <w:sz w:val="32"/>
          <w:szCs w:val="32"/>
          <w:highlight w:val="none"/>
          <w:lang w:val="en-US" w:eastAsia="zh-CN"/>
        </w:rPr>
      </w:pPr>
      <w:r>
        <w:rPr>
          <w:rFonts w:hint="eastAsia" w:ascii="仿宋" w:hAnsi="仿宋" w:eastAsia="仿宋" w:cs="仿宋"/>
          <w:b/>
          <w:bCs/>
          <w:sz w:val="32"/>
          <w:szCs w:val="32"/>
          <w:highlight w:val="none"/>
          <w:lang w:val="en-US" w:eastAsia="zh-CN"/>
        </w:rPr>
        <w:t>无形资产为办公软件，2024年原值及摊销变动情况见下表（金额：元）：</w:t>
      </w:r>
    </w:p>
    <w:tbl>
      <w:tblPr>
        <w:tblStyle w:val="14"/>
        <w:tblpPr w:leftFromText="180" w:rightFromText="180" w:vertAnchor="text" w:horzAnchor="page" w:tblpX="1881" w:tblpY="279"/>
        <w:tblOverlap w:val="never"/>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95"/>
        <w:gridCol w:w="1534"/>
        <w:gridCol w:w="1724"/>
        <w:gridCol w:w="1724"/>
        <w:gridCol w:w="1629"/>
      </w:tblGrid>
      <w:tr w14:paraId="0C269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30" w:hRule="atLeast"/>
        </w:trPr>
        <w:tc>
          <w:tcPr>
            <w:tcW w:w="1113" w:type="pct"/>
            <w:tcBorders>
              <w:top w:val="single" w:color="5B9BD5" w:sz="8" w:space="0"/>
              <w:left w:val="single" w:color="5B9BD5" w:sz="8" w:space="0"/>
              <w:bottom w:val="single" w:color="5B9BD5" w:sz="8" w:space="0"/>
              <w:right w:val="single" w:color="9BC2E6" w:sz="8" w:space="0"/>
            </w:tcBorders>
            <w:shd w:val="clear" w:color="auto" w:fill="auto"/>
            <w:vAlign w:val="center"/>
          </w:tcPr>
          <w:p w14:paraId="4A33CF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901" w:type="pct"/>
            <w:tcBorders>
              <w:top w:val="single" w:color="5B9BD5" w:sz="8" w:space="0"/>
              <w:left w:val="nil"/>
              <w:bottom w:val="single" w:color="5B9BD5" w:sz="8" w:space="0"/>
              <w:right w:val="single" w:color="9BC2E6" w:sz="8" w:space="0"/>
            </w:tcBorders>
            <w:shd w:val="clear" w:color="auto" w:fill="auto"/>
            <w:noWrap/>
            <w:vAlign w:val="center"/>
          </w:tcPr>
          <w:p w14:paraId="51042E9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期初余额</w:t>
            </w:r>
          </w:p>
        </w:tc>
        <w:tc>
          <w:tcPr>
            <w:tcW w:w="1013" w:type="pct"/>
            <w:tcBorders>
              <w:top w:val="single" w:color="5B9BD5" w:sz="8" w:space="0"/>
              <w:left w:val="nil"/>
              <w:bottom w:val="single" w:color="5B9BD5" w:sz="8" w:space="0"/>
              <w:right w:val="single" w:color="9BC2E6" w:sz="8" w:space="0"/>
            </w:tcBorders>
            <w:shd w:val="clear" w:color="auto" w:fill="auto"/>
            <w:noWrap/>
            <w:vAlign w:val="center"/>
          </w:tcPr>
          <w:p w14:paraId="5CF26F3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2024年增加额</w:t>
            </w:r>
          </w:p>
        </w:tc>
        <w:tc>
          <w:tcPr>
            <w:tcW w:w="1013" w:type="pct"/>
            <w:tcBorders>
              <w:top w:val="single" w:color="5B9BD5" w:sz="8" w:space="0"/>
              <w:left w:val="nil"/>
              <w:bottom w:val="single" w:color="5B9BD5" w:sz="8" w:space="0"/>
              <w:right w:val="single" w:color="9BC2E6" w:sz="8" w:space="0"/>
            </w:tcBorders>
            <w:shd w:val="clear" w:color="auto" w:fill="auto"/>
            <w:noWrap/>
            <w:vAlign w:val="center"/>
          </w:tcPr>
          <w:p w14:paraId="3D9C128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2024年减少额</w:t>
            </w:r>
          </w:p>
        </w:tc>
        <w:tc>
          <w:tcPr>
            <w:tcW w:w="957" w:type="pct"/>
            <w:tcBorders>
              <w:top w:val="single" w:color="5B9BD5" w:sz="8" w:space="0"/>
              <w:left w:val="nil"/>
              <w:bottom w:val="single" w:color="5B9BD5" w:sz="8" w:space="0"/>
              <w:right w:val="single" w:color="5B9BD5" w:sz="8" w:space="0"/>
            </w:tcBorders>
            <w:shd w:val="clear" w:color="auto" w:fill="auto"/>
            <w:noWrap/>
            <w:vAlign w:val="center"/>
          </w:tcPr>
          <w:p w14:paraId="05B6DD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期末余额</w:t>
            </w:r>
          </w:p>
        </w:tc>
      </w:tr>
      <w:tr w14:paraId="4963C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DDEBF7"/>
            <w:vAlign w:val="center"/>
          </w:tcPr>
          <w:p w14:paraId="641993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无形资产原值</w:t>
            </w:r>
          </w:p>
        </w:tc>
        <w:tc>
          <w:tcPr>
            <w:tcW w:w="901" w:type="pct"/>
            <w:tcBorders>
              <w:top w:val="nil"/>
              <w:left w:val="nil"/>
              <w:bottom w:val="single" w:color="9BC2E6" w:sz="8" w:space="0"/>
              <w:right w:val="single" w:color="9BC2E6" w:sz="8" w:space="0"/>
            </w:tcBorders>
            <w:shd w:val="clear" w:color="auto" w:fill="DEEBF6" w:themeFill="accent1" w:themeFillTint="32"/>
            <w:noWrap/>
            <w:vAlign w:val="bottom"/>
          </w:tcPr>
          <w:p w14:paraId="70CCC11C">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67,500.00</w:t>
            </w:r>
          </w:p>
        </w:tc>
        <w:tc>
          <w:tcPr>
            <w:tcW w:w="1013" w:type="pct"/>
            <w:tcBorders>
              <w:top w:val="nil"/>
              <w:left w:val="nil"/>
              <w:bottom w:val="single" w:color="9BC2E6" w:sz="8" w:space="0"/>
              <w:right w:val="single" w:color="9BC2E6" w:sz="8" w:space="0"/>
            </w:tcBorders>
            <w:shd w:val="clear" w:color="auto" w:fill="DEEBF6" w:themeFill="accent1" w:themeFillTint="32"/>
            <w:noWrap/>
            <w:vAlign w:val="bottom"/>
          </w:tcPr>
          <w:p w14:paraId="3E254653">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1013" w:type="pct"/>
            <w:tcBorders>
              <w:top w:val="nil"/>
              <w:left w:val="nil"/>
              <w:bottom w:val="single" w:color="9BC2E6" w:sz="8" w:space="0"/>
              <w:right w:val="single" w:color="9BC2E6" w:sz="8" w:space="0"/>
            </w:tcBorders>
            <w:shd w:val="clear" w:color="auto" w:fill="DDEBF7"/>
            <w:noWrap/>
            <w:vAlign w:val="bottom"/>
          </w:tcPr>
          <w:p w14:paraId="229E1545">
            <w:pPr>
              <w:jc w:val="center"/>
              <w:rPr>
                <w:rFonts w:hint="eastAsia" w:ascii="宋体" w:hAnsi="宋体" w:eastAsia="宋体" w:cs="宋体"/>
                <w:i w:val="0"/>
                <w:iCs w:val="0"/>
                <w:color w:val="000000"/>
                <w:sz w:val="24"/>
                <w:szCs w:val="24"/>
                <w:u w:val="none"/>
              </w:rPr>
            </w:pPr>
          </w:p>
        </w:tc>
        <w:tc>
          <w:tcPr>
            <w:tcW w:w="957" w:type="pct"/>
            <w:tcBorders>
              <w:top w:val="nil"/>
              <w:left w:val="nil"/>
              <w:bottom w:val="single" w:color="9BC2E6" w:sz="8" w:space="0"/>
              <w:right w:val="single" w:color="5B9BD5" w:sz="8" w:space="0"/>
            </w:tcBorders>
            <w:shd w:val="clear" w:color="auto" w:fill="DEEBF6" w:themeFill="accent1" w:themeFillTint="32"/>
            <w:noWrap/>
            <w:vAlign w:val="bottom"/>
          </w:tcPr>
          <w:p w14:paraId="36123834">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67,500.00</w:t>
            </w:r>
          </w:p>
        </w:tc>
      </w:tr>
      <w:tr w14:paraId="25E13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auto"/>
            <w:vAlign w:val="center"/>
          </w:tcPr>
          <w:p w14:paraId="477F9BD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累计摊销</w:t>
            </w:r>
          </w:p>
        </w:tc>
        <w:tc>
          <w:tcPr>
            <w:tcW w:w="901" w:type="pct"/>
            <w:tcBorders>
              <w:top w:val="nil"/>
              <w:left w:val="nil"/>
              <w:bottom w:val="single" w:color="9BC2E6" w:sz="8" w:space="0"/>
              <w:right w:val="single" w:color="9BC2E6" w:sz="8" w:space="0"/>
            </w:tcBorders>
            <w:shd w:val="clear" w:color="auto" w:fill="auto"/>
            <w:noWrap/>
            <w:vAlign w:val="bottom"/>
          </w:tcPr>
          <w:p w14:paraId="56BDC488">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22,800.00</w:t>
            </w:r>
          </w:p>
        </w:tc>
        <w:tc>
          <w:tcPr>
            <w:tcW w:w="1013" w:type="pct"/>
            <w:tcBorders>
              <w:top w:val="nil"/>
              <w:left w:val="nil"/>
              <w:bottom w:val="single" w:color="9BC2E6" w:sz="8" w:space="0"/>
              <w:right w:val="single" w:color="9BC2E6" w:sz="8" w:space="0"/>
            </w:tcBorders>
            <w:shd w:val="clear" w:color="auto" w:fill="auto"/>
            <w:noWrap/>
            <w:vAlign w:val="bottom"/>
          </w:tcPr>
          <w:p w14:paraId="292B9EF6">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13,500.00</w:t>
            </w:r>
          </w:p>
        </w:tc>
        <w:tc>
          <w:tcPr>
            <w:tcW w:w="1013" w:type="pct"/>
            <w:tcBorders>
              <w:top w:val="nil"/>
              <w:left w:val="nil"/>
              <w:bottom w:val="single" w:color="9BC2E6" w:sz="8" w:space="0"/>
              <w:right w:val="single" w:color="9BC2E6" w:sz="8" w:space="0"/>
            </w:tcBorders>
            <w:shd w:val="clear" w:color="auto" w:fill="auto"/>
            <w:noWrap/>
            <w:vAlign w:val="bottom"/>
          </w:tcPr>
          <w:p w14:paraId="1410DF81">
            <w:pPr>
              <w:jc w:val="center"/>
              <w:rPr>
                <w:rFonts w:hint="eastAsia" w:ascii="宋体" w:hAnsi="宋体" w:eastAsia="宋体" w:cs="宋体"/>
                <w:i w:val="0"/>
                <w:iCs w:val="0"/>
                <w:color w:val="000000"/>
                <w:sz w:val="24"/>
                <w:szCs w:val="24"/>
                <w:u w:val="none"/>
              </w:rPr>
            </w:pPr>
          </w:p>
        </w:tc>
        <w:tc>
          <w:tcPr>
            <w:tcW w:w="957" w:type="pct"/>
            <w:tcBorders>
              <w:top w:val="nil"/>
              <w:left w:val="nil"/>
              <w:bottom w:val="single" w:color="9BC2E6" w:sz="8" w:space="0"/>
              <w:right w:val="single" w:color="5B9BD5" w:sz="8" w:space="0"/>
            </w:tcBorders>
            <w:shd w:val="clear" w:color="auto" w:fill="auto"/>
            <w:noWrap/>
            <w:vAlign w:val="bottom"/>
          </w:tcPr>
          <w:p w14:paraId="0F64392E">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36,300.00</w:t>
            </w:r>
          </w:p>
        </w:tc>
      </w:tr>
      <w:tr w14:paraId="7639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113" w:type="pct"/>
            <w:tcBorders>
              <w:top w:val="nil"/>
              <w:left w:val="single" w:color="5B9BD5" w:sz="8" w:space="0"/>
              <w:bottom w:val="single" w:color="9BC2E6" w:sz="8" w:space="0"/>
              <w:right w:val="single" w:color="9BC2E6" w:sz="8" w:space="0"/>
            </w:tcBorders>
            <w:shd w:val="clear" w:color="auto" w:fill="DDEBF7"/>
            <w:vAlign w:val="center"/>
          </w:tcPr>
          <w:p w14:paraId="27934F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无形资产净值</w:t>
            </w:r>
          </w:p>
        </w:tc>
        <w:tc>
          <w:tcPr>
            <w:tcW w:w="901" w:type="pct"/>
            <w:tcBorders>
              <w:top w:val="nil"/>
              <w:left w:val="nil"/>
              <w:bottom w:val="single" w:color="9BC2E6" w:sz="8" w:space="0"/>
              <w:right w:val="single" w:color="9BC2E6" w:sz="8" w:space="0"/>
            </w:tcBorders>
            <w:shd w:val="clear" w:color="auto" w:fill="DEEBF6" w:themeFill="accent1" w:themeFillTint="32"/>
            <w:noWrap/>
            <w:vAlign w:val="bottom"/>
          </w:tcPr>
          <w:p w14:paraId="0EF0C9F7">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44,700.00</w:t>
            </w:r>
          </w:p>
        </w:tc>
        <w:tc>
          <w:tcPr>
            <w:tcW w:w="1013" w:type="pct"/>
            <w:tcBorders>
              <w:top w:val="nil"/>
              <w:left w:val="nil"/>
              <w:bottom w:val="single" w:color="9BC2E6" w:sz="8" w:space="0"/>
              <w:right w:val="single" w:color="9BC2E6" w:sz="8" w:space="0"/>
            </w:tcBorders>
            <w:shd w:val="clear" w:color="auto" w:fill="DDEBF7"/>
            <w:noWrap/>
            <w:vAlign w:val="center"/>
          </w:tcPr>
          <w:p w14:paraId="693D989C">
            <w:pPr>
              <w:keepNext w:val="0"/>
              <w:keepLines w:val="0"/>
              <w:widowControl/>
              <w:suppressLineNumbers w:val="0"/>
              <w:jc w:val="right"/>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-13,500.00</w:t>
            </w:r>
          </w:p>
        </w:tc>
        <w:tc>
          <w:tcPr>
            <w:tcW w:w="1013" w:type="pct"/>
            <w:tcBorders>
              <w:top w:val="nil"/>
              <w:left w:val="nil"/>
              <w:bottom w:val="single" w:color="9BC2E6" w:sz="8" w:space="0"/>
              <w:right w:val="single" w:color="9BC2E6" w:sz="8" w:space="0"/>
            </w:tcBorders>
            <w:shd w:val="clear" w:color="auto" w:fill="DDEBF7"/>
            <w:noWrap/>
            <w:vAlign w:val="bottom"/>
          </w:tcPr>
          <w:p w14:paraId="55D060EA">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p>
        </w:tc>
        <w:tc>
          <w:tcPr>
            <w:tcW w:w="957" w:type="pct"/>
            <w:tcBorders>
              <w:top w:val="nil"/>
              <w:left w:val="nil"/>
              <w:bottom w:val="single" w:color="9BC2E6" w:sz="8" w:space="0"/>
              <w:right w:val="single" w:color="5B9BD5" w:sz="8" w:space="0"/>
            </w:tcBorders>
            <w:shd w:val="clear" w:color="auto" w:fill="DEEBF6" w:themeFill="accent1" w:themeFillTint="32"/>
            <w:noWrap/>
            <w:vAlign w:val="bottom"/>
          </w:tcPr>
          <w:p w14:paraId="07FC2310">
            <w:pPr>
              <w:keepNext w:val="0"/>
              <w:keepLines w:val="0"/>
              <w:widowControl/>
              <w:suppressLineNumbers w:val="0"/>
              <w:jc w:val="righ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31,200.00</w:t>
            </w:r>
          </w:p>
        </w:tc>
      </w:tr>
    </w:tbl>
    <w:p w14:paraId="57864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highlight w:val="none"/>
          <w:lang w:val="en-US" w:eastAsia="zh-CN"/>
        </w:rPr>
      </w:pPr>
      <w:bookmarkStart w:id="36" w:name="_Toc214"/>
      <w:r>
        <w:rPr>
          <w:rFonts w:hint="eastAsia" w:ascii="楷体" w:hAnsi="楷体" w:eastAsia="楷体" w:cs="楷体"/>
          <w:b/>
          <w:bCs/>
          <w:sz w:val="32"/>
          <w:szCs w:val="32"/>
          <w:highlight w:val="none"/>
          <w:lang w:val="en-US" w:eastAsia="zh-CN"/>
        </w:rPr>
        <w:t>（八）厉行节约保障措施的执行情况及其政策效果</w:t>
      </w:r>
      <w:bookmarkEnd w:id="36"/>
    </w:p>
    <w:p w14:paraId="612263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sz w:val="32"/>
          <w:szCs w:val="32"/>
          <w:highlight w:val="none"/>
          <w:lang w:val="en-US" w:eastAsia="zh-CN"/>
        </w:rPr>
        <w:t>未提供厉行节约保障措施的执行情况及其政策效果的工作总结。</w:t>
      </w:r>
    </w:p>
    <w:p w14:paraId="7E5B6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楷体" w:hAnsi="楷体" w:eastAsia="楷体" w:cs="楷体"/>
          <w:b/>
          <w:bCs/>
          <w:sz w:val="32"/>
          <w:szCs w:val="32"/>
          <w:highlight w:val="none"/>
          <w:lang w:eastAsia="zh-CN"/>
        </w:rPr>
      </w:pPr>
      <w:bookmarkStart w:id="37" w:name="_Toc10643"/>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w:t>
      </w:r>
      <w:r>
        <w:rPr>
          <w:rFonts w:hint="eastAsia" w:ascii="黑体" w:hAnsi="黑体" w:eastAsia="黑体" w:cs="黑体"/>
          <w:sz w:val="32"/>
          <w:szCs w:val="32"/>
          <w:highlight w:val="none"/>
          <w:lang w:val="en-US" w:eastAsia="zh-CN"/>
        </w:rPr>
        <w:t>部门</w:t>
      </w:r>
      <w:r>
        <w:rPr>
          <w:rFonts w:hint="eastAsia" w:ascii="黑体" w:hAnsi="黑体" w:eastAsia="黑体" w:cs="黑体"/>
          <w:sz w:val="32"/>
          <w:szCs w:val="32"/>
          <w:highlight w:val="none"/>
          <w:lang w:eastAsia="zh-CN"/>
        </w:rPr>
        <w:t>绩效目标</w:t>
      </w:r>
      <w:bookmarkEnd w:id="37"/>
    </w:p>
    <w:p w14:paraId="5A6DA20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val="0"/>
          <w:bCs w:val="0"/>
          <w:sz w:val="32"/>
          <w:szCs w:val="32"/>
          <w:lang w:eastAsia="zh-CN"/>
        </w:rPr>
      </w:pPr>
      <w:bookmarkStart w:id="38" w:name="_Toc24765"/>
      <w:r>
        <w:rPr>
          <w:rFonts w:hint="eastAsia" w:ascii="楷体" w:hAnsi="楷体" w:eastAsia="楷体" w:cs="楷体"/>
          <w:b/>
          <w:bCs/>
          <w:sz w:val="32"/>
          <w:szCs w:val="32"/>
          <w:lang w:eastAsia="zh-CN"/>
        </w:rPr>
        <w:t>（一）总体目标</w:t>
      </w:r>
      <w:bookmarkEnd w:id="38"/>
    </w:p>
    <w:p w14:paraId="2019EE6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围绕“三服务”核心职能，全面强化政治机关建设，以高质量参谋辅政、高效能统筹协调、高标准督查问效，全力保障区委决策部署落地生根，推动党办工作在全市乃至全省争先进位、形成品牌，为建设现代化新雁峰贡献坚强党办力量。</w:t>
      </w:r>
    </w:p>
    <w:p w14:paraId="2E97E8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jc w:val="both"/>
        <w:textAlignment w:val="auto"/>
        <w:outlineLvl w:val="1"/>
        <w:rPr>
          <w:rFonts w:hint="eastAsia" w:ascii="楷体" w:hAnsi="楷体" w:eastAsia="楷体" w:cs="楷体"/>
          <w:b/>
          <w:bCs/>
          <w:sz w:val="32"/>
          <w:szCs w:val="32"/>
          <w:lang w:eastAsia="zh-CN"/>
        </w:rPr>
      </w:pPr>
      <w:bookmarkStart w:id="39" w:name="_Toc18062"/>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）分类目标</w:t>
      </w:r>
      <w:bookmarkEnd w:id="39"/>
    </w:p>
    <w:p w14:paraId="5AD15C55">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bookmarkStart w:id="40" w:name="_Toc6424"/>
      <w:bookmarkStart w:id="41" w:name="_Toc29770"/>
      <w:r>
        <w:rPr>
          <w:rFonts w:hint="eastAsia" w:ascii="仿宋" w:hAnsi="仿宋" w:eastAsia="仿宋" w:cs="仿宋"/>
          <w:b/>
          <w:bCs/>
          <w:sz w:val="32"/>
          <w:szCs w:val="32"/>
          <w:highlight w:val="none"/>
          <w:lang w:val="en-US" w:eastAsia="zh-CN"/>
        </w:rPr>
        <w:t>分类目标一：锻造绝对忠诚的政治机关，队伍素能实现新提升。核心： 强化理论武装、党建引领与干部培养，打造政治过硬、能力突出的党办铁军。政治理论学习深度：</w:t>
      </w:r>
      <w:r>
        <w:rPr>
          <w:rFonts w:hint="eastAsia" w:ascii="仿宋" w:hAnsi="仿宋" w:eastAsia="仿宋" w:cs="仿宋"/>
          <w:b w:val="0"/>
          <w:bCs w:val="0"/>
          <w:sz w:val="32"/>
          <w:szCs w:val="32"/>
          <w:highlight w:val="none"/>
          <w:lang w:val="en-US" w:eastAsia="zh-CN"/>
        </w:rPr>
        <w:t>组织办班子及干部职工集中学习不少于15次/年，支部集中学习不少于12次/年。开展交流研讨不少于4次/年，干部“学习强国”日均积分与参与率位居全区前列。</w:t>
      </w:r>
      <w:r>
        <w:rPr>
          <w:rFonts w:hint="eastAsia" w:ascii="仿宋" w:hAnsi="仿宋" w:eastAsia="仿宋" w:cs="仿宋"/>
          <w:b/>
          <w:bCs/>
          <w:sz w:val="32"/>
          <w:szCs w:val="32"/>
          <w:highlight w:val="none"/>
          <w:lang w:val="en-US" w:eastAsia="zh-CN"/>
        </w:rPr>
        <w:t>党建引领融合效度：</w:t>
      </w:r>
      <w:r>
        <w:rPr>
          <w:rFonts w:hint="eastAsia" w:ascii="仿宋" w:hAnsi="仿宋" w:eastAsia="仿宋" w:cs="仿宋"/>
          <w:b w:val="0"/>
          <w:bCs w:val="0"/>
          <w:sz w:val="32"/>
          <w:szCs w:val="32"/>
          <w:highlight w:val="none"/>
          <w:lang w:val="en-US" w:eastAsia="zh-CN"/>
        </w:rPr>
        <w:t>开展主题党日活动不少于12次/年，书记讲党课、微党课不少于6次/年。党建引领业务案例成果不少于2项（如：“双报到”解决社区实际困难、重大活动组建党员先锋队）。模范机关与“一支部一特色”创建获区级以上肯定或观摩。</w:t>
      </w:r>
      <w:r>
        <w:rPr>
          <w:rFonts w:hint="eastAsia" w:ascii="仿宋" w:hAnsi="仿宋" w:eastAsia="仿宋" w:cs="仿宋"/>
          <w:b/>
          <w:bCs/>
          <w:sz w:val="32"/>
          <w:szCs w:val="32"/>
          <w:highlight w:val="none"/>
          <w:lang w:val="en-US" w:eastAsia="zh-CN"/>
        </w:rPr>
        <w:t>干部培养激励实效：</w:t>
      </w:r>
      <w:r>
        <w:rPr>
          <w:rFonts w:hint="eastAsia" w:ascii="仿宋" w:hAnsi="仿宋" w:eastAsia="仿宋" w:cs="仿宋"/>
          <w:b w:val="0"/>
          <w:bCs w:val="0"/>
          <w:sz w:val="32"/>
          <w:szCs w:val="32"/>
          <w:highlight w:val="none"/>
          <w:lang w:val="en-US" w:eastAsia="zh-CN"/>
        </w:rPr>
        <w:t>完成干部职级晋升或推荐重用不少于1名/年。开展办公室核心业务培训不少于2次/年，覆盖全区办公室系统。干部队伍满意度、凝聚力测评达到优秀等次。</w:t>
      </w:r>
    </w:p>
    <w:p w14:paraId="68A65AE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分类目标二：打造善作善成的枢纽机关，服务效能实现新跨越。提升以文辅政、统筹协调、督查督办专业化水平，确保区委中心工作高效运转。参谋辅政精准度：</w:t>
      </w:r>
      <w:r>
        <w:rPr>
          <w:rFonts w:hint="eastAsia" w:ascii="仿宋" w:hAnsi="仿宋" w:eastAsia="仿宋" w:cs="仿宋"/>
          <w:b w:val="0"/>
          <w:bCs w:val="0"/>
          <w:sz w:val="32"/>
          <w:szCs w:val="32"/>
          <w:highlight w:val="none"/>
          <w:lang w:val="en-US" w:eastAsia="zh-CN"/>
        </w:rPr>
        <w:t>高质量起草区委重要文稿不少于150篇/年，领导满意度高。开展重点课题一线调研不少于50次/年，形成高质量调研报告。改革经验获省、市刊物采纳或会议典型发言不少于5项/年（如：湖南日报头版、省政府《政务要情》等）。</w:t>
      </w:r>
      <w:r>
        <w:rPr>
          <w:rFonts w:hint="eastAsia" w:ascii="仿宋" w:hAnsi="仿宋" w:eastAsia="仿宋" w:cs="仿宋"/>
          <w:b/>
          <w:bCs/>
          <w:sz w:val="32"/>
          <w:szCs w:val="32"/>
          <w:highlight w:val="none"/>
          <w:lang w:val="en-US" w:eastAsia="zh-CN"/>
        </w:rPr>
        <w:t>统筹协调顺畅度：</w:t>
      </w:r>
      <w:r>
        <w:rPr>
          <w:rFonts w:hint="eastAsia" w:ascii="仿宋" w:hAnsi="仿宋" w:eastAsia="仿宋" w:cs="仿宋"/>
          <w:b w:val="0"/>
          <w:bCs w:val="0"/>
          <w:sz w:val="32"/>
          <w:szCs w:val="32"/>
          <w:highlight w:val="none"/>
          <w:lang w:val="en-US" w:eastAsia="zh-CN"/>
        </w:rPr>
        <w:t>重大会议、活动、接待任务完成率100%，零差错、零延误。牵头承办的全区性大型活动（如：旅发大会观摩）获上级书面肯定或表彰。全区办公室业务培训覆盖率达95%以上，核心业务规范知晓率显著提升。</w:t>
      </w:r>
      <w:r>
        <w:rPr>
          <w:rFonts w:hint="eastAsia" w:ascii="仿宋" w:hAnsi="仿宋" w:eastAsia="仿宋" w:cs="仿宋"/>
          <w:b/>
          <w:bCs/>
          <w:sz w:val="32"/>
          <w:szCs w:val="32"/>
          <w:highlight w:val="none"/>
          <w:lang w:val="en-US" w:eastAsia="zh-CN"/>
        </w:rPr>
        <w:t>督查落实穿透力：</w:t>
      </w:r>
      <w:r>
        <w:rPr>
          <w:rFonts w:hint="eastAsia" w:ascii="仿宋" w:hAnsi="仿宋" w:eastAsia="仿宋" w:cs="仿宋"/>
          <w:b w:val="0"/>
          <w:bCs w:val="0"/>
          <w:sz w:val="32"/>
          <w:szCs w:val="32"/>
          <w:highlight w:val="none"/>
          <w:lang w:val="en-US" w:eastAsia="zh-CN"/>
        </w:rPr>
        <w:t>精文减会实现发文、开会数量同比持续下降。督查考核事项整合精简率不低于50%，基层迎检负担显著减轻。上级交办事项、区委决策部署督查督办按时办结回复率100%。建立并落实为基层减负长效制度机制不少于2项（如：权责清单、督查统筹机制）。</w:t>
      </w:r>
    </w:p>
    <w:p w14:paraId="1D2976E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分类目标三：建设清正廉洁的模范机关，作风形象实现新转变。压实全面从严治党责任，抓实巡察整改，锤炼扎实过硬工作作风。党风廉政建设扎实度：</w:t>
      </w:r>
      <w:r>
        <w:rPr>
          <w:rFonts w:hint="eastAsia" w:ascii="仿宋" w:hAnsi="仿宋" w:eastAsia="仿宋" w:cs="仿宋"/>
          <w:b w:val="0"/>
          <w:bCs w:val="0"/>
          <w:sz w:val="32"/>
          <w:szCs w:val="32"/>
          <w:highlight w:val="none"/>
          <w:lang w:val="en-US" w:eastAsia="zh-CN"/>
        </w:rPr>
        <w:t>开展廉政专题学习、警示教育不少于4次/年。班子成员履行“一岗双责”，开展例行廉政谈话覆盖全体干部，提醒谈话不少于10人次/年。年度内单位干部职工无违纪违法案件发生。</w:t>
      </w:r>
      <w:r>
        <w:rPr>
          <w:rFonts w:hint="eastAsia" w:ascii="仿宋" w:hAnsi="仿宋" w:eastAsia="仿宋" w:cs="仿宋"/>
          <w:b/>
          <w:bCs/>
          <w:sz w:val="32"/>
          <w:szCs w:val="32"/>
          <w:highlight w:val="none"/>
          <w:lang w:val="en-US" w:eastAsia="zh-CN"/>
        </w:rPr>
        <w:t>巡察整改落实力：</w:t>
      </w:r>
      <w:r>
        <w:rPr>
          <w:rFonts w:hint="eastAsia" w:ascii="仿宋" w:hAnsi="仿宋" w:eastAsia="仿宋" w:cs="仿宋"/>
          <w:b w:val="0"/>
          <w:bCs w:val="0"/>
          <w:sz w:val="32"/>
          <w:szCs w:val="32"/>
          <w:highlight w:val="none"/>
          <w:lang w:val="en-US" w:eastAsia="zh-CN"/>
        </w:rPr>
        <w:t>巡察反馈问题整改完成率达100%，按时报送整改报告。建立健全或修订完善内部管理制度不少于10项，形成长效机制。</w:t>
      </w:r>
      <w:r>
        <w:rPr>
          <w:rFonts w:hint="eastAsia" w:ascii="仿宋" w:hAnsi="仿宋" w:eastAsia="仿宋" w:cs="仿宋"/>
          <w:b/>
          <w:bCs/>
          <w:sz w:val="32"/>
          <w:szCs w:val="32"/>
          <w:highlight w:val="none"/>
          <w:lang w:val="en-US" w:eastAsia="zh-CN"/>
        </w:rPr>
        <w:t>工作作风优化度：</w:t>
      </w:r>
      <w:r>
        <w:rPr>
          <w:rFonts w:hint="eastAsia" w:ascii="仿宋" w:hAnsi="仿宋" w:eastAsia="仿宋" w:cs="仿宋"/>
          <w:b w:val="0"/>
          <w:bCs w:val="0"/>
          <w:sz w:val="32"/>
          <w:szCs w:val="32"/>
          <w:highlight w:val="none"/>
          <w:lang w:val="en-US" w:eastAsia="zh-CN"/>
        </w:rPr>
        <w:t>班子成员带头攻坚克难，在急难险重任务中发挥表率作用获认可。内部职责分工清晰、协作顺畅，人岗匹配度优化调整及时。对外服务对象（部门、基层、群众）满意度评价保持在较高水平。</w:t>
      </w:r>
    </w:p>
    <w:p w14:paraId="65E5451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黑体" w:hAnsi="黑体" w:eastAsia="黑体" w:cs="黑体"/>
          <w:sz w:val="32"/>
          <w:szCs w:val="32"/>
          <w:highlight w:val="none"/>
          <w:lang w:val="en-US" w:eastAsia="zh-CN"/>
        </w:rPr>
      </w:pPr>
      <w:r>
        <w:rPr>
          <w:rFonts w:hint="eastAsia" w:ascii="仿宋" w:hAnsi="仿宋" w:eastAsia="仿宋" w:cs="仿宋"/>
          <w:b/>
          <w:bCs/>
          <w:sz w:val="32"/>
          <w:szCs w:val="32"/>
          <w:highlight w:val="none"/>
          <w:lang w:val="en-US" w:eastAsia="zh-CN"/>
        </w:rPr>
        <w:t>分类目标四：争创有影响力的品牌机关，改革实绩实现新突破。</w:t>
      </w:r>
      <w:r>
        <w:rPr>
          <w:rFonts w:hint="eastAsia" w:ascii="仿宋" w:hAnsi="仿宋" w:eastAsia="仿宋" w:cs="仿宋"/>
          <w:b w:val="0"/>
          <w:bCs w:val="0"/>
          <w:sz w:val="32"/>
          <w:szCs w:val="32"/>
          <w:highlight w:val="none"/>
          <w:lang w:val="en-US" w:eastAsia="zh-CN"/>
        </w:rPr>
        <w:t>推动工作成果转化，形成具有辨识度和推广价值的雁峰党办品牌。</w:t>
      </w:r>
      <w:r>
        <w:rPr>
          <w:rFonts w:hint="eastAsia" w:ascii="仿宋" w:hAnsi="仿宋" w:eastAsia="仿宋" w:cs="仿宋"/>
          <w:b/>
          <w:bCs/>
          <w:sz w:val="32"/>
          <w:szCs w:val="32"/>
          <w:highlight w:val="none"/>
          <w:lang w:val="en-US" w:eastAsia="zh-CN"/>
        </w:rPr>
        <w:t>改革创新品牌影响力：</w:t>
      </w:r>
      <w:r>
        <w:rPr>
          <w:rFonts w:hint="eastAsia" w:ascii="仿宋" w:hAnsi="仿宋" w:eastAsia="仿宋" w:cs="仿宋"/>
          <w:b w:val="0"/>
          <w:bCs w:val="0"/>
          <w:sz w:val="32"/>
          <w:szCs w:val="32"/>
          <w:highlight w:val="none"/>
          <w:lang w:val="en-US" w:eastAsia="zh-CN"/>
        </w:rPr>
        <w:t>打造并在市级以上平台推广工作品牌不少于2个（如：“码上找代表”、“商圈法治驿站”）。获得国家级、省级综合性工作荣誉或通报表扬不少于1项。</w:t>
      </w:r>
      <w:r>
        <w:rPr>
          <w:rFonts w:hint="eastAsia" w:ascii="仿宋" w:hAnsi="仿宋" w:eastAsia="仿宋" w:cs="仿宋"/>
          <w:b/>
          <w:bCs/>
          <w:sz w:val="32"/>
          <w:szCs w:val="32"/>
          <w:highlight w:val="none"/>
          <w:lang w:val="en-US" w:eastAsia="zh-CN"/>
        </w:rPr>
        <w:t>联动共建成果显现度：</w:t>
      </w:r>
      <w:r>
        <w:rPr>
          <w:rFonts w:hint="eastAsia" w:ascii="仿宋" w:hAnsi="仿宋" w:eastAsia="仿宋" w:cs="仿宋"/>
          <w:b w:val="0"/>
          <w:bCs w:val="0"/>
          <w:sz w:val="32"/>
          <w:szCs w:val="32"/>
          <w:highlight w:val="none"/>
          <w:lang w:val="en-US" w:eastAsia="zh-CN"/>
        </w:rPr>
        <w:t>联点村（社区）获得省级及以上荣誉称号或项目支持不少于1项。党建带群建成效明显，机关文化活力提升，获得区级以上群团活动表彰。</w:t>
      </w:r>
    </w:p>
    <w:p w14:paraId="308B02B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sz w:val="32"/>
          <w:szCs w:val="32"/>
          <w:highlight w:val="none"/>
          <w:lang w:eastAsia="zh-CN"/>
        </w:rPr>
      </w:pPr>
      <w:bookmarkStart w:id="42" w:name="_Toc21732"/>
      <w:r>
        <w:rPr>
          <w:rFonts w:hint="eastAsia" w:ascii="黑体" w:hAnsi="黑体" w:eastAsia="黑体" w:cs="黑体"/>
          <w:sz w:val="32"/>
          <w:szCs w:val="32"/>
          <w:highlight w:val="none"/>
          <w:lang w:val="en-US" w:eastAsia="zh-CN"/>
        </w:rPr>
        <w:t>五、部门</w:t>
      </w:r>
      <w:r>
        <w:rPr>
          <w:rFonts w:hint="eastAsia" w:ascii="黑体" w:hAnsi="黑体" w:eastAsia="黑体" w:cs="黑体"/>
          <w:sz w:val="32"/>
          <w:szCs w:val="32"/>
          <w:highlight w:val="none"/>
          <w:lang w:eastAsia="zh-CN"/>
        </w:rPr>
        <w:t>绩效考评情况</w:t>
      </w:r>
      <w:bookmarkEnd w:id="40"/>
      <w:bookmarkEnd w:id="41"/>
      <w:bookmarkEnd w:id="42"/>
    </w:p>
    <w:p w14:paraId="1FC593C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lang w:val="en-US" w:eastAsia="zh-CN"/>
        </w:rPr>
      </w:pPr>
      <w:bookmarkStart w:id="43" w:name="_Toc8508"/>
      <w:bookmarkStart w:id="44" w:name="_Toc1394"/>
      <w:bookmarkStart w:id="45" w:name="_Toc10865"/>
      <w:r>
        <w:rPr>
          <w:rFonts w:hint="eastAsia" w:ascii="楷体" w:hAnsi="楷体" w:eastAsia="楷体" w:cs="楷体"/>
          <w:b/>
          <w:bCs/>
          <w:sz w:val="32"/>
          <w:szCs w:val="32"/>
          <w:lang w:val="en-US" w:eastAsia="zh-CN"/>
        </w:rPr>
        <w:t>（一）评价框架</w:t>
      </w:r>
      <w:bookmarkEnd w:id="43"/>
      <w:bookmarkEnd w:id="44"/>
      <w:bookmarkEnd w:id="45"/>
    </w:p>
    <w:p w14:paraId="46EE98AD">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highlight w:val="yellow"/>
          <w:u w:val="none"/>
          <w:shd w:val="clear" w:fill="FFFFFF"/>
          <w:lang w:val="en-US" w:eastAsia="zh-CN"/>
        </w:rPr>
      </w:pP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依据财政部《关于全面实施预算绩效管理的意见》，《中华人民共和国预算法》等评价依据，设定以下评价指标：</w:t>
      </w:r>
    </w:p>
    <w:p w14:paraId="1040E7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1.投入指标20分：目标设定、预算配置。</w:t>
      </w:r>
    </w:p>
    <w:p w14:paraId="4BAF2F52">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2.过程指标30分：预算执行、部门管理、资产管理。</w:t>
      </w:r>
    </w:p>
    <w:p w14:paraId="7EF6695F">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3.产出指标30分：职能工作完成率、重点工作办结率。</w:t>
      </w:r>
    </w:p>
    <w:p w14:paraId="0E6B866E">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highlight w:val="none"/>
          <w:u w:val="none"/>
          <w:shd w:val="clear" w:fill="FFFFFF"/>
          <w:lang w:val="en-US" w:eastAsia="zh-CN"/>
        </w:rPr>
      </w:pPr>
      <w:r>
        <w:rPr>
          <w:rFonts w:hint="eastAsia" w:ascii="仿宋" w:hAnsi="仿宋" w:eastAsia="仿宋" w:cs="仿宋"/>
          <w:b/>
          <w:bCs/>
          <w:i w:val="0"/>
          <w:iCs w:val="0"/>
          <w:caps w:val="0"/>
          <w:color w:val="000000"/>
          <w:spacing w:val="0"/>
          <w:sz w:val="32"/>
          <w:szCs w:val="32"/>
          <w:highlight w:val="none"/>
          <w:u w:val="none"/>
          <w:shd w:val="clear" w:fill="FFFFFF"/>
          <w:lang w:val="en-US" w:eastAsia="zh-CN"/>
        </w:rPr>
        <w:t>4.效益指标20分：社会效益、相关人员满意度。</w:t>
      </w:r>
    </w:p>
    <w:p w14:paraId="500765E9">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both"/>
        <w:textAlignment w:val="auto"/>
        <w:outlineLvl w:val="1"/>
        <w:rPr>
          <w:rFonts w:hint="default" w:ascii="楷体" w:hAnsi="楷体" w:eastAsia="楷体" w:cs="楷体"/>
          <w:b/>
          <w:bCs/>
          <w:sz w:val="32"/>
          <w:szCs w:val="32"/>
          <w:highlight w:val="none"/>
          <w:lang w:val="en-US" w:eastAsia="zh-CN"/>
        </w:rPr>
      </w:pPr>
      <w:bookmarkStart w:id="46" w:name="_Toc20547"/>
      <w:bookmarkStart w:id="47" w:name="_Toc25462"/>
      <w:bookmarkStart w:id="48" w:name="_Toc7412"/>
      <w:r>
        <w:rPr>
          <w:rFonts w:hint="eastAsia" w:ascii="楷体" w:hAnsi="楷体" w:eastAsia="楷体" w:cs="楷体"/>
          <w:b/>
          <w:bCs/>
          <w:sz w:val="32"/>
          <w:szCs w:val="32"/>
          <w:highlight w:val="none"/>
          <w:lang w:val="en-US" w:eastAsia="zh-CN"/>
        </w:rPr>
        <w:t>（二）评价分析</w:t>
      </w:r>
      <w:bookmarkEnd w:id="46"/>
      <w:bookmarkEnd w:id="47"/>
      <w:bookmarkEnd w:id="48"/>
    </w:p>
    <w:p w14:paraId="464AA21E">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bCs/>
          <w:i w:val="0"/>
          <w:iCs w:val="0"/>
          <w:caps w:val="0"/>
          <w:color w:val="000000"/>
          <w:spacing w:val="0"/>
          <w:sz w:val="32"/>
          <w:szCs w:val="32"/>
          <w:u w:val="none"/>
          <w:shd w:val="clear" w:fill="FFFFFF"/>
          <w:lang w:val="en-US" w:eastAsia="zh-CN"/>
        </w:rPr>
        <w:t>1.总分100分，得分85分，扣分15分，详见后述绩效评价得分扣分表</w:t>
      </w:r>
    </w:p>
    <w:p w14:paraId="08B2F50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p>
    <w:p w14:paraId="02DC883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0" w:num="1"/>
          <w:rtlGutter w:val="0"/>
          <w:docGrid w:type="lines" w:linePitch="332" w:charSpace="0"/>
        </w:sectPr>
      </w:pPr>
    </w:p>
    <w:p w14:paraId="2A9A9DB9">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 w:hAnsi="楷体" w:eastAsia="楷体" w:cs="楷体"/>
          <w:b/>
          <w:bCs/>
          <w:kern w:val="0"/>
          <w:sz w:val="32"/>
          <w:szCs w:val="32"/>
          <w:highlight w:val="none"/>
          <w:lang w:val="en-US" w:eastAsia="zh-CN" w:bidi="ar"/>
        </w:rPr>
      </w:pPr>
      <w:r>
        <w:rPr>
          <w:rFonts w:hint="eastAsia" w:ascii="楷体" w:hAnsi="楷体" w:eastAsia="楷体" w:cs="楷体"/>
          <w:b/>
          <w:bCs/>
          <w:kern w:val="0"/>
          <w:sz w:val="32"/>
          <w:szCs w:val="32"/>
          <w:highlight w:val="none"/>
          <w:lang w:val="en-US" w:eastAsia="zh-CN" w:bidi="ar"/>
        </w:rPr>
        <w:t>评价分析</w:t>
      </w:r>
    </w:p>
    <w:p w14:paraId="00F72125">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1.总分100分，得分85分，扣分15分，详见后述绩效评价得分扣分表。</w:t>
      </w:r>
    </w:p>
    <w:tbl>
      <w:tblPr>
        <w:tblStyle w:val="1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16"/>
        <w:gridCol w:w="2076"/>
        <w:gridCol w:w="841"/>
        <w:gridCol w:w="696"/>
        <w:gridCol w:w="696"/>
        <w:gridCol w:w="696"/>
        <w:gridCol w:w="3862"/>
        <w:gridCol w:w="3585"/>
      </w:tblGrid>
      <w:tr w14:paraId="385DB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1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一级指标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30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897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F1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分值</w:t>
            </w:r>
          </w:p>
        </w:tc>
        <w:tc>
          <w:tcPr>
            <w:tcW w:w="3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44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得分</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4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扣分</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D8E4">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扣分说明</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4B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评价要点</w:t>
            </w:r>
          </w:p>
        </w:tc>
      </w:tr>
      <w:tr w14:paraId="4479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3E3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投入（20分）</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C1C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目标设定（10分）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891D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绩效目标合理性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D60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BA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EEBC">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5D00E">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E0AF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符合国家法律法规、国民经济和社会发展总体规划；②是否符合部门“三定”方案确定的职责；③是否符合部门制定的发展实施规划和年度主要工作计划；④所属部门（单位）编报预算时是否按要求编制绩效目标。</w:t>
            </w:r>
          </w:p>
        </w:tc>
      </w:tr>
      <w:tr w14:paraId="6BDC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082B">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277C9">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DA20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绩效指标明确性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CB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74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6BDA3">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9DF0E">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64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是否将部门整体的绩效目标细化分解为具体的工作任务；②是否通过清晰、可衡量的指标值予以体现；③是否将项目绩效目标与部门年度的任务数或计划数相对应：④是否与本年度部门预算资金相匹配，是否对下属部门（单位）预算编报的绩效目标进行审核。</w:t>
            </w:r>
          </w:p>
        </w:tc>
      </w:tr>
      <w:tr w14:paraId="4DF2B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3CDE">
            <w:pPr>
              <w:jc w:val="center"/>
              <w:rPr>
                <w:rFonts w:hint="eastAsia" w:ascii="宋体" w:hAnsi="宋体" w:eastAsia="宋体" w:cs="宋体"/>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1B60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预算编制与配置（10分）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3746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A9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1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81B3">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3F1A">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BB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职人员控制率=（在职人员数/编制数）×100%。聘用人员控制率≤人社和编办共同批复的人数；在职人员数：部门（单位）实际在职人数，以财政部门确定的部门决算编制口径为准。编制数：机构编制部门核定批复的部门（单位）的人员编制数。</w:t>
            </w:r>
          </w:p>
        </w:tc>
      </w:tr>
      <w:tr w14:paraId="0282D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97BF">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9A959">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11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预算编制科学性与配置合理性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F5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421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694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0C5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年初预算经过调整，未提供预算调整批复</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C37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预算编制科学性，预算与政策目标的匹配度与预算标准合理性。</w:t>
            </w:r>
          </w:p>
        </w:tc>
      </w:tr>
      <w:tr w14:paraId="5BFEA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C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过程（30分）</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FDE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10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预算约束合规性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97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5F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F8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94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存在本年度支付以前年度的借款与费用的情况。</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38F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预算约束：支出是否严格遵循人大批准的预算，有无超预算、无预算开支的现象。</w:t>
            </w:r>
          </w:p>
        </w:tc>
      </w:tr>
      <w:tr w14:paraId="6B5E6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E27D">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5D8AF">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8DCA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C02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F9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1FE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212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存在基本支出挤占项目支出的情况。</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4B2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292F8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00B3">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C5C4">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A7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4A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3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6B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091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1.业务发生时间早于政府采购协议签订时间。2.2024年12月12号凭证支付办公用品及耗材9,055.00元，有每次送货清单，无汇总结算清单，未履行汇总程序。</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75D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程序合规：政府采购、国库集中支付、资产管理等环节是否符合法律法规和制度规定。</w:t>
            </w:r>
          </w:p>
        </w:tc>
      </w:tr>
      <w:tr w14:paraId="14B8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B07F">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7479B">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FEE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进度匹配度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54C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71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150B">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8B2DF">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A719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支出总量进度： 部门总支出完成了年度预算的百分之多少？是否与时间进度相匹配？是否存在“前期慢、后期突击花钱”或“支出进度严重滞后”的问题。</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分项支出进度： 基本支出（人员工资、办公经费）和项目支出（专项业务、事业发展项目）各自的执行进度如何。</w:t>
            </w:r>
          </w:p>
        </w:tc>
      </w:tr>
      <w:tr w14:paraId="4766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E4FD9">
            <w:pPr>
              <w:jc w:val="center"/>
              <w:rPr>
                <w:rFonts w:hint="eastAsia" w:ascii="宋体" w:hAnsi="宋体" w:eastAsia="宋体" w:cs="宋体"/>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97EA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部门管理（15分）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960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管理制度健全性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C9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D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25E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0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7E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提供财务管理制度及其他管理制度。如：预算管理制度，内部控制制度，政府采购管理制度，国有资产管理制度，合同管理制度，专项资金管理办法，绩效管理制度，信息化管理制度，决算与财务报告制度，监督与审计制度等。</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5D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①部门（单位）内控制度、内部财务管理制度和会计核算制度是否健全；②相关管理制度是否合法、合规、完整、有效；</w:t>
            </w:r>
          </w:p>
        </w:tc>
      </w:tr>
      <w:tr w14:paraId="0A78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E830">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C9CC">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22E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制度执行有效性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21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08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5F08">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BFB4">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0B6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①相关管理制度是否得到有效执行；②是否存在整改情况；</w:t>
            </w:r>
          </w:p>
        </w:tc>
      </w:tr>
      <w:tr w14:paraId="0108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C4247">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67475">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DE6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预决算信息公开化</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C5F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CBA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DF276">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CC44">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E6F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①无涉密情况的预算单位按规定及时、准确、完整地公开预决算和绩效管理信息；②基础数据信息和会计信息资料真实、准确、完整；</w:t>
            </w:r>
          </w:p>
        </w:tc>
      </w:tr>
      <w:tr w14:paraId="377E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5245">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844F">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2AE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报销凭证的合规性与时效性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C4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930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D9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BB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1.2024年10月8号凭证支付办公室日常支出20，637.00元。发票有明细，合同与验收无明细。2024年3月18号凭证支付日常办公用品6,983.00元。合同内无明细清单，附件有明细清单。2.2024年1月9号凭证支付2024年春节慰问台胞台属后附常清单有台胞台属联谊会盖章，有人员银行账号，但通过工资账户支付慰问金，无回单，无收款签字确认，后附台胞台属清单无对应人员联系电话。3.2024年4月3号凭证支付核算云会计软件3,500.00元，合同未标明业务起止日期。4.2024年4月26号凭证支付全区通讯录加印费8,400.00元后未附有印刷样本。5.2024年1至6月业务发生时间，合同签订时间2024年8月，后附送货单或销售清单，合同及验收单内均未列明货物品种与数量。2024年10月18号凭证支付7,750.00元。后无印刷打印制作的样本。有明细清单汇总。2024年12月12号凭证支付办公用品及耗材9,055.00元，业务在前，合同在后。有每次送货清单，无汇总结算清单。6.2024年12月31号凭证支付跨期费用，支付2022年的节目制作单费用780.00元。后附有收款方的说明。2024年12月37号凭证支付印制保密工作资料2,597.60元，后未附有打印制作的样本。7.2024年4月14号凭证支付慰问区直机关困境妇女儿童费12,000.00元。代收代付慰问费，打入工资账户，后有领款人签字确认表。未直接打入慰问人员账户。八是一年四次均预付食堂餐费，未结算食堂餐费。8.2024年1月4号凭证档案馆日常开支3,181.00元。支付工作用餐审批表，未标明加班事由与预算金额。9.2024年2月8号凭证支付卫生劳务费2,050.00元。支付个人刘春娥，后附整理清单，有时间及用途费用，签名，无合同及验收单。10.2024年4月10号凭证支付文明创建垃圾清运费7,000.00元。后附国库支付单，往来收据及领导审批。无会议纪要或其他依据。11.2024年4月15号凭证支付保密法治代言人宣传片拍摄15,220.00元。12.2024年4月17号凭证支付4.15国家安全教育日宣传展制作9,120.00元。4.18签订电子合同与验收，4.22付款，后附国库支付单，发票，合同，验收单，一张效果图，未提供其他支付款项明细清单及其他附件。13.2024年4月16号凭证支付保密宣传资料印刷1,800.00元。后未附有印刷样本。14.2024年12月11号凭证支付15,600.00元。用于区委党委视频会议室年度维护和技术支持，无详细的维护业务记录清单，即对应的时间与维护内容。</w:t>
            </w: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61B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资金分配及时性（转移支付下达时效，资金保障有效性；是否接受检查，受过处罚或上缴财政资金情况</w:t>
            </w:r>
          </w:p>
        </w:tc>
      </w:tr>
      <w:tr w14:paraId="042B5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CBF2">
            <w:pPr>
              <w:jc w:val="center"/>
              <w:rPr>
                <w:rFonts w:hint="eastAsia" w:ascii="宋体" w:hAnsi="宋体" w:eastAsia="宋体" w:cs="宋体"/>
                <w:i w:val="0"/>
                <w:iCs w:val="0"/>
                <w:color w:val="000000"/>
                <w:sz w:val="24"/>
                <w:szCs w:val="24"/>
                <w:u w:val="none"/>
              </w:rPr>
            </w:pPr>
          </w:p>
        </w:tc>
        <w:tc>
          <w:tcPr>
            <w:tcW w:w="3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F3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资产管理（5分）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E4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资产管理有效性</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A5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87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0EE7F">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2892">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D57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资产保存是否完整并有台账；②资产配置是否合理，是否有闲置现象；③资产处置是否规范；④资产账务管理是否合规，是否账实相符；⑤是否完成国有“三资”盘活工作，资产是否有偿使用或处置收入及时足额上缴；⑥相关资产购置是否履行政府采购手续，外租资产是否走合规程序；⑦资产是否定期进行盘点并有记录。</w:t>
            </w:r>
          </w:p>
        </w:tc>
      </w:tr>
      <w:tr w14:paraId="4B20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00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产出（20分）</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139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职能工作完成率（10分）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2736605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理论学习与党建工作完成率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381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3E7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72591">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878CA">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7A5AFDC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考察集中学习、研讨、党课等规定动作是否按计划完成。1.2 考察“学习强国”等平台使用活跃度是否达标。1.3 考察“一支部一特色”等创建活动是否有效开展并获认可。</w:t>
            </w:r>
          </w:p>
        </w:tc>
      </w:tr>
      <w:tr w14:paraId="228EA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5E0D0">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1985">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75E1D57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参谋辅政工作完成率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E1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D90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BFCA">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3AA6">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1F47D7C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考察重要文稿起草数量与质量（领导满意度、无重大差错）。2.2 考察信息报送的及时性、准确性与完整性（无迟报瞒报）。2.3 考察年度调研计划完成情况与报告质量。</w:t>
            </w:r>
          </w:p>
        </w:tc>
      </w:tr>
      <w:tr w14:paraId="194A6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0842B">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3C49">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1DAE2A9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统筹协调与政务服务完成率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125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A51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23A10">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9CFBB">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4BD412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考察重要会议、活动、接待任务的组织协调是否顺畅、零失误。3.2 考察公文处理、保密、档案、值班等日常运转是否规范高效（错误率、压减率、归档率等）。3.3 考察全区办公室业务培训是否按计划开展并覆盖达标单位。</w:t>
            </w:r>
          </w:p>
        </w:tc>
      </w:tr>
      <w:tr w14:paraId="5780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BDAA">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94B4C">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7C7B386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督查督办工作完成率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0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FB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F7532">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0DAA">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0B20A691">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考察精文减会、基层减负的具体量化指标是否达成（发文开会下降率、牌子/群组清理数）。4.2 考察督查考核事项的整合精简率是否达标。4.3 考察上级和区委交办事项的按时办结回复率。</w:t>
            </w:r>
          </w:p>
        </w:tc>
      </w:tr>
      <w:tr w14:paraId="63607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45009">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1C359">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2B2D0E1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 干部培养与内部管理完成率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68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F9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846F">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8519">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740D3CB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 考察干部晋升推荐、业务培训等培养计划是否落实。5.2 考察内部制度（如财务、考勤）是否健全并有效执行。</w:t>
            </w:r>
          </w:p>
        </w:tc>
      </w:tr>
      <w:tr w14:paraId="63248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66F6D">
            <w:pPr>
              <w:jc w:val="center"/>
              <w:rPr>
                <w:rFonts w:hint="eastAsia" w:ascii="宋体" w:hAnsi="宋体" w:eastAsia="宋体" w:cs="宋体"/>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8BD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重点工作办结率（10分）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53164D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重大活动（旅发大会）服务办结率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91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BA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8750">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0C703">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2F1916F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考察观摩、接待、保障等环节是否周密无误，任务清单完成率100%。1.2 考察活动是否获得上级书面肯定或表彰。</w:t>
            </w:r>
          </w:p>
        </w:tc>
      </w:tr>
      <w:tr w14:paraId="36E98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1ACD3">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046B">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6909864C">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巡察反馈问题整改办结率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1B1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0AA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D741">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3806">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4865257F">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考察反馈问题是否100%制定整改措施并按期完成。2.2 考察是否举一反三，形成长效机制（制度修订数量与质量）。</w:t>
            </w:r>
          </w:p>
        </w:tc>
      </w:tr>
      <w:tr w14:paraId="6C30B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433C">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E19A">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79107B1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改革创新与品牌打造办结率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85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DA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2CC8">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3624">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674E1CF2">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考察年度计划推出的改革经验或工作品牌是否成功在市级以上平台推广。3.2 考察是否获得国家级、省级综合性荣誉。</w:t>
            </w:r>
          </w:p>
        </w:tc>
      </w:tr>
      <w:tr w14:paraId="41D5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BDE7C">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C47E0">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172617B0">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基层减负长效机制建设办结率</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105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A3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8B08">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7FC3">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27D202D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考察权责清单、督查统筹等长效制度是否建立并运行。4.2 考察基层对减负实效的正面反馈情况。</w:t>
            </w:r>
          </w:p>
        </w:tc>
      </w:tr>
      <w:tr w14:paraId="6A34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A87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效益（30分）</w:t>
            </w: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3C7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社会效益（20分）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51A6B368">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改革经验推广与社会影响力</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6E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1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5A40">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72F4">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66B48EC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考察改革经验被省级以上主流媒体或内部刊物采纳的数量与层级。1.2 考察“码上找代表”等品牌是否真正便利群众、形成口碑。</w:t>
            </w:r>
          </w:p>
        </w:tc>
      </w:tr>
      <w:tr w14:paraId="3FB68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91AB">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5BF18">
            <w:pPr>
              <w:jc w:val="center"/>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19A3EFD6">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基层减负实际成效</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97B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91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8B14">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9191">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7A9AFAE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考察基层干部对文山会海、督查考核负担减轻的主观感受（可通过问卷）。2.2 考察村干部用于服务群众的时间是否切实增加（可通过典型案例）。</w:t>
            </w:r>
          </w:p>
        </w:tc>
      </w:tr>
      <w:tr w14:paraId="1CE1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F9CE2">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91092">
            <w:pPr>
              <w:jc w:val="center"/>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1722618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联点共建成果显现度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049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77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9B9A6">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D5828">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676D432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考察联点村（社区）获得的省级以上荣誉或项目支持情况。3.2 考察“双报到”、党员先锋队等机制解决社区实际困难的效果。</w:t>
            </w:r>
          </w:p>
        </w:tc>
      </w:tr>
      <w:tr w14:paraId="6584F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F53B">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6851">
            <w:pPr>
              <w:jc w:val="center"/>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FBD343E">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 机关党建示范效应</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CD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C55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F1C1">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D012">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02F6D4C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 考察“三表率一模范”机关、星级支部创建对全区机关的示范引领作用。4.2 考察党建带群建促发展的实际效果。</w:t>
            </w:r>
          </w:p>
        </w:tc>
      </w:tr>
      <w:tr w14:paraId="1493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EDF86">
            <w:pPr>
              <w:jc w:val="center"/>
              <w:rPr>
                <w:rFonts w:hint="eastAsia" w:ascii="宋体" w:hAnsi="宋体" w:eastAsia="宋体" w:cs="宋体"/>
                <w:i w:val="0"/>
                <w:iCs w:val="0"/>
                <w:color w:val="000000"/>
                <w:sz w:val="24"/>
                <w:szCs w:val="24"/>
                <w:u w:val="none"/>
              </w:rPr>
            </w:pPr>
          </w:p>
        </w:tc>
        <w:tc>
          <w:tcPr>
            <w:tcW w:w="3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7C4F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相关人员满意度（10分）</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61B20FF7">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 区委领导满意度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F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15C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E02D4">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8B0E">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27797B5A">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 考察区委领导对文稿起草、信息报送、参谋建议质量的评价。1.2 考察区委领导对重大活动统筹协调、日常服务保障工作的评价。</w:t>
            </w:r>
          </w:p>
        </w:tc>
      </w:tr>
      <w:tr w14:paraId="0BD3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02DA">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7CA6">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02815A4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 区直部门及镇街满意度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4C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01E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ABAE8">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A521">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5552A973">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 考察对办公室统筹协调、公文流转、会议活动服务的满意度。2.2 考察对督查检查、业务培训指导工作的满意度。2.3 考察对基层减负工作实效的认可度。</w:t>
            </w:r>
          </w:p>
        </w:tc>
      </w:tr>
      <w:tr w14:paraId="3172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3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B281">
            <w:pPr>
              <w:jc w:val="center"/>
              <w:rPr>
                <w:rFonts w:hint="eastAsia" w:ascii="宋体" w:hAnsi="宋体" w:eastAsia="宋体" w:cs="宋体"/>
                <w:i w:val="0"/>
                <w:iCs w:val="0"/>
                <w:color w:val="000000"/>
                <w:sz w:val="24"/>
                <w:szCs w:val="24"/>
                <w:u w:val="none"/>
              </w:rPr>
            </w:pPr>
          </w:p>
        </w:tc>
        <w:tc>
          <w:tcPr>
            <w:tcW w:w="3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6607F">
            <w:pPr>
              <w:jc w:val="left"/>
              <w:rPr>
                <w:rFonts w:hint="eastAsia" w:ascii="宋体" w:hAnsi="宋体" w:eastAsia="宋体" w:cs="宋体"/>
                <w:i w:val="0"/>
                <w:iCs w:val="0"/>
                <w:color w:val="000000"/>
                <w:sz w:val="24"/>
                <w:szCs w:val="24"/>
                <w:u w:val="none"/>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top"/>
          </w:tcPr>
          <w:p w14:paraId="222BD8D4">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 内部干部职工满意度</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4F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18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3DA1">
            <w:pPr>
              <w:jc w:val="center"/>
              <w:rPr>
                <w:rFonts w:hint="eastAsia" w:ascii="宋体" w:hAnsi="宋体" w:eastAsia="宋体" w:cs="宋体"/>
                <w:i w:val="0"/>
                <w:iCs w:val="0"/>
                <w:color w:val="000000"/>
                <w:sz w:val="24"/>
                <w:szCs w:val="24"/>
                <w:u w:val="none"/>
              </w:rPr>
            </w:pP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108D">
            <w:pPr>
              <w:jc w:val="center"/>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vAlign w:val="top"/>
          </w:tcPr>
          <w:p w14:paraId="3F87135D">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 考察干部职工对学习成长、培养激励、工作环境的满意度。3.2 考察干部职工对单位凝聚力、荣誉感的认同度。</w:t>
            </w:r>
          </w:p>
        </w:tc>
      </w:tr>
      <w:tr w14:paraId="7A95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10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F1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67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3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6B9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D80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5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66C1">
            <w:pPr>
              <w:jc w:val="left"/>
              <w:rPr>
                <w:rFonts w:hint="eastAsia" w:ascii="宋体" w:hAnsi="宋体" w:eastAsia="宋体" w:cs="宋体"/>
                <w:i w:val="0"/>
                <w:iCs w:val="0"/>
                <w:color w:val="000000"/>
                <w:sz w:val="24"/>
                <w:szCs w:val="24"/>
                <w:u w:val="none"/>
              </w:rPr>
            </w:pPr>
          </w:p>
        </w:tc>
        <w:tc>
          <w:tcPr>
            <w:tcW w:w="13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3E599">
            <w:pPr>
              <w:rPr>
                <w:rFonts w:hint="eastAsia" w:ascii="宋体" w:hAnsi="宋体" w:eastAsia="宋体" w:cs="宋体"/>
                <w:i w:val="0"/>
                <w:iCs w:val="0"/>
                <w:color w:val="000000"/>
                <w:sz w:val="24"/>
                <w:szCs w:val="24"/>
                <w:u w:val="none"/>
              </w:rPr>
            </w:pPr>
          </w:p>
        </w:tc>
      </w:tr>
    </w:tbl>
    <w:p w14:paraId="5552D1B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仿宋" w:hAnsi="仿宋" w:eastAsia="仿宋" w:cs="仿宋"/>
          <w:b/>
          <w:bCs/>
          <w:i w:val="0"/>
          <w:iCs w:val="0"/>
          <w:caps w:val="0"/>
          <w:color w:val="000000"/>
          <w:spacing w:val="0"/>
          <w:sz w:val="32"/>
          <w:szCs w:val="32"/>
          <w:u w:val="none"/>
          <w:shd w:val="clear" w:fill="FFFFFF"/>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p>
    <w:p w14:paraId="49EEA4F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1"/>
        <w:rPr>
          <w:rFonts w:hint="eastAsia" w:ascii="楷体" w:hAnsi="楷体" w:eastAsia="楷体" w:cs="楷体"/>
          <w:b/>
          <w:bCs/>
          <w:sz w:val="32"/>
          <w:szCs w:val="32"/>
          <w:lang w:val="en-US" w:eastAsia="zh-CN"/>
        </w:rPr>
      </w:pPr>
      <w:bookmarkStart w:id="49" w:name="_Toc26985"/>
      <w:bookmarkStart w:id="50" w:name="_Toc31438"/>
      <w:bookmarkStart w:id="51" w:name="_Toc19667"/>
      <w:r>
        <w:rPr>
          <w:rFonts w:hint="eastAsia" w:ascii="楷体" w:hAnsi="楷体" w:eastAsia="楷体" w:cs="楷体"/>
          <w:b/>
          <w:bCs/>
          <w:sz w:val="32"/>
          <w:szCs w:val="32"/>
          <w:lang w:val="en-US" w:eastAsia="zh-CN"/>
        </w:rPr>
        <w:t>（三）评价结果</w:t>
      </w:r>
      <w:bookmarkEnd w:id="49"/>
      <w:bookmarkEnd w:id="50"/>
      <w:bookmarkEnd w:id="51"/>
    </w:p>
    <w:p w14:paraId="59C16C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1.绩效评价结果定级</w:t>
      </w:r>
    </w:p>
    <w:p w14:paraId="27D5FB03">
      <w:pPr>
        <w:pStyle w:val="1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i w:val="0"/>
          <w:iCs w:val="0"/>
          <w:caps w:val="0"/>
          <w:color w:val="000000"/>
          <w:spacing w:val="0"/>
          <w:sz w:val="32"/>
          <w:szCs w:val="32"/>
          <w:u w:val="none"/>
          <w:shd w:val="clear" w:fill="FFFFFF"/>
        </w:rPr>
        <w:t>本次绩效评价结果采用综合评分定级的方法，根据项目收集相关资料、项目访谈以及相关的规定与标准，总分值为100分，评价等级</w:t>
      </w:r>
      <w:r>
        <w:rPr>
          <w:rFonts w:hint="eastAsia" w:ascii="仿宋" w:hAnsi="仿宋" w:eastAsia="仿宋" w:cs="仿宋"/>
          <w:i w:val="0"/>
          <w:iCs w:val="0"/>
          <w:caps w:val="0"/>
          <w:color w:val="000000"/>
          <w:spacing w:val="0"/>
          <w:sz w:val="32"/>
          <w:szCs w:val="32"/>
          <w:u w:val="none"/>
          <w:shd w:val="clear" w:fill="FFFFFF"/>
          <w:lang w:eastAsia="zh-CN"/>
        </w:rPr>
        <w:t>分为</w:t>
      </w:r>
      <w:r>
        <w:rPr>
          <w:rFonts w:hint="eastAsia" w:ascii="仿宋" w:hAnsi="仿宋" w:eastAsia="仿宋" w:cs="仿宋"/>
          <w:i w:val="0"/>
          <w:iCs w:val="0"/>
          <w:caps w:val="0"/>
          <w:color w:val="000000"/>
          <w:spacing w:val="0"/>
          <w:sz w:val="32"/>
          <w:szCs w:val="32"/>
          <w:u w:val="none"/>
          <w:shd w:val="clear" w:fill="FFFFFF"/>
        </w:rPr>
        <w:t>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四档。评价得分高于</w:t>
      </w:r>
      <w:r>
        <w:rPr>
          <w:rFonts w:hint="eastAsia" w:ascii="仿宋" w:hAnsi="仿宋" w:eastAsia="仿宋" w:cs="仿宋"/>
          <w:i w:val="0"/>
          <w:iCs w:val="0"/>
          <w:caps w:val="0"/>
          <w:color w:val="000000"/>
          <w:spacing w:val="0"/>
          <w:sz w:val="32"/>
          <w:szCs w:val="32"/>
          <w:u w:val="none"/>
          <w:shd w:val="clear" w:fill="FFFFFF"/>
          <w:lang w:val="en-US" w:eastAsia="zh-CN"/>
        </w:rPr>
        <w:t>或等于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为优</w:t>
      </w:r>
      <w:r>
        <w:rPr>
          <w:rFonts w:hint="eastAsia" w:ascii="仿宋" w:hAnsi="仿宋" w:eastAsia="仿宋" w:cs="仿宋"/>
          <w:i w:val="0"/>
          <w:iCs w:val="0"/>
          <w:caps w:val="0"/>
          <w:color w:val="000000"/>
          <w:spacing w:val="0"/>
          <w:sz w:val="32"/>
          <w:szCs w:val="32"/>
          <w:u w:val="none"/>
          <w:shd w:val="clear" w:fill="FFFFFF"/>
          <w:lang w:val="en-US" w:eastAsia="zh-CN"/>
        </w:rPr>
        <w:t>秀</w:t>
      </w:r>
      <w:r>
        <w:rPr>
          <w:rFonts w:hint="eastAsia" w:ascii="仿宋" w:hAnsi="仿宋" w:eastAsia="仿宋" w:cs="仿宋"/>
          <w:i w:val="0"/>
          <w:iCs w:val="0"/>
          <w:caps w:val="0"/>
          <w:color w:val="000000"/>
          <w:spacing w:val="0"/>
          <w:sz w:val="32"/>
          <w:szCs w:val="32"/>
          <w:u w:val="none"/>
          <w:shd w:val="clear" w:fill="FFFFFF"/>
        </w:rPr>
        <w:t>；</w:t>
      </w:r>
      <w:r>
        <w:rPr>
          <w:rFonts w:hint="eastAsia" w:ascii="仿宋" w:hAnsi="仿宋" w:eastAsia="仿宋" w:cs="仿宋"/>
          <w:i w:val="0"/>
          <w:iCs w:val="0"/>
          <w:caps w:val="0"/>
          <w:color w:val="000000"/>
          <w:spacing w:val="0"/>
          <w:sz w:val="32"/>
          <w:szCs w:val="32"/>
          <w:u w:val="none"/>
          <w:shd w:val="clear" w:fill="FFFFFF"/>
          <w:lang w:eastAsia="zh-CN"/>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小于</w:t>
      </w:r>
      <w:r>
        <w:rPr>
          <w:rFonts w:hint="eastAsia" w:ascii="仿宋" w:hAnsi="仿宋" w:eastAsia="仿宋" w:cs="仿宋"/>
          <w:i w:val="0"/>
          <w:iCs w:val="0"/>
          <w:caps w:val="0"/>
          <w:color w:val="000000"/>
          <w:spacing w:val="0"/>
          <w:sz w:val="32"/>
          <w:szCs w:val="32"/>
          <w:u w:val="none"/>
          <w:shd w:val="clear" w:fill="FFFFFF"/>
        </w:rPr>
        <w:t>90分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为良</w:t>
      </w:r>
      <w:r>
        <w:rPr>
          <w:rFonts w:hint="eastAsia" w:ascii="仿宋" w:hAnsi="仿宋" w:eastAsia="仿宋" w:cs="仿宋"/>
          <w:i w:val="0"/>
          <w:iCs w:val="0"/>
          <w:caps w:val="0"/>
          <w:color w:val="000000"/>
          <w:spacing w:val="0"/>
          <w:sz w:val="32"/>
          <w:szCs w:val="32"/>
          <w:u w:val="none"/>
          <w:shd w:val="clear" w:fill="FFFFFF"/>
          <w:lang w:val="en-US" w:eastAsia="zh-CN"/>
        </w:rPr>
        <w:t>好</w:t>
      </w:r>
      <w:r>
        <w:rPr>
          <w:rFonts w:hint="eastAsia" w:ascii="仿宋" w:hAnsi="仿宋" w:eastAsia="仿宋" w:cs="仿宋"/>
          <w:i w:val="0"/>
          <w:iCs w:val="0"/>
          <w:caps w:val="0"/>
          <w:color w:val="000000"/>
          <w:spacing w:val="0"/>
          <w:sz w:val="32"/>
          <w:szCs w:val="32"/>
          <w:u w:val="none"/>
          <w:shd w:val="clear" w:fill="FFFFFF"/>
        </w:rPr>
        <w:t>；得分</w:t>
      </w:r>
      <w:r>
        <w:rPr>
          <w:rFonts w:hint="eastAsia" w:ascii="仿宋" w:hAnsi="仿宋" w:eastAsia="仿宋" w:cs="仿宋"/>
          <w:i w:val="0"/>
          <w:iCs w:val="0"/>
          <w:caps w:val="0"/>
          <w:color w:val="000000"/>
          <w:spacing w:val="0"/>
          <w:sz w:val="32"/>
          <w:szCs w:val="32"/>
          <w:u w:val="none"/>
          <w:shd w:val="clear" w:fill="FFFFFF"/>
          <w:lang w:val="en-US" w:eastAsia="zh-CN"/>
        </w:rPr>
        <w:t>高于或等于</w:t>
      </w:r>
      <w:r>
        <w:rPr>
          <w:rFonts w:hint="eastAsia" w:ascii="仿宋" w:hAnsi="仿宋" w:eastAsia="仿宋" w:cs="仿宋"/>
          <w:i w:val="0"/>
          <w:iCs w:val="0"/>
          <w:caps w:val="0"/>
          <w:color w:val="000000"/>
          <w:spacing w:val="0"/>
          <w:sz w:val="32"/>
          <w:szCs w:val="32"/>
          <w:u w:val="none"/>
          <w:shd w:val="clear" w:fill="FFFFFF"/>
        </w:rPr>
        <w:t>60分</w:t>
      </w:r>
      <w:r>
        <w:rPr>
          <w:rFonts w:hint="eastAsia" w:ascii="仿宋" w:hAnsi="仿宋" w:eastAsia="仿宋" w:cs="仿宋"/>
          <w:i w:val="0"/>
          <w:iCs w:val="0"/>
          <w:caps w:val="0"/>
          <w:color w:val="000000"/>
          <w:spacing w:val="0"/>
          <w:sz w:val="32"/>
          <w:szCs w:val="32"/>
          <w:u w:val="none"/>
          <w:shd w:val="clear" w:fill="FFFFFF"/>
          <w:lang w:val="en-US" w:eastAsia="zh-CN"/>
        </w:rPr>
        <w:t>低于80</w:t>
      </w:r>
      <w:r>
        <w:rPr>
          <w:rFonts w:hint="eastAsia" w:ascii="仿宋" w:hAnsi="仿宋" w:eastAsia="仿宋" w:cs="仿宋"/>
          <w:i w:val="0"/>
          <w:iCs w:val="0"/>
          <w:caps w:val="0"/>
          <w:color w:val="000000"/>
          <w:spacing w:val="0"/>
          <w:sz w:val="32"/>
          <w:szCs w:val="32"/>
          <w:u w:val="none"/>
          <w:shd w:val="clear" w:fill="FFFFFF"/>
        </w:rPr>
        <w:t>分</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中等</w:t>
      </w:r>
      <w:r>
        <w:rPr>
          <w:rFonts w:hint="eastAsia" w:ascii="仿宋" w:hAnsi="仿宋" w:eastAsia="仿宋" w:cs="仿宋"/>
          <w:i w:val="0"/>
          <w:iCs w:val="0"/>
          <w:caps w:val="0"/>
          <w:color w:val="000000"/>
          <w:spacing w:val="0"/>
          <w:sz w:val="32"/>
          <w:szCs w:val="32"/>
          <w:u w:val="none"/>
          <w:shd w:val="clear" w:fill="FFFFFF"/>
        </w:rPr>
        <w:t>；得分在60分以下</w:t>
      </w:r>
      <w:r>
        <w:rPr>
          <w:rFonts w:hint="eastAsia" w:ascii="仿宋" w:hAnsi="仿宋" w:eastAsia="仿宋" w:cs="仿宋"/>
          <w:i w:val="0"/>
          <w:iCs w:val="0"/>
          <w:caps w:val="0"/>
          <w:color w:val="000000"/>
          <w:spacing w:val="0"/>
          <w:sz w:val="32"/>
          <w:szCs w:val="32"/>
          <w:u w:val="none"/>
          <w:shd w:val="clear" w:fill="FFFFFF"/>
          <w:lang w:val="en-US" w:eastAsia="zh-CN"/>
        </w:rPr>
        <w:t>评价</w:t>
      </w:r>
      <w:r>
        <w:rPr>
          <w:rFonts w:hint="eastAsia" w:ascii="仿宋" w:hAnsi="仿宋" w:eastAsia="仿宋" w:cs="仿宋"/>
          <w:i w:val="0"/>
          <w:iCs w:val="0"/>
          <w:caps w:val="0"/>
          <w:color w:val="000000"/>
          <w:spacing w:val="0"/>
          <w:sz w:val="32"/>
          <w:szCs w:val="32"/>
          <w:u w:val="none"/>
          <w:shd w:val="clear" w:fill="FFFFFF"/>
        </w:rPr>
        <w:t>为</w:t>
      </w:r>
      <w:r>
        <w:rPr>
          <w:rFonts w:hint="eastAsia" w:ascii="仿宋" w:hAnsi="仿宋" w:eastAsia="仿宋" w:cs="仿宋"/>
          <w:i w:val="0"/>
          <w:iCs w:val="0"/>
          <w:caps w:val="0"/>
          <w:color w:val="000000"/>
          <w:spacing w:val="0"/>
          <w:sz w:val="32"/>
          <w:szCs w:val="32"/>
          <w:u w:val="none"/>
          <w:shd w:val="clear" w:fill="FFFFFF"/>
          <w:lang w:val="en-US" w:eastAsia="zh-CN"/>
        </w:rPr>
        <w:t>较</w:t>
      </w:r>
      <w:r>
        <w:rPr>
          <w:rFonts w:hint="eastAsia" w:ascii="仿宋" w:hAnsi="仿宋" w:eastAsia="仿宋" w:cs="仿宋"/>
          <w:i w:val="0"/>
          <w:iCs w:val="0"/>
          <w:caps w:val="0"/>
          <w:color w:val="000000"/>
          <w:spacing w:val="0"/>
          <w:sz w:val="32"/>
          <w:szCs w:val="32"/>
          <w:u w:val="none"/>
          <w:shd w:val="clear" w:fill="FFFFFF"/>
          <w:lang w:eastAsia="zh-CN"/>
        </w:rPr>
        <w:t>差</w:t>
      </w:r>
      <w:r>
        <w:rPr>
          <w:rFonts w:hint="eastAsia" w:ascii="仿宋" w:hAnsi="仿宋" w:eastAsia="仿宋" w:cs="仿宋"/>
          <w:i w:val="0"/>
          <w:iCs w:val="0"/>
          <w:caps w:val="0"/>
          <w:color w:val="000000"/>
          <w:spacing w:val="0"/>
          <w:sz w:val="32"/>
          <w:szCs w:val="32"/>
          <w:u w:val="none"/>
          <w:shd w:val="clear" w:fill="FFFFFF"/>
        </w:rPr>
        <w:t>。</w:t>
      </w:r>
    </w:p>
    <w:p w14:paraId="66B46D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2.绩效评价结论</w:t>
      </w:r>
    </w:p>
    <w:p w14:paraId="64D50FE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仿宋" w:hAnsi="仿宋" w:eastAsia="仿宋" w:cs="仿宋"/>
          <w:b/>
          <w:bCs/>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部门整体支出绩效评价综合得分</w:t>
      </w:r>
      <w:r>
        <w:rPr>
          <w:rFonts w:hint="eastAsia" w:ascii="仿宋" w:hAnsi="仿宋" w:eastAsia="仿宋" w:cs="仿宋"/>
          <w:b w:val="0"/>
          <w:bCs w:val="0"/>
          <w:i w:val="0"/>
          <w:iCs w:val="0"/>
          <w:caps w:val="0"/>
          <w:color w:val="000000"/>
          <w:spacing w:val="0"/>
          <w:sz w:val="32"/>
          <w:szCs w:val="32"/>
          <w:highlight w:val="none"/>
          <w:u w:val="none"/>
          <w:shd w:val="clear" w:fill="FFFFFF"/>
          <w:lang w:val="en-US" w:eastAsia="zh-CN"/>
        </w:rPr>
        <w:t>85</w:t>
      </w:r>
      <w:r>
        <w:rPr>
          <w:rFonts w:hint="eastAsia" w:ascii="仿宋" w:hAnsi="仿宋" w:eastAsia="仿宋" w:cs="仿宋"/>
          <w:b w:val="0"/>
          <w:bCs w:val="0"/>
          <w:i w:val="0"/>
          <w:iCs w:val="0"/>
          <w:caps w:val="0"/>
          <w:color w:val="000000"/>
          <w:spacing w:val="0"/>
          <w:sz w:val="32"/>
          <w:szCs w:val="32"/>
          <w:u w:val="none"/>
          <w:shd w:val="clear" w:fill="FFFFFF"/>
          <w:lang w:val="en-US" w:eastAsia="zh-CN"/>
        </w:rPr>
        <w:t>分，等级为“良好”。2024年区委办公室</w:t>
      </w:r>
      <w:r>
        <w:rPr>
          <w:rFonts w:hint="eastAsia" w:ascii="仿宋" w:hAnsi="仿宋" w:eastAsia="仿宋" w:cs="仿宋"/>
          <w:b/>
          <w:bCs/>
          <w:i w:val="0"/>
          <w:iCs w:val="0"/>
          <w:caps w:val="0"/>
          <w:color w:val="000000"/>
          <w:spacing w:val="0"/>
          <w:sz w:val="32"/>
          <w:szCs w:val="32"/>
          <w:u w:val="none"/>
          <w:shd w:val="clear" w:fill="FFFFFF"/>
          <w:lang w:val="en-US" w:eastAsia="zh-CN"/>
        </w:rPr>
        <w:t>预算调整率为</w:t>
      </w:r>
      <w:r>
        <w:rPr>
          <w:rFonts w:hint="eastAsia" w:ascii="仿宋" w:hAnsi="仿宋" w:eastAsia="仿宋" w:cs="仿宋"/>
          <w:b/>
          <w:bCs/>
          <w:sz w:val="32"/>
          <w:szCs w:val="32"/>
          <w:highlight w:val="none"/>
          <w:lang w:val="en-US" w:eastAsia="zh-CN"/>
        </w:rPr>
        <w:t>25.32%</w:t>
      </w:r>
      <w:r>
        <w:rPr>
          <w:rFonts w:hint="eastAsia" w:ascii="仿宋" w:hAnsi="仿宋" w:eastAsia="仿宋" w:cs="仿宋"/>
          <w:b/>
          <w:bCs/>
          <w:i w:val="0"/>
          <w:iCs w:val="0"/>
          <w:caps w:val="0"/>
          <w:color w:val="000000"/>
          <w:spacing w:val="0"/>
          <w:sz w:val="32"/>
          <w:szCs w:val="32"/>
          <w:u w:val="none"/>
          <w:shd w:val="clear" w:fill="FFFFFF"/>
          <w:lang w:val="en-US" w:eastAsia="zh-CN"/>
        </w:rPr>
        <w:t>，预算整体执行率为</w:t>
      </w:r>
      <w:r>
        <w:rPr>
          <w:rFonts w:hint="eastAsia" w:ascii="仿宋" w:hAnsi="仿宋" w:eastAsia="仿宋" w:cs="仿宋"/>
          <w:b/>
          <w:bCs/>
          <w:sz w:val="32"/>
          <w:szCs w:val="32"/>
          <w:highlight w:val="none"/>
          <w:lang w:val="en-US" w:eastAsia="zh-CN"/>
        </w:rPr>
        <w:t>98.57%</w:t>
      </w:r>
      <w:r>
        <w:rPr>
          <w:rFonts w:hint="eastAsia" w:ascii="仿宋" w:hAnsi="仿宋" w:eastAsia="仿宋" w:cs="仿宋"/>
          <w:b/>
          <w:bCs/>
          <w:i w:val="0"/>
          <w:iCs w:val="0"/>
          <w:caps w:val="0"/>
          <w:color w:val="000000"/>
          <w:spacing w:val="0"/>
          <w:sz w:val="32"/>
          <w:szCs w:val="32"/>
          <w:u w:val="none"/>
          <w:shd w:val="clear" w:fill="FFFFFF"/>
          <w:lang w:val="en-US" w:eastAsia="zh-CN"/>
        </w:rPr>
        <w:t>，人员控制率为</w:t>
      </w:r>
      <w:r>
        <w:rPr>
          <w:rFonts w:hint="eastAsia" w:ascii="仿宋" w:hAnsi="仿宋" w:eastAsia="仿宋" w:cs="仿宋"/>
          <w:b/>
          <w:bCs/>
          <w:sz w:val="32"/>
          <w:szCs w:val="32"/>
          <w:highlight w:val="none"/>
          <w:lang w:val="en-US" w:eastAsia="zh-CN"/>
        </w:rPr>
        <w:t>92.86%</w:t>
      </w:r>
      <w:r>
        <w:rPr>
          <w:rFonts w:hint="eastAsia" w:ascii="仿宋" w:hAnsi="仿宋" w:eastAsia="仿宋" w:cs="仿宋"/>
          <w:b/>
          <w:bCs/>
          <w:i w:val="0"/>
          <w:iCs w:val="0"/>
          <w:caps w:val="0"/>
          <w:color w:val="000000"/>
          <w:spacing w:val="0"/>
          <w:sz w:val="32"/>
          <w:szCs w:val="32"/>
          <w:u w:val="none"/>
          <w:shd w:val="clear" w:fill="FFFFFF"/>
          <w:lang w:val="en-US" w:eastAsia="zh-CN"/>
        </w:rPr>
        <w:t>。2024年区委办公室</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在政治引领上展现新高度。</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理论武装持续深化，党建融合推动服务效能整体提升，干部队伍素能全面增强。</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在参谋辅政上实现新作为。</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文稿服务精准有力，调研改革亮点纷呈，统筹协调高效有序，政务服务严谨规范。</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在督查落实上取得新成效。</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基层减负成效显著，督查考核规范整合，长效机制健全完善，决策落地贯通到底。</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在廉政建设上彰显新担当。</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主体责任压紧压实，巡察整改有力有序，作风优化持续深入，清廉根基不断筑牢。</w:t>
      </w:r>
      <w:r>
        <w:rPr>
          <w:rFonts w:hint="eastAsia" w:ascii="Times New Roman" w:hAnsi="Times New Roman" w:eastAsia="仿宋_GB2312" w:cs="Times New Roman"/>
          <w:b/>
          <w:bCs/>
          <w:i w:val="0"/>
          <w:iCs w:val="0"/>
          <w:caps w:val="0"/>
          <w:color w:val="auto"/>
          <w:spacing w:val="0"/>
          <w:sz w:val="32"/>
          <w:szCs w:val="32"/>
          <w:shd w:val="clear" w:color="auto" w:fill="FFFFFF"/>
          <w:lang w:val="en-US" w:eastAsia="zh-CN"/>
        </w:rPr>
        <w:t>在改革创新上打造新品牌。</w:t>
      </w:r>
      <w:r>
        <w:rPr>
          <w:rFonts w:hint="eastAsia" w:ascii="Times New Roman" w:hAnsi="Times New Roman" w:eastAsia="仿宋_GB2312" w:cs="Times New Roman"/>
          <w:i w:val="0"/>
          <w:iCs w:val="0"/>
          <w:caps w:val="0"/>
          <w:color w:val="auto"/>
          <w:spacing w:val="0"/>
          <w:sz w:val="32"/>
          <w:szCs w:val="32"/>
          <w:shd w:val="clear" w:color="auto" w:fill="FFFFFF"/>
          <w:lang w:val="en-US" w:eastAsia="zh-CN"/>
        </w:rPr>
        <w:t>多项经验获省市级推广，改革案例形成雁峰特色，文旅服务赢得广泛认可，整体工作实现跨越提升。</w:t>
      </w:r>
      <w:r>
        <w:rPr>
          <w:rFonts w:hint="eastAsia" w:ascii="仿宋" w:hAnsi="仿宋" w:eastAsia="仿宋" w:cs="仿宋"/>
          <w:b w:val="0"/>
          <w:bCs w:val="0"/>
          <w:i w:val="0"/>
          <w:iCs w:val="0"/>
          <w:caps w:val="0"/>
          <w:color w:val="000000"/>
          <w:spacing w:val="0"/>
          <w:sz w:val="32"/>
          <w:szCs w:val="32"/>
          <w:u w:val="none"/>
          <w:shd w:val="clear" w:fill="FFFFFF"/>
          <w:lang w:val="en-US" w:eastAsia="zh-CN"/>
        </w:rPr>
        <w:t>但在预算配置与执行方面、管理程序方面、人员经费管理方面及项目管理方面存在不足，在预算精准化、程序规范化、管理精细化和效益长效化方面仍有提升空间。建议补短板、强弱项，推动区委办公室工作绩效管理水平再上新台阶。</w:t>
      </w:r>
    </w:p>
    <w:p w14:paraId="5F9D58C6">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lang w:eastAsia="zh-CN"/>
        </w:rPr>
      </w:pPr>
      <w:bookmarkStart w:id="52" w:name="_Toc10443"/>
      <w:r>
        <w:rPr>
          <w:rFonts w:hint="eastAsia" w:ascii="黑体" w:hAnsi="黑体" w:eastAsia="黑体" w:cs="黑体"/>
          <w:sz w:val="32"/>
          <w:szCs w:val="32"/>
          <w:lang w:val="en-US" w:eastAsia="zh-CN"/>
        </w:rPr>
        <w:t>主要</w:t>
      </w:r>
      <w:r>
        <w:rPr>
          <w:rFonts w:hint="eastAsia" w:ascii="黑体" w:hAnsi="黑体" w:eastAsia="黑体" w:cs="黑体"/>
          <w:sz w:val="32"/>
          <w:szCs w:val="32"/>
          <w:lang w:eastAsia="zh-CN"/>
        </w:rPr>
        <w:t>问题与改进建议</w:t>
      </w:r>
      <w:bookmarkEnd w:id="52"/>
    </w:p>
    <w:p w14:paraId="7BB230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3" w:name="_Toc9690"/>
      <w:r>
        <w:rPr>
          <w:rFonts w:hint="eastAsia" w:ascii="楷体" w:hAnsi="楷体" w:eastAsia="楷体" w:cs="楷体"/>
          <w:b/>
          <w:bCs/>
          <w:sz w:val="32"/>
          <w:szCs w:val="32"/>
          <w:lang w:val="en-US" w:eastAsia="zh-CN"/>
        </w:rPr>
        <w:t>（一）预算配置与执行方面存在的问题及建议</w:t>
      </w:r>
      <w:bookmarkEnd w:id="53"/>
    </w:p>
    <w:p w14:paraId="1B5D0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1.存在基本支出挤占项目支出的情况。</w:t>
      </w:r>
    </w:p>
    <w:p w14:paraId="439C9F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流用。将项目资金用于基本支出，相当于篡改了经法律程序批准的预算案，违反了预算的刚性约束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上述违反了《中华人民共和国预算法实施条例》进一步细化了预算执行的要求，强调要严格按预算用途使用资金。</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val="en-US" w:eastAsia="zh-CN"/>
        </w:rPr>
        <w:t>原因分析如下：一是基本支出保障不足。</w:t>
      </w:r>
      <w:r>
        <w:rPr>
          <w:rFonts w:hint="eastAsia" w:ascii="仿宋" w:hAnsi="仿宋" w:eastAsia="仿宋" w:cs="仿宋"/>
          <w:b w:val="0"/>
          <w:bCs w:val="0"/>
          <w:sz w:val="32"/>
          <w:szCs w:val="32"/>
          <w:lang w:val="en-US" w:eastAsia="zh-CN"/>
        </w:rPr>
        <w:t>最常见的根源。编制内人员经费和公用经费定额标准偏低，无法覆盖实际运行成本，</w:t>
      </w:r>
      <w:r>
        <w:rPr>
          <w:rFonts w:hint="eastAsia" w:ascii="仿宋" w:hAnsi="仿宋" w:eastAsia="仿宋" w:cs="仿宋"/>
          <w:b/>
          <w:bCs/>
          <w:sz w:val="32"/>
          <w:szCs w:val="32"/>
          <w:lang w:val="en-US" w:eastAsia="zh-CN"/>
        </w:rPr>
        <w:t>“钱不够花”</w:t>
      </w:r>
      <w:r>
        <w:rPr>
          <w:rFonts w:hint="eastAsia" w:ascii="仿宋" w:hAnsi="仿宋" w:eastAsia="仿宋" w:cs="仿宋"/>
          <w:b w:val="0"/>
          <w:bCs w:val="0"/>
          <w:sz w:val="32"/>
          <w:szCs w:val="32"/>
          <w:lang w:val="en-US" w:eastAsia="zh-CN"/>
        </w:rPr>
        <w:t>。</w:t>
      </w:r>
      <w:r>
        <w:rPr>
          <w:rFonts w:hint="eastAsia" w:ascii="仿宋" w:hAnsi="仿宋" w:eastAsia="仿宋" w:cs="仿宋"/>
          <w:b/>
          <w:bCs/>
          <w:sz w:val="32"/>
          <w:szCs w:val="32"/>
          <w:lang w:val="en-US" w:eastAsia="zh-CN"/>
        </w:rPr>
        <w:t>二是预算编制不科学。</w:t>
      </w:r>
      <w:r>
        <w:rPr>
          <w:rFonts w:hint="eastAsia" w:ascii="仿宋" w:hAnsi="仿宋" w:eastAsia="仿宋" w:cs="仿宋"/>
          <w:b w:val="0"/>
          <w:bCs w:val="0"/>
          <w:sz w:val="32"/>
          <w:szCs w:val="32"/>
          <w:lang w:val="en-US" w:eastAsia="zh-CN"/>
        </w:rPr>
        <w:t>项目支出预算相比基本支出更容易获批，且预算额度可能更宽松。</w:t>
      </w:r>
      <w:r>
        <w:rPr>
          <w:rFonts w:hint="eastAsia" w:ascii="仿宋" w:hAnsi="仿宋" w:eastAsia="仿宋" w:cs="仿宋"/>
          <w:b/>
          <w:bCs/>
          <w:sz w:val="32"/>
          <w:szCs w:val="32"/>
          <w:lang w:val="en-US" w:eastAsia="zh-CN"/>
        </w:rPr>
        <w:t>三是内部控制薄弱。</w:t>
      </w:r>
      <w:r>
        <w:rPr>
          <w:rFonts w:hint="eastAsia" w:ascii="仿宋" w:hAnsi="仿宋" w:eastAsia="仿宋" w:cs="仿宋"/>
          <w:b w:val="0"/>
          <w:bCs w:val="0"/>
          <w:sz w:val="32"/>
          <w:szCs w:val="32"/>
          <w:lang w:val="en-US" w:eastAsia="zh-CN"/>
        </w:rPr>
        <w:t>单位内部财务管理制度不健全，审批流程形同虚设，财务人员监督乏力。</w:t>
      </w:r>
    </w:p>
    <w:p w14:paraId="05CF64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解决基本支出挤占项目支出现象需要</w:t>
      </w:r>
      <w:r>
        <w:rPr>
          <w:rFonts w:hint="eastAsia" w:ascii="仿宋" w:hAnsi="仿宋" w:eastAsia="仿宋" w:cs="仿宋"/>
          <w:b/>
          <w:bCs/>
          <w:sz w:val="32"/>
          <w:szCs w:val="32"/>
          <w:lang w:val="en-US" w:eastAsia="zh-CN"/>
        </w:rPr>
        <w:t>顶层设计（财政保障）、过程监管（技术+人工）和单位自律（内控+观念）三</w:t>
      </w:r>
      <w:r>
        <w:rPr>
          <w:rFonts w:hint="eastAsia" w:ascii="仿宋" w:hAnsi="仿宋" w:eastAsia="仿宋" w:cs="仿宋"/>
          <w:b w:val="0"/>
          <w:bCs w:val="0"/>
          <w:sz w:val="32"/>
          <w:szCs w:val="32"/>
          <w:lang w:val="en-US" w:eastAsia="zh-CN"/>
        </w:rPr>
        <w:t>管齐下，从“堵后门”和“开前门”两个方向入手，既要</w:t>
      </w:r>
      <w:r>
        <w:rPr>
          <w:rFonts w:hint="eastAsia" w:ascii="仿宋" w:hAnsi="仿宋" w:eastAsia="仿宋" w:cs="仿宋"/>
          <w:b/>
          <w:bCs/>
          <w:sz w:val="32"/>
          <w:szCs w:val="32"/>
          <w:lang w:val="en-US" w:eastAsia="zh-CN"/>
        </w:rPr>
        <w:t>严厉禁止</w:t>
      </w:r>
      <w:r>
        <w:rPr>
          <w:rFonts w:hint="eastAsia" w:ascii="仿宋" w:hAnsi="仿宋" w:eastAsia="仿宋" w:cs="仿宋"/>
          <w:b w:val="0"/>
          <w:bCs w:val="0"/>
          <w:sz w:val="32"/>
          <w:szCs w:val="32"/>
          <w:lang w:val="en-US" w:eastAsia="zh-CN"/>
        </w:rPr>
        <w:t>，也要</w:t>
      </w:r>
      <w:r>
        <w:rPr>
          <w:rFonts w:hint="eastAsia" w:ascii="仿宋" w:hAnsi="仿宋" w:eastAsia="仿宋" w:cs="仿宋"/>
          <w:b/>
          <w:bCs/>
          <w:sz w:val="32"/>
          <w:szCs w:val="32"/>
          <w:lang w:val="en-US" w:eastAsia="zh-CN"/>
        </w:rPr>
        <w:t>疏导根源，</w:t>
      </w:r>
      <w:r>
        <w:rPr>
          <w:rFonts w:hint="eastAsia" w:ascii="仿宋" w:hAnsi="仿宋" w:eastAsia="仿宋" w:cs="仿宋"/>
          <w:b w:val="0"/>
          <w:bCs w:val="0"/>
          <w:sz w:val="32"/>
          <w:szCs w:val="32"/>
          <w:lang w:val="en-US" w:eastAsia="zh-CN"/>
        </w:rPr>
        <w:t>从根本上遏制这一现象，确保财政资金的安全、规范和有效使用。</w:t>
      </w:r>
      <w:r>
        <w:rPr>
          <w:rFonts w:hint="eastAsia" w:ascii="仿宋" w:hAnsi="仿宋" w:eastAsia="仿宋" w:cs="仿宋"/>
          <w:b/>
          <w:bCs/>
          <w:sz w:val="32"/>
          <w:szCs w:val="32"/>
          <w:lang w:val="en-US" w:eastAsia="zh-CN"/>
        </w:rPr>
        <w:t>一是强化预算编制与审核，从源头杜绝“可能性”。A科学核定基本支出。</w:t>
      </w:r>
      <w:r>
        <w:rPr>
          <w:rFonts w:hint="eastAsia" w:ascii="仿宋" w:hAnsi="仿宋" w:eastAsia="仿宋" w:cs="仿宋"/>
          <w:b w:val="0"/>
          <w:bCs w:val="0"/>
          <w:sz w:val="32"/>
          <w:szCs w:val="32"/>
          <w:lang w:val="en-US" w:eastAsia="zh-CN"/>
        </w:rPr>
        <w:t>建立动态调整机制，使人员经费和公用经费定额标准更加贴合实际，确保机构正常运转的合理需求。</w:t>
      </w:r>
      <w:r>
        <w:rPr>
          <w:rFonts w:hint="eastAsia" w:ascii="仿宋" w:hAnsi="仿宋" w:eastAsia="仿宋" w:cs="仿宋"/>
          <w:b/>
          <w:bCs/>
          <w:sz w:val="32"/>
          <w:szCs w:val="32"/>
          <w:lang w:val="en-US" w:eastAsia="zh-CN"/>
        </w:rPr>
        <w:t>B严格项目库管理。</w:t>
      </w:r>
      <w:r>
        <w:rPr>
          <w:rFonts w:hint="eastAsia" w:ascii="仿宋" w:hAnsi="仿宋" w:eastAsia="仿宋" w:cs="仿宋"/>
          <w:b w:val="0"/>
          <w:bCs w:val="0"/>
          <w:sz w:val="32"/>
          <w:szCs w:val="32"/>
          <w:lang w:val="en-US" w:eastAsia="zh-CN"/>
        </w:rPr>
        <w:t>推行“项目入库、预算编细、滚动管理”。在预算编制阶段，组织专家对项目的必要性、可行性、预算合理性进行严格评审，剔除项目中隐含的“人员费”、“运转费”等不属于项目开支范围的内容。</w:t>
      </w:r>
      <w:r>
        <w:rPr>
          <w:rFonts w:hint="eastAsia" w:ascii="仿宋" w:hAnsi="仿宋" w:eastAsia="仿宋" w:cs="仿宋"/>
          <w:b/>
          <w:bCs/>
          <w:sz w:val="32"/>
          <w:szCs w:val="32"/>
          <w:lang w:val="en-US" w:eastAsia="zh-CN"/>
        </w:rPr>
        <w:t>C推广“零基预算”理念。</w:t>
      </w:r>
      <w:r>
        <w:rPr>
          <w:rFonts w:hint="eastAsia" w:ascii="仿宋" w:hAnsi="仿宋" w:eastAsia="仿宋" w:cs="仿宋"/>
          <w:b w:val="0"/>
          <w:bCs w:val="0"/>
          <w:sz w:val="32"/>
          <w:szCs w:val="32"/>
          <w:lang w:val="en-US" w:eastAsia="zh-CN"/>
        </w:rPr>
        <w:t>打破“基数+增长”的预算模式，每年根据实际需求和绩效目标重新审核所有支出，避免不合理支出的固化。</w:t>
      </w:r>
      <w:r>
        <w:rPr>
          <w:rFonts w:hint="eastAsia" w:ascii="仿宋" w:hAnsi="仿宋" w:eastAsia="仿宋" w:cs="仿宋"/>
          <w:b/>
          <w:bCs/>
          <w:sz w:val="32"/>
          <w:szCs w:val="32"/>
          <w:lang w:val="en-US" w:eastAsia="zh-CN"/>
        </w:rPr>
        <w:t>二是加强执行监控与预警，从事中“早发现”。A利用技术手段。</w:t>
      </w:r>
      <w:r>
        <w:rPr>
          <w:rFonts w:hint="eastAsia" w:ascii="仿宋" w:hAnsi="仿宋" w:eastAsia="仿宋" w:cs="仿宋"/>
          <w:b w:val="0"/>
          <w:bCs w:val="0"/>
          <w:sz w:val="32"/>
          <w:szCs w:val="32"/>
          <w:lang w:val="en-US" w:eastAsia="zh-CN"/>
        </w:rPr>
        <w:t>在预算管理一体化系统中设置预警规则。当单位账务中出现“项目支出-人员经费”等敏感科目时，系统自动报警并推送至财政和主管部门。</w:t>
      </w:r>
      <w:r>
        <w:rPr>
          <w:rFonts w:hint="eastAsia" w:ascii="仿宋" w:hAnsi="仿宋" w:eastAsia="仿宋" w:cs="仿宋"/>
          <w:b/>
          <w:bCs/>
          <w:sz w:val="32"/>
          <w:szCs w:val="32"/>
          <w:lang w:val="en-US" w:eastAsia="zh-CN"/>
        </w:rPr>
        <w:t>B实施重点监控。</w:t>
      </w:r>
      <w:r>
        <w:rPr>
          <w:rFonts w:hint="eastAsia" w:ascii="仿宋" w:hAnsi="仿宋" w:eastAsia="仿宋" w:cs="仿宋"/>
          <w:b w:val="0"/>
          <w:bCs w:val="0"/>
          <w:sz w:val="32"/>
          <w:szCs w:val="32"/>
          <w:lang w:val="en-US" w:eastAsia="zh-CN"/>
        </w:rPr>
        <w:t>对曾有违规记录或风险较高的单位、以及金额重大的项目进行重点监控和动态跟踪。</w:t>
      </w:r>
      <w:r>
        <w:rPr>
          <w:rFonts w:hint="eastAsia" w:ascii="仿宋" w:hAnsi="仿宋" w:eastAsia="仿宋" w:cs="仿宋"/>
          <w:b/>
          <w:bCs/>
          <w:sz w:val="32"/>
          <w:szCs w:val="32"/>
          <w:lang w:val="en-US" w:eastAsia="zh-CN"/>
        </w:rPr>
        <w:t>三是树立正确的预算绩效观念。</w:t>
      </w:r>
      <w:r>
        <w:rPr>
          <w:rFonts w:hint="eastAsia" w:ascii="仿宋" w:hAnsi="仿宋" w:eastAsia="仿宋" w:cs="仿宋"/>
          <w:b w:val="0"/>
          <w:bCs w:val="0"/>
          <w:sz w:val="32"/>
          <w:szCs w:val="32"/>
          <w:lang w:val="en-US" w:eastAsia="zh-CN"/>
        </w:rPr>
        <w:t>单位领导应带头学习《中华人民共和国预算法》等法律法规，牢固树立“预算是法、专款专用”的意识，明确挤占项目资金是“红线”、“高压线”。</w:t>
      </w:r>
      <w:r>
        <w:rPr>
          <w:rFonts w:hint="eastAsia" w:ascii="仿宋" w:hAnsi="仿宋" w:eastAsia="仿宋" w:cs="仿宋"/>
          <w:b/>
          <w:bCs/>
          <w:sz w:val="32"/>
          <w:szCs w:val="32"/>
          <w:lang w:val="en-US" w:eastAsia="zh-CN"/>
        </w:rPr>
        <w:t>四是健全内部控制系统。</w:t>
      </w:r>
      <w:r>
        <w:rPr>
          <w:rFonts w:hint="eastAsia" w:ascii="仿宋" w:hAnsi="仿宋" w:eastAsia="仿宋" w:cs="仿宋"/>
          <w:b w:val="0"/>
          <w:bCs w:val="0"/>
          <w:sz w:val="32"/>
          <w:szCs w:val="32"/>
          <w:lang w:val="en-US"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val="en-US" w:eastAsia="zh-CN"/>
        </w:rPr>
        <w:t>五是提高预算编制科学性。</w:t>
      </w:r>
      <w:r>
        <w:rPr>
          <w:rFonts w:hint="eastAsia" w:ascii="仿宋" w:hAnsi="仿宋" w:eastAsia="仿宋" w:cs="仿宋"/>
          <w:b w:val="0"/>
          <w:bCs w:val="0"/>
          <w:sz w:val="32"/>
          <w:szCs w:val="32"/>
          <w:lang w:val="en-US"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val="en-US" w:eastAsia="zh-CN"/>
        </w:rPr>
        <w:t>六是主动报告与沟通。</w:t>
      </w:r>
      <w:r>
        <w:rPr>
          <w:rFonts w:hint="eastAsia" w:ascii="仿宋" w:hAnsi="仿宋" w:eastAsia="仿宋" w:cs="仿宋"/>
          <w:b w:val="0"/>
          <w:bCs w:val="0"/>
          <w:sz w:val="32"/>
          <w:szCs w:val="32"/>
          <w:lang w:val="en-US" w:eastAsia="zh-CN"/>
        </w:rPr>
        <w:t>如果确实因政策性因素等导致基本支出出现巨大缺口，应通过正式渠道向财政主管部门申请调整预算或追加经费。</w:t>
      </w:r>
    </w:p>
    <w:p w14:paraId="220620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2.未标明会计软件使用费截止日期。2024年4月3号凭证支付核算云会计软件3,500.00元，合同及发票未标明业务起止日期。</w:t>
      </w:r>
    </w:p>
    <w:p w14:paraId="23CD25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支出真实性、准确性要求。</w:t>
      </w:r>
      <w:r>
        <w:rPr>
          <w:rFonts w:hint="eastAsia" w:ascii="仿宋" w:hAnsi="仿宋" w:eastAsia="仿宋" w:cs="仿宋"/>
          <w:b w:val="0"/>
          <w:bCs w:val="0"/>
          <w:sz w:val="32"/>
          <w:szCs w:val="32"/>
          <w:lang w:val="en-US" w:eastAsia="zh-CN"/>
        </w:rPr>
        <w:t>未附合同和验收单，导致无法证实业务真实发生及服务达标，不符合《会计基础工作规范》对原始凭证“真实、完整”的要求。根据财政部门的相关检查案例，此类问题通常会被认定为审计程序执行不到位或审计证据不充分。发票未注明服务期间，导致会计核算无法准确进行分期摊销或成本确认，影响会计信息质量。在审计中被视为截止性测试执行不到位的风险点。</w:t>
      </w:r>
    </w:p>
    <w:p w14:paraId="184E45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建议：一是及时补充完善档案材料。</w:t>
      </w:r>
      <w:r>
        <w:rPr>
          <w:rFonts w:hint="eastAsia" w:ascii="仿宋" w:hAnsi="仿宋" w:eastAsia="仿宋" w:cs="仿宋"/>
          <w:b w:val="0"/>
          <w:bCs w:val="0"/>
          <w:sz w:val="32"/>
          <w:szCs w:val="32"/>
          <w:lang w:val="en-US" w:eastAsia="zh-CN"/>
        </w:rPr>
        <w:t>联系供应商，补签服务合同（需注明服务期限、内容、金额等关键条款）。同时，要求业务使用部门出具情况说明作为替代性验收证明，说明该服务在合同期内已实际使用且无异议。联系开票方，要求重开或补充开具信息完整的发票，在备注栏或品名处注明明确的服务期间（如“服务期间：2024年X月X日至X月X日”）。</w:t>
      </w:r>
      <w:r>
        <w:rPr>
          <w:rFonts w:hint="eastAsia" w:ascii="仿宋" w:hAnsi="仿宋" w:eastAsia="仿宋" w:cs="仿宋"/>
          <w:b/>
          <w:bCs/>
          <w:sz w:val="32"/>
          <w:szCs w:val="32"/>
          <w:lang w:val="en-US" w:eastAsia="zh-CN"/>
        </w:rPr>
        <w:t>二是完善制度并加强审核。明确采购门槛。</w:t>
      </w:r>
      <w:r>
        <w:rPr>
          <w:rFonts w:hint="eastAsia" w:ascii="仿宋" w:hAnsi="仿宋" w:eastAsia="仿宋" w:cs="仿宋"/>
          <w:b w:val="0"/>
          <w:bCs w:val="0"/>
          <w:sz w:val="32"/>
          <w:szCs w:val="32"/>
          <w:lang w:val="en-US" w:eastAsia="zh-CN"/>
        </w:rPr>
        <w:t>在单位内部财务管理制度中，明确不同金额服务类支出的采购方式（如询价、比选、签订合同等）。</w:t>
      </w:r>
      <w:r>
        <w:rPr>
          <w:rFonts w:hint="eastAsia" w:ascii="仿宋" w:hAnsi="仿宋" w:eastAsia="仿宋" w:cs="仿宋"/>
          <w:b/>
          <w:bCs/>
          <w:sz w:val="32"/>
          <w:szCs w:val="32"/>
          <w:lang w:val="en-US" w:eastAsia="zh-CN"/>
        </w:rPr>
        <w:t>规范报销要件。</w:t>
      </w:r>
      <w:r>
        <w:rPr>
          <w:rFonts w:hint="eastAsia" w:ascii="仿宋" w:hAnsi="仿宋" w:eastAsia="仿宋" w:cs="仿宋"/>
          <w:b w:val="0"/>
          <w:bCs w:val="0"/>
          <w:sz w:val="32"/>
          <w:szCs w:val="32"/>
          <w:lang w:val="en-US" w:eastAsia="zh-CN"/>
        </w:rPr>
        <w:t>规定所有服务费报销，必须提供合同（协议）和服务验收单或使用部门确认单。</w:t>
      </w:r>
      <w:r>
        <w:rPr>
          <w:rFonts w:hint="eastAsia" w:ascii="仿宋" w:hAnsi="仿宋" w:eastAsia="仿宋" w:cs="仿宋"/>
          <w:b/>
          <w:bCs/>
          <w:i w:val="0"/>
          <w:iCs w:val="0"/>
          <w:sz w:val="32"/>
          <w:szCs w:val="32"/>
          <w:lang w:val="en-US" w:eastAsia="zh-CN"/>
        </w:rPr>
        <w:t>强化财务审核。</w:t>
      </w:r>
      <w:r>
        <w:rPr>
          <w:rFonts w:hint="eastAsia" w:ascii="仿宋" w:hAnsi="仿宋" w:eastAsia="仿宋" w:cs="仿宋"/>
          <w:b w:val="0"/>
          <w:bCs w:val="0"/>
          <w:sz w:val="32"/>
          <w:szCs w:val="32"/>
          <w:lang w:val="en-US" w:eastAsia="zh-CN"/>
        </w:rPr>
        <w:t>财务人员审核时，应将发票要素</w:t>
      </w:r>
      <w:r>
        <w:rPr>
          <w:rFonts w:hint="eastAsia" w:ascii="仿宋" w:hAnsi="仿宋" w:eastAsia="仿宋" w:cs="仿宋"/>
          <w:b/>
          <w:bCs/>
          <w:sz w:val="32"/>
          <w:szCs w:val="32"/>
          <w:lang w:val="en-US" w:eastAsia="zh-CN"/>
        </w:rPr>
        <w:t>（特别是服务期间）</w:t>
      </w:r>
      <w:r>
        <w:rPr>
          <w:rFonts w:hint="eastAsia" w:ascii="仿宋" w:hAnsi="仿宋" w:eastAsia="仿宋" w:cs="仿宋"/>
          <w:b w:val="0"/>
          <w:bCs w:val="0"/>
          <w:sz w:val="32"/>
          <w:szCs w:val="32"/>
          <w:lang w:val="en-US" w:eastAsia="zh-CN"/>
        </w:rPr>
        <w:t>是否齐全、是否有佐证业务真实性的合同与验收材料作为刚性要求。</w:t>
      </w:r>
      <w:r>
        <w:rPr>
          <w:rFonts w:hint="eastAsia" w:ascii="仿宋" w:hAnsi="仿宋" w:eastAsia="仿宋" w:cs="仿宋"/>
          <w:b/>
          <w:bCs/>
          <w:sz w:val="32"/>
          <w:szCs w:val="32"/>
          <w:lang w:val="en-US" w:eastAsia="zh-CN"/>
        </w:rPr>
        <w:t>三是进行风险排查。</w:t>
      </w:r>
      <w:r>
        <w:rPr>
          <w:rFonts w:hint="eastAsia" w:ascii="仿宋" w:hAnsi="仿宋" w:eastAsia="仿宋" w:cs="仿宋"/>
          <w:b w:val="0"/>
          <w:bCs w:val="0"/>
          <w:sz w:val="32"/>
          <w:szCs w:val="32"/>
          <w:lang w:val="en-US" w:eastAsia="zh-CN"/>
        </w:rPr>
        <w:t>建议对2024年度所有类似的服务费、维护费、会员费等周期性支出进行一次自查，检查是否存在同类问题，一并整改。</w:t>
      </w:r>
    </w:p>
    <w:p w14:paraId="221980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3.2024年10月8号凭证支付办公室日常支出20，637.00元。发票有明细，合同与验收无明细。2024年3月18号凭证支付日常办公用品6,983.00元。合同内无明细清单，附件有明细清单。</w:t>
      </w:r>
    </w:p>
    <w:p w14:paraId="060A8B5D">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上述违反了《中华人民共和国政府采购法实施条例》等强调采购文件的完整性。合同作为核心法律文件，缺少明细会降低其明确性，在履约纠纷中可能不利。属于管理不规范。</w:t>
      </w:r>
    </w:p>
    <w:p w14:paraId="75C8DCD0">
      <w:pPr>
        <w:pStyle w:val="8"/>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outlineLvl w:val="9"/>
        <w:rPr>
          <w:rFonts w:hint="eastAsia"/>
          <w:lang w:val="en-US" w:eastAsia="zh-CN"/>
        </w:rPr>
      </w:pPr>
      <w:r>
        <w:rPr>
          <w:rFonts w:hint="eastAsia" w:ascii="仿宋" w:hAnsi="仿宋" w:eastAsia="仿宋" w:cs="仿宋"/>
          <w:b/>
          <w:bCs/>
          <w:sz w:val="32"/>
          <w:szCs w:val="32"/>
          <w:lang w:val="en-US" w:eastAsia="zh-CN"/>
        </w:rPr>
        <w:t>建议：一是修订合同模板。</w:t>
      </w:r>
      <w:r>
        <w:rPr>
          <w:rFonts w:hint="eastAsia" w:ascii="仿宋" w:hAnsi="仿宋" w:eastAsia="仿宋" w:cs="仿宋"/>
          <w:b w:val="0"/>
          <w:bCs w:val="0"/>
          <w:sz w:val="32"/>
          <w:szCs w:val="32"/>
          <w:lang w:val="en-US" w:eastAsia="zh-CN"/>
        </w:rPr>
        <w:t>建议在单位的《采购合同》模板中，增加“货物明细及价格清单”作为合同必备附件，并在合同正文中明确“详见附件X，该附件为本合同不可分割的一部分”。</w:t>
      </w:r>
      <w:r>
        <w:rPr>
          <w:rFonts w:hint="eastAsia" w:ascii="仿宋" w:hAnsi="仿宋" w:eastAsia="仿宋" w:cs="仿宋"/>
          <w:b/>
          <w:bCs/>
          <w:sz w:val="32"/>
          <w:szCs w:val="32"/>
          <w:lang w:val="en-US" w:eastAsia="zh-CN"/>
        </w:rPr>
        <w:t>二是规范归档要求。</w:t>
      </w:r>
      <w:r>
        <w:rPr>
          <w:rFonts w:hint="eastAsia" w:ascii="仿宋" w:hAnsi="仿宋" w:eastAsia="仿宋" w:cs="仿宋"/>
          <w:b w:val="0"/>
          <w:bCs w:val="0"/>
          <w:sz w:val="32"/>
          <w:szCs w:val="32"/>
          <w:lang w:val="en-US" w:eastAsia="zh-CN"/>
        </w:rPr>
        <w:t>在财务报销制度中明确，合同及其所有附件必须作为凭证的完整组成部分装订归档，不得缺失。三</w:t>
      </w:r>
      <w:r>
        <w:rPr>
          <w:rFonts w:hint="eastAsia" w:ascii="仿宋" w:hAnsi="仿宋" w:eastAsia="仿宋" w:cs="仿宋"/>
          <w:b/>
          <w:bCs/>
          <w:sz w:val="32"/>
          <w:szCs w:val="32"/>
          <w:lang w:val="en-US" w:eastAsia="zh-CN"/>
        </w:rPr>
        <w:t>是强化财务审核前置。</w:t>
      </w:r>
      <w:r>
        <w:rPr>
          <w:rFonts w:hint="eastAsia" w:ascii="仿宋" w:hAnsi="仿宋" w:eastAsia="仿宋" w:cs="仿宋"/>
          <w:b w:val="0"/>
          <w:bCs w:val="0"/>
          <w:sz w:val="32"/>
          <w:szCs w:val="32"/>
          <w:lang w:val="en-US" w:eastAsia="zh-CN"/>
        </w:rPr>
        <w:t>财务人员在支付前，应依据制度对支出凭证的完整性进行审核，对材料不全的坚决退回补正。</w:t>
      </w:r>
      <w:r>
        <w:rPr>
          <w:rFonts w:hint="eastAsia" w:ascii="仿宋" w:hAnsi="仿宋" w:eastAsia="仿宋" w:cs="仿宋"/>
          <w:b/>
          <w:bCs/>
          <w:sz w:val="32"/>
          <w:szCs w:val="32"/>
          <w:lang w:val="en-US" w:eastAsia="zh-CN"/>
        </w:rPr>
        <w:t>四是定期开展内部培训。</w:t>
      </w:r>
      <w:r>
        <w:rPr>
          <w:rFonts w:hint="eastAsia" w:ascii="仿宋" w:hAnsi="仿宋" w:eastAsia="仿宋" w:cs="仿宋"/>
          <w:b w:val="0"/>
          <w:bCs w:val="0"/>
          <w:sz w:val="32"/>
          <w:szCs w:val="32"/>
          <w:lang w:val="en-US" w:eastAsia="zh-CN"/>
        </w:rPr>
        <w:t>对业务经办人员和财务人员就采购流程、合同管理、报销规范进行定期培训。</w:t>
      </w:r>
    </w:p>
    <w:p w14:paraId="7EDB28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4.2024年1月9号凭证支付2024年春节慰问台胞台属6,600.00元，后附常清单有台胞台属联谊会盖章，有人员银行账号，但通过工资账户支付慰问金，无回单，无收款签字确认，后附台胞台属清单无对应人员联系电话。</w:t>
      </w:r>
    </w:p>
    <w:p w14:paraId="3F42E2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行政事业单位内部控制规范》。通过工资账户（中间账户）转付，而非直接支付至清单上的个人账户。存在高风险。违反资金“直达”原则，无法证明款项最终准确、足额发放至每一位慰问对象。此类专项支出应尽量避免通过经办人账户中转，以防资金被截留、挪用的风险。无银行回单，无法证实转账是否实际发生、何时发生、金额是否正确。缺少最核心的支付完成证据，银行回单是证明经济业务真实发生的法定凭证，其缺失使得整个支付的“真实性”存疑。</w:t>
      </w:r>
      <w:r>
        <w:rPr>
          <w:rFonts w:hint="eastAsia" w:ascii="仿宋" w:hAnsi="仿宋" w:eastAsia="仿宋" w:cs="仿宋"/>
          <w:b/>
          <w:bCs/>
          <w:sz w:val="32"/>
          <w:szCs w:val="32"/>
          <w:lang w:val="en-US" w:eastAsia="zh-CN"/>
        </w:rPr>
        <w:t>无收款人签字确认表。</w:t>
      </w:r>
      <w:r>
        <w:rPr>
          <w:rFonts w:hint="eastAsia" w:ascii="仿宋" w:hAnsi="仿宋" w:eastAsia="仿宋" w:cs="仿宋"/>
          <w:b w:val="0"/>
          <w:bCs w:val="0"/>
          <w:sz w:val="32"/>
          <w:szCs w:val="32"/>
          <w:lang w:val="en-US" w:eastAsia="zh-CN"/>
        </w:rPr>
        <w:t>仅有发放清单，但无个人确认收款的痕迹。</w:t>
      </w:r>
      <w:r>
        <w:rPr>
          <w:rFonts w:hint="eastAsia" w:ascii="仿宋" w:hAnsi="仿宋" w:eastAsia="仿宋" w:cs="仿宋"/>
          <w:b w:val="0"/>
          <w:bCs w:val="0"/>
          <w:sz w:val="32"/>
          <w:szCs w:val="32"/>
          <w:lang w:val="en-US" w:eastAsia="zh-CN"/>
        </w:rPr>
        <w:tab/>
      </w:r>
      <w:r>
        <w:rPr>
          <w:rFonts w:hint="eastAsia" w:ascii="仿宋" w:hAnsi="仿宋" w:eastAsia="仿宋" w:cs="仿宋"/>
          <w:b w:val="0"/>
          <w:bCs w:val="0"/>
          <w:sz w:val="32"/>
          <w:szCs w:val="32"/>
          <w:lang w:val="en-US" w:eastAsia="zh-CN"/>
        </w:rPr>
        <w:t>高风险。在采用间接支付（通过工资账户）的情况下，签字确认是证明款项已送达的关键替代证据。缺失此环节，则资金发放“最后一公里”完全无据可查。</w:t>
      </w:r>
      <w:r>
        <w:rPr>
          <w:rFonts w:hint="eastAsia" w:ascii="仿宋" w:hAnsi="仿宋" w:eastAsia="仿宋" w:cs="仿宋"/>
          <w:b/>
          <w:bCs/>
          <w:sz w:val="32"/>
          <w:szCs w:val="32"/>
          <w:lang w:val="en-US" w:eastAsia="zh-CN"/>
        </w:rPr>
        <w:t>清单有联谊会盖章和人员银行账号，但无对应人员联系电话。</w:t>
      </w:r>
      <w:r>
        <w:rPr>
          <w:rFonts w:hint="eastAsia" w:ascii="仿宋" w:hAnsi="仿宋" w:eastAsia="仿宋" w:cs="仿宋"/>
          <w:b w:val="0"/>
          <w:bCs w:val="0"/>
          <w:sz w:val="32"/>
          <w:szCs w:val="32"/>
          <w:lang w:val="en-US" w:eastAsia="zh-CN"/>
        </w:rPr>
        <w:t>中风险。</w:t>
      </w:r>
      <w:r>
        <w:rPr>
          <w:rFonts w:hint="eastAsia" w:ascii="仿宋" w:hAnsi="仿宋" w:eastAsia="仿宋" w:cs="仿宋"/>
          <w:b/>
          <w:bCs/>
          <w:sz w:val="32"/>
          <w:szCs w:val="32"/>
          <w:lang w:val="en-US" w:eastAsia="zh-CN"/>
        </w:rPr>
        <w:t>属于管理不规范。</w:t>
      </w:r>
      <w:r>
        <w:rPr>
          <w:rFonts w:hint="eastAsia" w:ascii="仿宋" w:hAnsi="仿宋" w:eastAsia="仿宋" w:cs="仿宋"/>
          <w:b w:val="0"/>
          <w:bCs w:val="0"/>
          <w:sz w:val="32"/>
          <w:szCs w:val="32"/>
          <w:lang w:val="en-US" w:eastAsia="zh-CN"/>
        </w:rPr>
        <w:t>缺少联系电话，导致财务或审计人员无法在事后进行有效的抽样核实，降低了监督的可操作性。</w:t>
      </w:r>
    </w:p>
    <w:p w14:paraId="529C28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建议：一是及时核查与补救（针对已发生业务）。A获取支付证明。</w:t>
      </w:r>
      <w:r>
        <w:rPr>
          <w:rFonts w:hint="eastAsia" w:ascii="仿宋" w:hAnsi="仿宋" w:eastAsia="仿宋" w:cs="仿宋"/>
          <w:b w:val="0"/>
          <w:bCs w:val="0"/>
          <w:sz w:val="32"/>
          <w:szCs w:val="32"/>
          <w:lang w:val="en-US" w:eastAsia="zh-CN"/>
        </w:rPr>
        <w:t>联系通过工资账户付款的经办人，务必取得支付给联谊会或相关负责人的银行转账回单，作为第一层支付证据。</w:t>
      </w:r>
      <w:r>
        <w:rPr>
          <w:rFonts w:hint="eastAsia" w:ascii="仿宋" w:hAnsi="仿宋" w:eastAsia="仿宋" w:cs="仿宋"/>
          <w:b/>
          <w:bCs/>
          <w:sz w:val="32"/>
          <w:szCs w:val="32"/>
          <w:lang w:val="en-US" w:eastAsia="zh-CN"/>
        </w:rPr>
        <w:t>B补办收款确认。</w:t>
      </w:r>
      <w:r>
        <w:rPr>
          <w:rFonts w:hint="eastAsia" w:ascii="仿宋" w:hAnsi="仿宋" w:eastAsia="仿宋" w:cs="仿宋"/>
          <w:b w:val="0"/>
          <w:bCs w:val="0"/>
          <w:sz w:val="32"/>
          <w:szCs w:val="32"/>
          <w:lang w:val="en-US" w:eastAsia="zh-CN"/>
        </w:rPr>
        <w:t>请负责发放的联谊会或经办人，联系每一位慰问对象，补签一份《慰问金收款确认表》，需包含姓名、身份证号、收款金额、收款日期及本人签字（或按手印）。</w:t>
      </w:r>
      <w:r>
        <w:rPr>
          <w:rFonts w:hint="eastAsia" w:ascii="仿宋" w:hAnsi="仿宋" w:eastAsia="仿宋" w:cs="仿宋"/>
          <w:b/>
          <w:bCs/>
          <w:sz w:val="32"/>
          <w:szCs w:val="32"/>
          <w:lang w:val="en-US" w:eastAsia="zh-CN"/>
        </w:rPr>
        <w:t>C补充核实信息。</w:t>
      </w:r>
      <w:r>
        <w:rPr>
          <w:rFonts w:hint="eastAsia" w:ascii="仿宋" w:hAnsi="仿宋" w:eastAsia="仿宋" w:cs="仿宋"/>
          <w:b w:val="0"/>
          <w:bCs w:val="0"/>
          <w:sz w:val="32"/>
          <w:szCs w:val="32"/>
          <w:lang w:val="en-US" w:eastAsia="zh-CN"/>
        </w:rPr>
        <w:t>在补充的确认表上，务必备注收款人的有效联系电话。</w:t>
      </w:r>
      <w:r>
        <w:rPr>
          <w:rFonts w:hint="eastAsia" w:ascii="仿宋" w:hAnsi="仿宋" w:eastAsia="仿宋" w:cs="仿宋"/>
          <w:b/>
          <w:bCs/>
          <w:sz w:val="32"/>
          <w:szCs w:val="32"/>
          <w:lang w:val="en-US" w:eastAsia="zh-CN"/>
        </w:rPr>
        <w:t>二是彻底规范未来流程（建立长效机制）。A首选方案（直接支付）。</w:t>
      </w:r>
      <w:r>
        <w:rPr>
          <w:rFonts w:hint="eastAsia" w:ascii="仿宋" w:hAnsi="仿宋" w:eastAsia="仿宋" w:cs="仿宋"/>
          <w:b w:val="0"/>
          <w:bCs w:val="0"/>
          <w:sz w:val="32"/>
          <w:szCs w:val="32"/>
          <w:lang w:val="en-US" w:eastAsia="zh-CN"/>
        </w:rPr>
        <w:t>所有发放给个人的慰问金、补助款等，</w:t>
      </w:r>
      <w:r>
        <w:rPr>
          <w:rFonts w:hint="eastAsia" w:ascii="仿宋" w:hAnsi="仿宋" w:eastAsia="仿宋" w:cs="仿宋"/>
          <w:b/>
          <w:bCs/>
          <w:sz w:val="32"/>
          <w:szCs w:val="32"/>
          <w:lang w:val="en-US" w:eastAsia="zh-CN"/>
        </w:rPr>
        <w:t>必须由单位财务直接支付到慰问对象本人实名持有的银行账户。</w:t>
      </w:r>
      <w:r>
        <w:rPr>
          <w:rFonts w:hint="eastAsia" w:ascii="仿宋" w:hAnsi="仿宋" w:eastAsia="仿宋" w:cs="仿宋"/>
          <w:b w:val="0"/>
          <w:bCs w:val="0"/>
          <w:sz w:val="32"/>
          <w:szCs w:val="32"/>
          <w:lang w:val="en-US" w:eastAsia="zh-CN"/>
        </w:rPr>
        <w:t>支付成功后，</w:t>
      </w:r>
      <w:r>
        <w:rPr>
          <w:rFonts w:hint="eastAsia" w:ascii="仿宋" w:hAnsi="仿宋" w:eastAsia="仿宋" w:cs="仿宋"/>
          <w:b/>
          <w:bCs/>
          <w:sz w:val="32"/>
          <w:szCs w:val="32"/>
          <w:lang w:val="en-US" w:eastAsia="zh-CN"/>
        </w:rPr>
        <w:t>直接打印银行回单作为凭证</w:t>
      </w:r>
      <w:r>
        <w:rPr>
          <w:rFonts w:hint="eastAsia" w:ascii="仿宋" w:hAnsi="仿宋" w:eastAsia="仿宋" w:cs="仿宋"/>
          <w:b w:val="0"/>
          <w:bCs w:val="0"/>
          <w:sz w:val="32"/>
          <w:szCs w:val="32"/>
          <w:lang w:val="en-US" w:eastAsia="zh-CN"/>
        </w:rPr>
        <w:t>，从根源上杜绝中间环节风险。B</w:t>
      </w:r>
      <w:r>
        <w:rPr>
          <w:rFonts w:hint="eastAsia" w:ascii="仿宋" w:hAnsi="仿宋" w:eastAsia="仿宋" w:cs="仿宋"/>
          <w:b/>
          <w:bCs/>
          <w:sz w:val="32"/>
          <w:szCs w:val="32"/>
          <w:lang w:val="en-US" w:eastAsia="zh-CN"/>
        </w:rPr>
        <w:t>次选方案（现场发放）。</w:t>
      </w:r>
      <w:r>
        <w:rPr>
          <w:rFonts w:hint="eastAsia" w:ascii="仿宋" w:hAnsi="仿宋" w:eastAsia="仿宋" w:cs="仿宋"/>
          <w:b w:val="0"/>
          <w:bCs w:val="0"/>
          <w:sz w:val="32"/>
          <w:szCs w:val="32"/>
          <w:lang w:val="en-US" w:eastAsia="zh-CN"/>
        </w:rPr>
        <w:t>如确需发放现金，必须制定严格程序，至少两名工作人员共同执行，现场由收款人签字、按手印确认，并拍摄包含收款人、现金、工作人员的可辨识现场照片作为辅助证据。C</w:t>
      </w:r>
      <w:r>
        <w:rPr>
          <w:rFonts w:hint="eastAsia" w:ascii="仿宋" w:hAnsi="仿宋" w:eastAsia="仿宋" w:cs="仿宋"/>
          <w:b/>
          <w:bCs/>
          <w:sz w:val="32"/>
          <w:szCs w:val="32"/>
          <w:lang w:val="en-US" w:eastAsia="zh-CN"/>
        </w:rPr>
        <w:t>完善清单要素。</w:t>
      </w:r>
      <w:r>
        <w:rPr>
          <w:rFonts w:hint="eastAsia" w:ascii="仿宋" w:hAnsi="仿宋" w:eastAsia="仿宋" w:cs="仿宋"/>
          <w:b w:val="0"/>
          <w:bCs w:val="0"/>
          <w:sz w:val="32"/>
          <w:szCs w:val="32"/>
          <w:lang w:val="en-US" w:eastAsia="zh-CN"/>
        </w:rPr>
        <w:t>设计统一的发放清单模板，必须包含序号、姓名、身份证号、银行账号（开户行）、联系电话、金额、领款人签字及日期等必备要素。D</w:t>
      </w:r>
      <w:r>
        <w:rPr>
          <w:rFonts w:hint="eastAsia" w:ascii="仿宋" w:hAnsi="仿宋" w:eastAsia="仿宋" w:cs="仿宋"/>
          <w:b/>
          <w:bCs/>
          <w:sz w:val="32"/>
          <w:szCs w:val="32"/>
          <w:lang w:val="en-US" w:eastAsia="zh-CN"/>
        </w:rPr>
        <w:t>完善凭证归档。</w:t>
      </w:r>
      <w:r>
        <w:rPr>
          <w:rFonts w:hint="eastAsia" w:ascii="仿宋" w:hAnsi="仿宋" w:eastAsia="仿宋" w:cs="仿宋"/>
          <w:b w:val="0"/>
          <w:bCs w:val="0"/>
          <w:sz w:val="32"/>
          <w:szCs w:val="32"/>
          <w:lang w:val="en-US" w:eastAsia="zh-CN"/>
        </w:rPr>
        <w:t>将本次补充取得的银行回单、补签的收款确认表以及原凭证、盖章清单，作为一套完整的会计档案进行装订存档，并在记账摘要中加以说明。</w:t>
      </w:r>
    </w:p>
    <w:p w14:paraId="491915A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5.2024年4月26号凭证支付全区通讯录加印费8,400.00元后未附有印刷样本。2024年9月13号凭证支付日常办公耗材7,330.00元。2024年10月18号凭证支付7,750元。后无印刷打印制作的样本。</w:t>
      </w:r>
    </w:p>
    <w:p w14:paraId="7FCCC6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上述违反了《行政事业单位内部控制规范（试行）》 要求确保资产安全和使用有效。</w:t>
      </w:r>
      <w:r>
        <w:rPr>
          <w:rFonts w:hint="eastAsia" w:ascii="仿宋" w:hAnsi="仿宋" w:eastAsia="仿宋" w:cs="仿宋"/>
          <w:b/>
          <w:bCs/>
          <w:sz w:val="32"/>
          <w:szCs w:val="32"/>
          <w:lang w:val="en-US" w:eastAsia="zh-CN"/>
        </w:rPr>
        <w:t>无样本，则“验收”环节缺失实质性证据，内控存在漏洞。</w:t>
      </w:r>
      <w:r>
        <w:rPr>
          <w:rFonts w:hint="eastAsia" w:ascii="仿宋" w:hAnsi="仿宋" w:eastAsia="仿宋" w:cs="仿宋"/>
          <w:b w:val="0"/>
          <w:bCs w:val="0"/>
          <w:sz w:val="32"/>
          <w:szCs w:val="32"/>
          <w:lang w:val="en-US" w:eastAsia="zh-CN"/>
        </w:rPr>
        <w:t>易引发对印刷质量、实际数量是否与合同一致的质疑。中高风险。无法对印刷品的材质、装订、内容、数量等进行事后核实。印刷品单价或总价较高时，此缺陷尤为突出。</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上述违反了根据《政府会计制度》及审计实践，对于有明确有形成果的采购（如印刷品、标牌、展板等），将成果样本或照片作为支付凭证的附件是普遍要求，以确保财政资金购买了既定标准的商品。存在</w:t>
      </w:r>
      <w:r>
        <w:rPr>
          <w:rFonts w:hint="eastAsia" w:ascii="仿宋" w:hAnsi="仿宋" w:eastAsia="仿宋" w:cs="仿宋"/>
          <w:b/>
          <w:bCs/>
          <w:sz w:val="32"/>
          <w:szCs w:val="32"/>
          <w:lang w:val="en-US" w:eastAsia="zh-CN"/>
        </w:rPr>
        <w:t>中高风险。</w:t>
      </w:r>
      <w:r>
        <w:rPr>
          <w:rFonts w:hint="eastAsia" w:ascii="仿宋" w:hAnsi="仿宋" w:eastAsia="仿宋" w:cs="仿宋"/>
          <w:b w:val="0"/>
          <w:bCs w:val="0"/>
          <w:sz w:val="32"/>
          <w:szCs w:val="32"/>
          <w:lang w:val="en-US" w:eastAsia="zh-CN"/>
        </w:rPr>
        <w:t>印刷制作类采购缺少产出物证明，验收程序不完整。</w:t>
      </w:r>
    </w:p>
    <w:p w14:paraId="207F8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lang w:val="en-US" w:eastAsia="zh-CN"/>
        </w:rPr>
      </w:pPr>
      <w:r>
        <w:rPr>
          <w:rFonts w:hint="eastAsia" w:ascii="仿宋" w:hAnsi="仿宋" w:eastAsia="仿宋" w:cs="仿宋"/>
          <w:b/>
          <w:bCs/>
          <w:sz w:val="32"/>
          <w:szCs w:val="32"/>
          <w:lang w:val="en-US" w:eastAsia="zh-CN"/>
        </w:rPr>
        <w:t>建议：一是及时补救（针对已发生支出）。</w:t>
      </w:r>
      <w:r>
        <w:rPr>
          <w:rFonts w:hint="eastAsia" w:ascii="仿宋" w:hAnsi="仿宋" w:eastAsia="仿宋" w:cs="仿宋"/>
          <w:b w:val="0"/>
          <w:bCs w:val="0"/>
          <w:sz w:val="32"/>
          <w:szCs w:val="32"/>
          <w:lang w:val="en-US" w:eastAsia="zh-CN"/>
        </w:rPr>
        <w:t>尽可能补全能够证明“收到了符合要求的商品或服务”的证据。</w:t>
      </w:r>
      <w:r>
        <w:rPr>
          <w:rFonts w:hint="eastAsia" w:ascii="仿宋" w:hAnsi="仿宋" w:eastAsia="仿宋" w:cs="仿宋"/>
          <w:b/>
          <w:bCs/>
          <w:sz w:val="32"/>
          <w:szCs w:val="32"/>
          <w:lang w:val="en-US" w:eastAsia="zh-CN"/>
        </w:rPr>
        <w:t>联系供应商或承办部门，补取相关印刷品、制作物的实物样本或清晰照片。</w:t>
      </w:r>
      <w:r>
        <w:rPr>
          <w:rFonts w:hint="eastAsia" w:ascii="仿宋" w:hAnsi="仿宋" w:eastAsia="仿宋" w:cs="仿宋"/>
          <w:b w:val="0"/>
          <w:bCs w:val="0"/>
          <w:sz w:val="32"/>
          <w:szCs w:val="32"/>
          <w:lang w:val="en-US" w:eastAsia="zh-CN"/>
        </w:rPr>
        <w:t>对于办公耗材，补办入库验收单或由使用部门出具领用确认说明。所有补充材料需注明对应的凭证号、采购内容、数量，并由经办人、验收人或部门负责人签字确认。将这些补充材料与原凭证一同归档，形成完整的证据链。</w:t>
      </w:r>
      <w:r>
        <w:rPr>
          <w:rFonts w:hint="eastAsia" w:ascii="仿宋" w:hAnsi="仿宋" w:eastAsia="仿宋" w:cs="仿宋"/>
          <w:b/>
          <w:bCs/>
          <w:sz w:val="32"/>
          <w:szCs w:val="32"/>
          <w:lang w:val="en-US" w:eastAsia="zh-CN"/>
        </w:rPr>
        <w:t>二是建立长效规范（杜绝未来问题）。A完善制度条款。</w:t>
      </w:r>
      <w:r>
        <w:rPr>
          <w:rFonts w:hint="eastAsia" w:ascii="仿宋" w:hAnsi="仿宋" w:eastAsia="仿宋" w:cs="仿宋"/>
          <w:b w:val="0"/>
          <w:bCs w:val="0"/>
          <w:sz w:val="32"/>
          <w:szCs w:val="32"/>
          <w:lang w:val="en-US" w:eastAsia="zh-CN"/>
        </w:rPr>
        <w:t>在单位内部的《采购管理办法》或《财务报销细则》中，明确增加关于“验收材料”的强制性附件要求。例如，可规定：“所有采购项目（货物、服务）支付时，必须附有由验收人签字的《验收合格单》。其中，印刷品、定制制品、宣传物料等必须附实物小样或照片；设备、批量货物需附入库单；服务类需附成果确认书。”B</w:t>
      </w:r>
      <w:r>
        <w:rPr>
          <w:rFonts w:hint="eastAsia" w:ascii="仿宋" w:hAnsi="仿宋" w:eastAsia="仿宋" w:cs="仿宋"/>
          <w:b/>
          <w:bCs/>
          <w:sz w:val="32"/>
          <w:szCs w:val="32"/>
          <w:lang w:val="en-US" w:eastAsia="zh-CN"/>
        </w:rPr>
        <w:t>优化采购合同模板。</w:t>
      </w:r>
      <w:r>
        <w:rPr>
          <w:rFonts w:hint="eastAsia" w:ascii="仿宋" w:hAnsi="仿宋" w:eastAsia="仿宋" w:cs="仿宋"/>
          <w:b w:val="0"/>
          <w:bCs w:val="0"/>
          <w:sz w:val="32"/>
          <w:szCs w:val="32"/>
          <w:lang w:val="en-US" w:eastAsia="zh-CN"/>
        </w:rPr>
        <w:t>在印刷、制作类合同的付款条款中，明确约定“乙方在申请支付尾款时，需同时提供X份成品样本供甲方存档”，将提供样本作为乙方的合同义务和甲方的付款前提。C</w:t>
      </w:r>
      <w:r>
        <w:rPr>
          <w:rFonts w:hint="eastAsia" w:ascii="仿宋" w:hAnsi="仿宋" w:eastAsia="仿宋" w:cs="仿宋"/>
          <w:b/>
          <w:bCs/>
          <w:sz w:val="32"/>
          <w:szCs w:val="32"/>
          <w:lang w:val="en-US" w:eastAsia="zh-CN"/>
        </w:rPr>
        <w:t>强化财务审核把关。</w:t>
      </w:r>
      <w:r>
        <w:rPr>
          <w:rFonts w:hint="eastAsia" w:ascii="仿宋" w:hAnsi="仿宋" w:eastAsia="仿宋" w:cs="仿宋"/>
          <w:b w:val="0"/>
          <w:bCs w:val="0"/>
          <w:sz w:val="32"/>
          <w:szCs w:val="32"/>
          <w:lang w:val="en-US" w:eastAsia="zh-CN"/>
        </w:rPr>
        <w:t>财务人员在审核报销时，应将“是否有验收手续”作为与发票、合同同等重要的审核要点，对缺失附件的一律退回补正，从支付末端堵住漏洞。</w:t>
      </w:r>
    </w:p>
    <w:p w14:paraId="336908B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6.2024年12月31号凭证支付跨期费用，支付2022年的节目制作单费用780.00元。后附有收款方的说明。</w:t>
      </w:r>
    </w:p>
    <w:p w14:paraId="73AA56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上述违反了支付时效与预算匹配原则。支出应在对应的预算年度内完成，确保“钱”与“事”（项目执行）在时间上匹配。</w:t>
      </w:r>
      <w:r>
        <w:rPr>
          <w:rFonts w:hint="eastAsia" w:ascii="仿宋" w:hAnsi="仿宋" w:eastAsia="仿宋" w:cs="仿宋"/>
          <w:b/>
          <w:bCs/>
          <w:sz w:val="32"/>
          <w:szCs w:val="32"/>
          <w:lang w:val="en-US" w:eastAsia="zh-CN"/>
        </w:rPr>
        <w:t>支出严重滞后。</w:t>
      </w:r>
      <w:r>
        <w:rPr>
          <w:rFonts w:hint="eastAsia" w:ascii="仿宋" w:hAnsi="仿宋" w:eastAsia="仿宋" w:cs="仿宋"/>
          <w:b w:val="0"/>
          <w:bCs w:val="0"/>
          <w:sz w:val="32"/>
          <w:szCs w:val="32"/>
          <w:lang w:val="en-US" w:eastAsia="zh-CN"/>
        </w:rPr>
        <w:t>费用所属的2022年预算已决算完毕，2024年底支付导致资金脱离原预算和绩效目标的监管，破坏了预算的严肃性和约束力。</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费用归属与绩效核算成本应准确归属至发生时的原则。</w:t>
      </w:r>
      <w:r>
        <w:rPr>
          <w:rFonts w:hint="eastAsia" w:ascii="仿宋" w:hAnsi="仿宋" w:eastAsia="仿宋" w:cs="仿宋"/>
          <w:b w:val="0"/>
          <w:bCs w:val="0"/>
          <w:sz w:val="32"/>
          <w:szCs w:val="32"/>
          <w:lang w:val="en-US" w:eastAsia="zh-CN"/>
        </w:rPr>
        <w:t>应确保绩效成本核算的真实、准确。成本归属错乱，将历史成本计入当前年度支出，扭曲了2024年及2022年两个年度的项目绩效成本，无法真实反映任一时期的资金使用效益。这笔支出无法与2022年项目的实际绩效建立有效关联，导致“花钱必问效，无效必问责”的机制落空。同时，它占用了2024年的预算资源，可能影响该年度其他有效项目的评价。</w:t>
      </w:r>
      <w:r>
        <w:rPr>
          <w:rFonts w:hint="eastAsia" w:ascii="仿宋" w:hAnsi="仿宋" w:eastAsia="仿宋" w:cs="仿宋"/>
          <w:b/>
          <w:bCs/>
          <w:sz w:val="32"/>
          <w:szCs w:val="32"/>
          <w:lang w:val="en-US" w:eastAsia="zh-CN"/>
        </w:rPr>
        <w:t>关于“收款方说明”的效力：</w:t>
      </w:r>
      <w:r>
        <w:rPr>
          <w:rFonts w:hint="eastAsia" w:ascii="仿宋" w:hAnsi="仿宋" w:eastAsia="仿宋" w:cs="仿宋"/>
          <w:b w:val="0"/>
          <w:bCs w:val="0"/>
          <w:sz w:val="32"/>
          <w:szCs w:val="32"/>
          <w:lang w:val="en-US" w:eastAsia="zh-CN"/>
        </w:rPr>
        <w:t>后附的收款方说明仅能解释款项拖欠的原因，无法免除或修正其在预算管理和绩效评价方面的程序性违规。绩效评价关注的是预算单位自身的管理行为，外部情况不能成为内部管理失当的合规理由。</w:t>
      </w:r>
    </w:p>
    <w:p w14:paraId="444A12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建议：</w:t>
      </w:r>
      <w:r>
        <w:rPr>
          <w:rFonts w:hint="eastAsia" w:ascii="仿宋" w:hAnsi="仿宋" w:eastAsia="仿宋" w:cs="仿宋"/>
          <w:b/>
          <w:bCs/>
          <w:sz w:val="32"/>
          <w:szCs w:val="32"/>
          <w:lang w:val="en-US" w:eastAsia="zh-CN"/>
        </w:rPr>
        <w:t>一是追溯根源，核实制度。</w:t>
      </w:r>
      <w:r>
        <w:rPr>
          <w:rFonts w:hint="eastAsia" w:ascii="仿宋" w:hAnsi="仿宋" w:eastAsia="仿宋" w:cs="仿宋"/>
          <w:b w:val="0"/>
          <w:bCs w:val="0"/>
          <w:sz w:val="32"/>
          <w:szCs w:val="32"/>
          <w:lang w:val="en-US" w:eastAsia="zh-CN"/>
        </w:rPr>
        <w:t>对应（省、市）财政部门最新的《预算绩效管理办法》或《预算管理规定》。重点查找关于“预算执行时效”、“跨期费用处理”、“以前年度支出列支”等方面的具体条款。这笔支出是否违规，最终需以你单位直接遵从的本地制度为准。</w:t>
      </w:r>
      <w:r>
        <w:rPr>
          <w:rFonts w:hint="eastAsia" w:ascii="仿宋" w:hAnsi="仿宋" w:eastAsia="仿宋" w:cs="仿宋"/>
          <w:b/>
          <w:bCs/>
          <w:sz w:val="32"/>
          <w:szCs w:val="32"/>
          <w:lang w:val="en-US" w:eastAsia="zh-CN"/>
        </w:rPr>
        <w:t>二是强化过程监控，杜绝新增。</w:t>
      </w:r>
      <w:r>
        <w:rPr>
          <w:rFonts w:hint="eastAsia" w:ascii="仿宋" w:hAnsi="仿宋" w:eastAsia="仿宋" w:cs="仿宋"/>
          <w:b w:val="0"/>
          <w:bCs w:val="0"/>
          <w:sz w:val="32"/>
          <w:szCs w:val="32"/>
          <w:lang w:val="en-US" w:eastAsia="zh-CN"/>
        </w:rPr>
        <w:t>建立并执行严格的绩效运行监控机制。未来在预算执行中，一旦发现项目进度滞后或支付延期苗头，应立即启动监控预警，分析原因并采取措施，坚决避免形成新的跨期支付。</w:t>
      </w:r>
      <w:r>
        <w:rPr>
          <w:rFonts w:hint="eastAsia" w:ascii="仿宋" w:hAnsi="仿宋" w:eastAsia="仿宋" w:cs="仿宋"/>
          <w:b/>
          <w:bCs/>
          <w:sz w:val="32"/>
          <w:szCs w:val="32"/>
          <w:lang w:val="en-US" w:eastAsia="zh-CN"/>
        </w:rPr>
        <w:t>三是完善本次支出档案，说明情况。</w:t>
      </w:r>
      <w:r>
        <w:rPr>
          <w:rFonts w:hint="eastAsia" w:ascii="仿宋" w:hAnsi="仿宋" w:eastAsia="仿宋" w:cs="仿宋"/>
          <w:b w:val="0"/>
          <w:bCs w:val="0"/>
          <w:sz w:val="32"/>
          <w:szCs w:val="32"/>
          <w:lang w:val="en-US" w:eastAsia="zh-CN"/>
        </w:rPr>
        <w:t>对于这笔已发生的支出，在财务档案中除保留付款凭证和收款方说明外，应补充一份详细的内部情况说明。说明中需包含：</w:t>
      </w:r>
      <w:r>
        <w:rPr>
          <w:rFonts w:hint="eastAsia" w:ascii="仿宋" w:hAnsi="仿宋" w:eastAsia="仿宋" w:cs="仿宋"/>
          <w:b/>
          <w:bCs/>
          <w:sz w:val="32"/>
          <w:szCs w:val="32"/>
          <w:lang w:val="en-US" w:eastAsia="zh-CN"/>
        </w:rPr>
        <w:t>项目原委、费用长期未支付的原因、此次支付履行的内部审批决策过程，以及今后如何避免类似情况的具体措施。</w:t>
      </w:r>
      <w:r>
        <w:rPr>
          <w:rFonts w:hint="eastAsia" w:ascii="仿宋" w:hAnsi="仿宋" w:eastAsia="仿宋" w:cs="仿宋"/>
          <w:b w:val="0"/>
          <w:bCs w:val="0"/>
          <w:sz w:val="32"/>
          <w:szCs w:val="32"/>
          <w:lang w:val="en-US" w:eastAsia="zh-CN"/>
        </w:rPr>
        <w:t>这份资料在应对审计或财政检查时至关重要。780.00元金额虽小，但反映出的预算执行和绩效管理问题在性质上是严重的。严格遵循预算年度、确保绩效管理闭环，是政府预算单位的基本要求。</w:t>
      </w:r>
    </w:p>
    <w:p w14:paraId="604E9F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7.2024年4月14号凭证支付慰问区直机关困境妇女儿童费12,000.00元。代收代付慰问费，打入工资账户，后有领款人签字确认表。未直接打入慰问人员账户。</w:t>
      </w:r>
    </w:p>
    <w:p w14:paraId="089FBC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点对点直接支付”原则，资金脱离监管。将慰问费打入中间人“工资账户”，再由其转交或分发，易引发截留、挪用或冒领风险，且难以证明款项最终送达慰问对象。签收手续事后有“领款人签字确认表”。手续不完整，证明力不足。仅凭一份签字表无法追溯资金从中间账户到最终受益人的流转过程和真实性。发放慰问金等必须本人或家属实名签收，且手续需健全以证明发放到人。支付形式可能以现金形式通过中间人发放。“以现金形式发放慰问金”是审计和财务监管的高风险点，对签收手续的要求极为严格。容易因程序瑕疵被认定为违规。财务规定通常禁止以现金、代金券等形式发放工会福利或慰问品。</w:t>
      </w:r>
    </w:p>
    <w:p w14:paraId="107BD9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建议：一是及时停止并纠正支付方式。</w:t>
      </w:r>
      <w:r>
        <w:rPr>
          <w:rFonts w:hint="eastAsia" w:ascii="仿宋" w:hAnsi="仿宋" w:eastAsia="仿宋" w:cs="仿宋"/>
          <w:b w:val="0"/>
          <w:bCs w:val="0"/>
          <w:sz w:val="32"/>
          <w:szCs w:val="32"/>
          <w:lang w:val="en-US" w:eastAsia="zh-CN"/>
        </w:rPr>
        <w:t>所有慰问费、帮扶救助款等，必须由单位财务直接支付到慰问对象本人名下的银行账户（可以是其工资卡或其他个人账户），并保留支付凭证。如果慰问对象没有银行卡且确需支付现金，必须制定极其严格的程序。例如，至少需两人同行，在慰问现场由本人或家属当场签字、按手印，并拍摄包含慰问对象、慰问金和工作人员的现场照片作为佐证。</w:t>
      </w:r>
      <w:r>
        <w:rPr>
          <w:rFonts w:hint="eastAsia" w:ascii="仿宋" w:hAnsi="仿宋" w:eastAsia="仿宋" w:cs="仿宋"/>
          <w:b/>
          <w:bCs/>
          <w:sz w:val="32"/>
          <w:szCs w:val="32"/>
          <w:lang w:val="en-US" w:eastAsia="zh-CN"/>
        </w:rPr>
        <w:t>二是完善并补全本次支出的档案材料。</w:t>
      </w:r>
      <w:r>
        <w:rPr>
          <w:rFonts w:hint="eastAsia" w:ascii="仿宋" w:hAnsi="仿宋" w:eastAsia="仿宋" w:cs="仿宋"/>
          <w:b w:val="0"/>
          <w:bCs w:val="0"/>
          <w:sz w:val="32"/>
          <w:szCs w:val="32"/>
          <w:lang w:val="en-US" w:eastAsia="zh-CN"/>
        </w:rPr>
        <w:t>对于已发生的这笔支出，务必全面补充证明材料。例如，请所有实际的慰问对象对收到款项进行书面确认，并尽可能提供银行转账记录、收款照片等辅助证据。这些补充材料需与原凭证、签字表一同存档，以备核查。</w:t>
      </w:r>
      <w:r>
        <w:rPr>
          <w:rFonts w:hint="eastAsia" w:ascii="仿宋" w:hAnsi="仿宋" w:eastAsia="仿宋" w:cs="仿宋"/>
          <w:b/>
          <w:bCs/>
          <w:sz w:val="32"/>
          <w:szCs w:val="32"/>
          <w:lang w:val="en-US" w:eastAsia="zh-CN"/>
        </w:rPr>
        <w:t>三是建立健全长效管理机制。</w:t>
      </w:r>
      <w:r>
        <w:rPr>
          <w:rFonts w:hint="eastAsia" w:ascii="仿宋" w:hAnsi="仿宋" w:eastAsia="仿宋" w:cs="仿宋"/>
          <w:b w:val="0"/>
          <w:bCs w:val="0"/>
          <w:sz w:val="32"/>
          <w:szCs w:val="32"/>
          <w:lang w:val="en-US" w:eastAsia="zh-CN"/>
        </w:rPr>
        <w:t>制定或修订内部的《慰问经费使用管理办法》，明确慰问范围、标准、直接支付的流程以及现金支付的特殊审批和取证要求。办法中应特别强调实名制发放和签收的刚性要求。</w:t>
      </w:r>
    </w:p>
    <w:p w14:paraId="34EFC174">
      <w:pPr>
        <w:pStyle w:val="8"/>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8.预付食堂餐费191,889.00元，未结算食堂餐费。预付餐费后附往来收据，未附就餐人数与结算金额。</w:t>
      </w:r>
    </w:p>
    <w:p w14:paraId="0433E1A7">
      <w:pPr>
        <w:pStyle w:val="8"/>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rPr>
          <w:rFonts w:hint="eastAsia"/>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w:t>
      </w:r>
      <w:r>
        <w:rPr>
          <w:rFonts w:hint="eastAsia" w:ascii="仿宋" w:hAnsi="仿宋" w:eastAsia="仿宋" w:cs="仿宋"/>
          <w:b w:val="0"/>
          <w:bCs w:val="0"/>
          <w:kern w:val="0"/>
          <w:sz w:val="32"/>
          <w:szCs w:val="32"/>
          <w:lang w:val="en-US" w:eastAsia="zh-CN" w:bidi="ar"/>
        </w:rPr>
        <w:t>“据实结算”的基本财务原则。类似操作会导致“未实际支付的费用”，使财务信息失真。存在资金使用的安全效益与资金沉淀挪用的风险。预付资金长期滞留在对应账号，脱离了单位有效监管，易造成资金挪用、虚列开支的风险。</w:t>
      </w:r>
      <w:r>
        <w:rPr>
          <w:rFonts w:hint="eastAsia" w:ascii="仿宋" w:hAnsi="仿宋" w:eastAsia="仿宋" w:cs="仿宋"/>
          <w:b/>
          <w:bCs/>
          <w:kern w:val="0"/>
          <w:sz w:val="32"/>
          <w:szCs w:val="32"/>
          <w:lang w:val="en-US" w:eastAsia="zh-CN" w:bidi="ar"/>
        </w:rPr>
        <w:t>内控程序缺乏定期清算机制。</w:t>
      </w:r>
      <w:r>
        <w:rPr>
          <w:rFonts w:hint="eastAsia" w:ascii="仿宋" w:hAnsi="仿宋" w:eastAsia="仿宋" w:cs="仿宋"/>
          <w:b w:val="0"/>
          <w:bCs w:val="0"/>
          <w:kern w:val="0"/>
          <w:sz w:val="32"/>
          <w:szCs w:val="32"/>
          <w:lang w:val="en-US" w:eastAsia="zh-CN" w:bidi="ar"/>
        </w:rPr>
        <w:t>预付后无定期的消费核对、对账和结算流程。存在高风险，反映单位内控失效。规范的食堂经费管理要求建立定期审计、结算制度，确保资金闭环管理。“资金脱离监管、核算脱离业务”。</w:t>
      </w:r>
      <w:r>
        <w:rPr>
          <w:rFonts w:hint="eastAsia" w:ascii="仿宋" w:hAnsi="仿宋" w:eastAsia="仿宋" w:cs="仿宋"/>
          <w:b/>
          <w:bCs/>
          <w:kern w:val="0"/>
          <w:sz w:val="32"/>
          <w:szCs w:val="32"/>
          <w:lang w:val="en-US" w:eastAsia="zh-CN" w:bidi="ar"/>
        </w:rPr>
        <w:t>建议：一是及时清理，据实结算。全面对账。</w:t>
      </w:r>
      <w:r>
        <w:rPr>
          <w:rFonts w:hint="eastAsia" w:ascii="仿宋" w:hAnsi="仿宋" w:eastAsia="仿宋" w:cs="仿宋"/>
          <w:b w:val="0"/>
          <w:bCs w:val="0"/>
          <w:kern w:val="0"/>
          <w:sz w:val="32"/>
          <w:szCs w:val="32"/>
          <w:lang w:val="en-US" w:eastAsia="zh-CN" w:bidi="ar"/>
        </w:rPr>
        <w:t>及时与食堂经营方核对预付以来所有实际消费明细，确定截至当前的真实消费额和预付资金余额。</w:t>
      </w:r>
      <w:r>
        <w:rPr>
          <w:rFonts w:hint="eastAsia" w:ascii="仿宋" w:hAnsi="仿宋" w:eastAsia="仿宋" w:cs="仿宋"/>
          <w:b/>
          <w:bCs/>
          <w:kern w:val="0"/>
          <w:sz w:val="32"/>
          <w:szCs w:val="32"/>
          <w:lang w:val="en-US" w:eastAsia="zh-CN" w:bidi="ar"/>
        </w:rPr>
        <w:t>多退少补。</w:t>
      </w:r>
      <w:r>
        <w:rPr>
          <w:rFonts w:hint="eastAsia" w:ascii="仿宋" w:hAnsi="仿宋" w:eastAsia="仿宋" w:cs="仿宋"/>
          <w:b w:val="0"/>
          <w:bCs w:val="0"/>
          <w:kern w:val="0"/>
          <w:sz w:val="32"/>
          <w:szCs w:val="32"/>
          <w:lang w:val="en-US" w:eastAsia="zh-CN" w:bidi="ar"/>
        </w:rPr>
        <w:t>根据对账结果，及时进行最终结算。如有结余，必须收回；如有超支，按规定程序补付。确保所有预付挂账清零。</w:t>
      </w:r>
      <w:r>
        <w:rPr>
          <w:rFonts w:hint="eastAsia" w:ascii="仿宋" w:hAnsi="仿宋" w:eastAsia="仿宋" w:cs="仿宋"/>
          <w:b/>
          <w:bCs/>
          <w:kern w:val="0"/>
          <w:sz w:val="32"/>
          <w:szCs w:val="32"/>
          <w:lang w:val="en-US" w:eastAsia="zh-CN" w:bidi="ar"/>
        </w:rPr>
        <w:t>补全凭证。</w:t>
      </w:r>
      <w:r>
        <w:rPr>
          <w:rFonts w:hint="eastAsia" w:ascii="仿宋" w:hAnsi="仿宋" w:eastAsia="仿宋" w:cs="仿宋"/>
          <w:b w:val="0"/>
          <w:bCs w:val="0"/>
          <w:kern w:val="0"/>
          <w:sz w:val="32"/>
          <w:szCs w:val="32"/>
          <w:lang w:val="en-US" w:eastAsia="zh-CN" w:bidi="ar"/>
        </w:rPr>
        <w:t>结算后，获取涵盖整个消费周期的合规发票及详细的消费清单，作为财务结算的最终依据。</w:t>
      </w:r>
      <w:r>
        <w:rPr>
          <w:rFonts w:hint="eastAsia" w:ascii="仿宋" w:hAnsi="仿宋" w:eastAsia="仿宋" w:cs="仿宋"/>
          <w:b/>
          <w:bCs/>
          <w:kern w:val="0"/>
          <w:sz w:val="32"/>
          <w:szCs w:val="32"/>
          <w:lang w:val="en-US" w:eastAsia="zh-CN" w:bidi="ar"/>
        </w:rPr>
        <w:t>二是改革模式，杜绝预付。推行“据实结算、定期支付”。</w:t>
      </w:r>
      <w:r>
        <w:rPr>
          <w:rFonts w:hint="eastAsia" w:ascii="仿宋" w:hAnsi="仿宋" w:eastAsia="仿宋" w:cs="仿宋"/>
          <w:b w:val="0"/>
          <w:bCs w:val="0"/>
          <w:kern w:val="0"/>
          <w:sz w:val="32"/>
          <w:szCs w:val="32"/>
          <w:lang w:val="en-US" w:eastAsia="zh-CN" w:bidi="ar"/>
        </w:rPr>
        <w:t>彻底改变预付模式。要求食堂定期（如按月）提供经双方确认的实际消费明细汇总表，单位审核无误后再行支付。</w:t>
      </w:r>
      <w:r>
        <w:rPr>
          <w:rFonts w:hint="eastAsia" w:ascii="仿宋" w:hAnsi="仿宋" w:eastAsia="仿宋" w:cs="仿宋"/>
          <w:b/>
          <w:bCs/>
          <w:kern w:val="0"/>
          <w:sz w:val="32"/>
          <w:szCs w:val="32"/>
          <w:lang w:val="en-US" w:eastAsia="zh-CN" w:bidi="ar"/>
        </w:rPr>
        <w:t>签订规范合同。</w:t>
      </w:r>
      <w:r>
        <w:rPr>
          <w:rFonts w:hint="eastAsia" w:ascii="仿宋" w:hAnsi="仿宋" w:eastAsia="仿宋" w:cs="仿宋"/>
          <w:b w:val="0"/>
          <w:bCs w:val="0"/>
          <w:kern w:val="0"/>
          <w:sz w:val="32"/>
          <w:szCs w:val="32"/>
          <w:lang w:val="en-US" w:eastAsia="zh-CN" w:bidi="ar"/>
        </w:rPr>
        <w:t>在食堂外包或供餐协议中，明确约定结算周期、对账流程、付款条件和票据要求，从合同源头杜绝不合规预付。</w:t>
      </w:r>
      <w:r>
        <w:rPr>
          <w:rFonts w:hint="eastAsia" w:ascii="仿宋" w:hAnsi="仿宋" w:eastAsia="仿宋" w:cs="仿宋"/>
          <w:b/>
          <w:bCs/>
          <w:kern w:val="0"/>
          <w:sz w:val="32"/>
          <w:szCs w:val="32"/>
          <w:lang w:val="en-US" w:eastAsia="zh-CN" w:bidi="ar"/>
        </w:rPr>
        <w:t>三是举一反三，完善制度。建立长效机制。</w:t>
      </w:r>
      <w:r>
        <w:rPr>
          <w:rFonts w:hint="eastAsia" w:ascii="仿宋" w:hAnsi="仿宋" w:eastAsia="仿宋" w:cs="仿宋"/>
          <w:b w:val="0"/>
          <w:bCs w:val="0"/>
          <w:kern w:val="0"/>
          <w:sz w:val="32"/>
          <w:szCs w:val="32"/>
          <w:lang w:val="en-US" w:eastAsia="zh-CN" w:bidi="ar"/>
        </w:rPr>
        <w:t>制定或修订单位的《食堂经费管理办法》，核心是禁止预付、规范结算、强化对账。</w:t>
      </w:r>
      <w:r>
        <w:rPr>
          <w:rFonts w:hint="eastAsia" w:ascii="仿宋" w:hAnsi="仿宋" w:eastAsia="仿宋" w:cs="仿宋"/>
          <w:b/>
          <w:bCs/>
          <w:kern w:val="0"/>
          <w:sz w:val="32"/>
          <w:szCs w:val="32"/>
          <w:lang w:val="en-US" w:eastAsia="zh-CN" w:bidi="ar"/>
        </w:rPr>
        <w:t>开展专项审计。</w:t>
      </w:r>
      <w:r>
        <w:rPr>
          <w:rFonts w:hint="eastAsia" w:ascii="仿宋" w:hAnsi="仿宋" w:eastAsia="仿宋" w:cs="仿宋"/>
          <w:b w:val="0"/>
          <w:bCs w:val="0"/>
          <w:kern w:val="0"/>
          <w:sz w:val="32"/>
          <w:szCs w:val="32"/>
          <w:lang w:val="en-US" w:eastAsia="zh-CN" w:bidi="ar"/>
        </w:rPr>
        <w:t>建议对食堂的收支情况、结余资金进行一次内部专项审计，全面排查风险。整改的关键在于切断预付链条，将支付锚定在实际发生的消费上，并建立公开透明的对账结算机制。</w:t>
      </w:r>
    </w:p>
    <w:p w14:paraId="3037E7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4" w:name="_Toc10745"/>
      <w:r>
        <w:rPr>
          <w:rFonts w:hint="eastAsia" w:ascii="楷体" w:hAnsi="楷体" w:eastAsia="楷体" w:cs="楷体"/>
          <w:b/>
          <w:bCs/>
          <w:sz w:val="32"/>
          <w:szCs w:val="32"/>
          <w:lang w:val="en-US" w:eastAsia="zh-CN"/>
        </w:rPr>
        <w:t>（二）管理程序方面存在的问题及建议</w:t>
      </w:r>
      <w:bookmarkEnd w:id="54"/>
    </w:p>
    <w:p w14:paraId="03310DE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1.业务发生时间早于政府采购协议签订时间。</w:t>
      </w:r>
    </w:p>
    <w:p w14:paraId="3A42837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上述违反了《中华人民共和国政府采购法》</w:t>
      </w:r>
    </w:p>
    <w:p w14:paraId="1CC7B9B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第四十三条：“政府采购合同适用合同法。采购人和供应商之间的权利和义务，应当按照平等、自愿的原则以合同方式约定。”第四十四条：“</w:t>
      </w:r>
      <w:r>
        <w:rPr>
          <w:rFonts w:hint="eastAsia" w:ascii="仿宋" w:hAnsi="仿宋" w:eastAsia="仿宋" w:cs="仿宋"/>
          <w:b/>
          <w:bCs/>
          <w:sz w:val="32"/>
          <w:szCs w:val="32"/>
          <w:lang w:val="en-US" w:eastAsia="zh-CN"/>
        </w:rPr>
        <w:t>政府采购合同应当采用书面形式</w:t>
      </w:r>
      <w:r>
        <w:rPr>
          <w:rFonts w:hint="eastAsia" w:ascii="仿宋" w:hAnsi="仿宋" w:eastAsia="仿宋" w:cs="仿宋"/>
          <w:b w:val="0"/>
          <w:bCs w:val="0"/>
          <w:sz w:val="32"/>
          <w:szCs w:val="32"/>
          <w:lang w:val="en-US" w:eastAsia="zh-CN"/>
        </w:rPr>
        <w:t>。”</w:t>
      </w:r>
    </w:p>
    <w:p w14:paraId="1B2B427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核心解读：</w:t>
      </w:r>
      <w:r>
        <w:rPr>
          <w:rFonts w:hint="eastAsia" w:ascii="仿宋" w:hAnsi="仿宋" w:eastAsia="仿宋" w:cs="仿宋"/>
          <w:b w:val="0"/>
          <w:bCs w:val="0"/>
          <w:sz w:val="32"/>
          <w:szCs w:val="32"/>
          <w:lang w:val="en-US" w:eastAsia="zh-CN"/>
        </w:rPr>
        <w:t>法律明确规定，采购人与供应商的权利义务必须通过书面合同来约定。在合同签订之前，双方的法律关系并未正式确立。提前开展业务，意味着在没有任何法律文件约束的情况下进行了采购活动，完全违背了政府采购</w:t>
      </w:r>
      <w:r>
        <w:rPr>
          <w:rFonts w:hint="eastAsia" w:ascii="仿宋" w:hAnsi="仿宋" w:eastAsia="仿宋" w:cs="仿宋"/>
          <w:b/>
          <w:bCs/>
          <w:sz w:val="32"/>
          <w:szCs w:val="32"/>
          <w:lang w:val="en-US" w:eastAsia="zh-CN"/>
        </w:rPr>
        <w:t>“按合同办事”</w:t>
      </w:r>
      <w:r>
        <w:rPr>
          <w:rFonts w:hint="eastAsia" w:ascii="仿宋" w:hAnsi="仿宋" w:eastAsia="仿宋" w:cs="仿宋"/>
          <w:b w:val="0"/>
          <w:bCs w:val="0"/>
          <w:sz w:val="32"/>
          <w:szCs w:val="32"/>
          <w:lang w:val="en-US" w:eastAsia="zh-CN"/>
        </w:rPr>
        <w:t>的基本原则。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上述违反了《中华人民共和国政府采购法实施条例》第六十七条。详细列举了未按照政府采购法和本条例规定执行的各种违法情形。虽然未直接提及</w:t>
      </w:r>
      <w:r>
        <w:rPr>
          <w:rFonts w:hint="eastAsia" w:ascii="仿宋" w:hAnsi="仿宋" w:eastAsia="仿宋" w:cs="仿宋"/>
          <w:b/>
          <w:bCs/>
          <w:sz w:val="32"/>
          <w:szCs w:val="32"/>
          <w:lang w:val="en-US" w:eastAsia="zh-CN"/>
        </w:rPr>
        <w:t>“合同倒签”</w:t>
      </w:r>
      <w:r>
        <w:rPr>
          <w:rFonts w:hint="eastAsia" w:ascii="仿宋" w:hAnsi="仿宋" w:eastAsia="仿宋" w:cs="仿宋"/>
          <w:b w:val="0"/>
          <w:bCs w:val="0"/>
          <w:sz w:val="32"/>
          <w:szCs w:val="32"/>
          <w:lang w:val="en-US" w:eastAsia="zh-CN"/>
        </w:rPr>
        <w:t>，但</w:t>
      </w:r>
      <w:r>
        <w:rPr>
          <w:rFonts w:hint="eastAsia" w:ascii="仿宋" w:hAnsi="仿宋" w:eastAsia="仿宋" w:cs="仿宋"/>
          <w:b/>
          <w:bCs/>
          <w:sz w:val="32"/>
          <w:szCs w:val="32"/>
          <w:lang w:val="en-US" w:eastAsia="zh-CN"/>
        </w:rPr>
        <w:t>“先干活后补合同”</w:t>
      </w:r>
      <w:r>
        <w:rPr>
          <w:rFonts w:hint="eastAsia" w:ascii="仿宋" w:hAnsi="仿宋" w:eastAsia="仿宋" w:cs="仿宋"/>
          <w:b w:val="0"/>
          <w:bCs w:val="0"/>
          <w:sz w:val="32"/>
          <w:szCs w:val="32"/>
          <w:lang w:val="en-US" w:eastAsia="zh-CN"/>
        </w:rPr>
        <w:t>本质上属于规避政府采购法定程序的行为，属于广义的违法违规行为。</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w:t>
      </w:r>
      <w:r>
        <w:rPr>
          <w:rFonts w:hint="eastAsia" w:ascii="仿宋" w:hAnsi="仿宋" w:eastAsia="仿宋" w:cs="仿宋"/>
          <w:b/>
          <w:bCs/>
          <w:sz w:val="32"/>
          <w:szCs w:val="32"/>
          <w:lang w:val="en-US" w:eastAsia="zh-CN"/>
        </w:rPr>
        <w:t>《政府采购需求管理办法》（财库〔2021〕22号）。</w:t>
      </w:r>
      <w:r>
        <w:rPr>
          <w:rFonts w:hint="eastAsia" w:ascii="仿宋" w:hAnsi="仿宋" w:eastAsia="仿宋" w:cs="仿宋"/>
          <w:b w:val="0"/>
          <w:bCs w:val="0"/>
          <w:sz w:val="32"/>
          <w:szCs w:val="32"/>
          <w:lang w:val="en-US" w:eastAsia="zh-CN"/>
        </w:rPr>
        <w:t>该办法强调，采购需求管理是政府采购管理的起点，合同是落实采购需求的终点。所有采购活动都应在确定的采购需求框架下，通过规范的采购程序，最终以合同形式固化。业务先于合同，导致整个采购流程本末倒置。</w:t>
      </w:r>
      <w:r>
        <w:rPr>
          <w:rFonts w:hint="eastAsia" w:ascii="仿宋" w:hAnsi="仿宋" w:eastAsia="仿宋" w:cs="仿宋"/>
          <w:b/>
          <w:bCs/>
          <w:sz w:val="32"/>
          <w:szCs w:val="32"/>
          <w:lang w:val="en-US" w:eastAsia="zh-CN"/>
        </w:rPr>
        <w:t>三类风险分析。</w:t>
      </w:r>
    </w:p>
    <w:p w14:paraId="5EDE8312">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一是程序违法风险。</w:t>
      </w:r>
      <w:r>
        <w:rPr>
          <w:rFonts w:hint="eastAsia" w:ascii="仿宋" w:hAnsi="仿宋" w:eastAsia="仿宋" w:cs="仿宋"/>
          <w:b w:val="0"/>
          <w:bCs w:val="0"/>
          <w:sz w:val="32"/>
          <w:szCs w:val="32"/>
          <w:lang w:val="en-US" w:eastAsia="zh-CN"/>
        </w:rPr>
        <w:t>这是最根本的风险。它使得整个政府采购程序（公开招标、竞争性谈判、询价等）形同虚设，因为实际执行已经提前发生，采购结果在程序完成前就已内定，严重损害了政府采购的公开、公平、公正原则。</w:t>
      </w:r>
      <w:r>
        <w:rPr>
          <w:rFonts w:hint="eastAsia" w:ascii="仿宋" w:hAnsi="仿宋" w:eastAsia="仿宋" w:cs="仿宋"/>
          <w:b/>
          <w:bCs/>
          <w:sz w:val="32"/>
          <w:szCs w:val="32"/>
          <w:lang w:val="en-US" w:eastAsia="zh-CN"/>
        </w:rPr>
        <w:t>二是审计风险。</w:t>
      </w:r>
      <w:r>
        <w:rPr>
          <w:rFonts w:hint="eastAsia" w:ascii="仿宋" w:hAnsi="仿宋" w:eastAsia="仿宋" w:cs="仿宋"/>
          <w:b w:val="0"/>
          <w:bCs w:val="0"/>
          <w:sz w:val="32"/>
          <w:szCs w:val="32"/>
          <w:lang w:val="en-US" w:eastAsia="zh-CN"/>
        </w:rPr>
        <w:t>在审计中，此类合同是重点审查对象。审计人员会通过比对发票日期、验收日期和合同签订日期来发现此类问题。一旦发现，该笔支出很可能被认定为不合规支出，要求整改甚至追回资金，并在审计报告中作为重大问题披露</w:t>
      </w:r>
      <w:r>
        <w:rPr>
          <w:rFonts w:hint="eastAsia" w:ascii="仿宋" w:hAnsi="仿宋" w:eastAsia="仿宋" w:cs="仿宋"/>
          <w:b/>
          <w:bCs/>
          <w:sz w:val="32"/>
          <w:szCs w:val="32"/>
          <w:lang w:val="en-US" w:eastAsia="zh-CN"/>
        </w:rPr>
        <w:t>。三是合同效力与资金安全风险。</w:t>
      </w:r>
      <w:r>
        <w:rPr>
          <w:rFonts w:hint="eastAsia" w:ascii="仿宋" w:hAnsi="仿宋" w:eastAsia="仿宋" w:cs="仿宋"/>
          <w:b w:val="0"/>
          <w:bCs w:val="0"/>
          <w:sz w:val="32"/>
          <w:szCs w:val="32"/>
          <w:lang w:val="en-US" w:eastAsia="zh-CN"/>
        </w:rPr>
        <w:t>合同效力存疑，由于合同签订前的业务行为缺乏法律依据，一旦发生纠纷（如服务质量、价格争议），合同双方的权利义务难以界定，合同本身的效力可能受到挑战。资金支付无依据，财政资金支付必须以有效的合同为依据。合同签订前的业务，其费用支付缺乏合同支持，属于无依据支付，违反了财政资金管理的规定。</w:t>
      </w:r>
    </w:p>
    <w:p w14:paraId="4B8116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lang w:val="en-US" w:eastAsia="zh-CN"/>
        </w:rPr>
        <w:t>建议：应着重于从源头和流程上杜绝此类现象，推动采购活动回归“程序优先、合同为据”的法治轨道。</w:t>
      </w:r>
      <w:r>
        <w:rPr>
          <w:rFonts w:hint="eastAsia" w:ascii="仿宋" w:hAnsi="仿宋" w:eastAsia="仿宋" w:cs="仿宋"/>
          <w:b w:val="0"/>
          <w:bCs w:val="0"/>
          <w:sz w:val="32"/>
          <w:szCs w:val="32"/>
          <w:highlight w:val="none"/>
          <w:lang w:val="en-US" w:eastAsia="zh-CN"/>
        </w:rPr>
        <w:t>若已发生2024年先使用后补合同的情况，</w:t>
      </w:r>
      <w:r>
        <w:rPr>
          <w:rFonts w:hint="eastAsia" w:ascii="仿宋" w:hAnsi="仿宋" w:eastAsia="仿宋" w:cs="仿宋"/>
          <w:b/>
          <w:bCs/>
          <w:sz w:val="32"/>
          <w:szCs w:val="32"/>
          <w:highlight w:val="none"/>
          <w:lang w:val="en-US" w:eastAsia="zh-CN"/>
        </w:rPr>
        <w:t>补充书面说明</w:t>
      </w:r>
      <w:r>
        <w:rPr>
          <w:rFonts w:hint="eastAsia" w:ascii="仿宋" w:hAnsi="仿宋" w:eastAsia="仿宋" w:cs="仿宋"/>
          <w:b w:val="0"/>
          <w:bCs w:val="0"/>
          <w:sz w:val="32"/>
          <w:szCs w:val="32"/>
          <w:highlight w:val="none"/>
          <w:lang w:val="en-US" w:eastAsia="zh-CN"/>
        </w:rPr>
        <w:t>，向上级部门说明原因，完善内部审批记录。完善制度，</w:t>
      </w:r>
      <w:r>
        <w:rPr>
          <w:rFonts w:hint="eastAsia" w:ascii="仿宋" w:hAnsi="仿宋" w:eastAsia="仿宋" w:cs="仿宋"/>
          <w:b/>
          <w:bCs/>
          <w:sz w:val="32"/>
          <w:szCs w:val="32"/>
          <w:highlight w:val="none"/>
          <w:lang w:val="en-US" w:eastAsia="zh-CN"/>
        </w:rPr>
        <w:t>建立框架协议或定点采购机制，</w:t>
      </w:r>
      <w:r>
        <w:rPr>
          <w:rFonts w:hint="eastAsia" w:ascii="仿宋" w:hAnsi="仿宋" w:eastAsia="仿宋" w:cs="仿宋"/>
          <w:b w:val="0"/>
          <w:bCs w:val="0"/>
          <w:sz w:val="32"/>
          <w:szCs w:val="32"/>
          <w:highlight w:val="none"/>
          <w:lang w:val="en-US" w:eastAsia="zh-CN"/>
        </w:rPr>
        <w:t>避免再次出现程序倒置，既能满足零星采购灵活性，又能确保程序合规。具体操作需结合当地财政部门实施细则。</w:t>
      </w:r>
      <w:r>
        <w:rPr>
          <w:rFonts w:hint="eastAsia" w:ascii="仿宋" w:hAnsi="仿宋" w:eastAsia="仿宋" w:cs="仿宋"/>
          <w:b/>
          <w:bCs/>
          <w:sz w:val="32"/>
          <w:szCs w:val="32"/>
          <w:highlight w:val="none"/>
          <w:lang w:val="en-US" w:eastAsia="zh-CN"/>
        </w:rPr>
        <w:t>方案1：采用“框架协议+订单”模式。适用场景：</w:t>
      </w:r>
      <w:r>
        <w:rPr>
          <w:rFonts w:hint="eastAsia" w:ascii="仿宋" w:hAnsi="仿宋" w:eastAsia="仿宋" w:cs="仿宋"/>
          <w:b w:val="0"/>
          <w:bCs w:val="0"/>
          <w:sz w:val="32"/>
          <w:szCs w:val="32"/>
          <w:highlight w:val="none"/>
          <w:lang w:val="en-US" w:eastAsia="zh-CN"/>
        </w:rPr>
        <w:t>需求数量不确定，但采购频次较高。</w:t>
      </w:r>
      <w:r>
        <w:rPr>
          <w:rFonts w:hint="eastAsia" w:ascii="仿宋" w:hAnsi="仿宋" w:eastAsia="仿宋" w:cs="仿宋"/>
          <w:b/>
          <w:bCs/>
          <w:sz w:val="32"/>
          <w:szCs w:val="32"/>
          <w:highlight w:val="none"/>
          <w:lang w:val="en-US" w:eastAsia="zh-CN"/>
        </w:rPr>
        <w:t>操作步骤：</w:t>
      </w:r>
      <w:r>
        <w:rPr>
          <w:rFonts w:hint="eastAsia" w:ascii="仿宋" w:hAnsi="仿宋" w:eastAsia="仿宋" w:cs="仿宋"/>
          <w:b w:val="0"/>
          <w:bCs w:val="0"/>
          <w:sz w:val="32"/>
          <w:szCs w:val="32"/>
          <w:highlight w:val="none"/>
          <w:lang w:val="en-US" w:eastAsia="zh-CN"/>
        </w:rPr>
        <w:t>提前签订框架协议（2024年初），通过公开竞争程序确定供应商，约定商品目录、单价、服务条款等，协议有效期1年。</w:t>
      </w:r>
      <w:r>
        <w:rPr>
          <w:rFonts w:hint="eastAsia" w:ascii="仿宋" w:hAnsi="仿宋" w:eastAsia="仿宋" w:cs="仿宋"/>
          <w:b/>
          <w:bCs/>
          <w:sz w:val="32"/>
          <w:szCs w:val="32"/>
          <w:highlight w:val="none"/>
          <w:lang w:val="en-US" w:eastAsia="zh-CN"/>
        </w:rPr>
        <w:t>法律依据：</w:t>
      </w:r>
      <w:r>
        <w:rPr>
          <w:rFonts w:hint="eastAsia" w:ascii="仿宋" w:hAnsi="仿宋" w:eastAsia="仿宋" w:cs="仿宋"/>
          <w:b w:val="0"/>
          <w:bCs w:val="0"/>
          <w:sz w:val="32"/>
          <w:szCs w:val="32"/>
          <w:highlight w:val="none"/>
          <w:lang w:val="en-US" w:eastAsia="zh-CN"/>
        </w:rPr>
        <w:t>《政府采购框架协议采购方式管理暂行办法》（财政部令第110号）。</w:t>
      </w:r>
      <w:r>
        <w:rPr>
          <w:rFonts w:hint="eastAsia" w:ascii="仿宋" w:hAnsi="仿宋" w:eastAsia="仿宋" w:cs="仿宋"/>
          <w:b/>
          <w:bCs/>
          <w:sz w:val="32"/>
          <w:szCs w:val="32"/>
          <w:highlight w:val="none"/>
          <w:lang w:val="en-US" w:eastAsia="zh-CN"/>
        </w:rPr>
        <w:t>按需下发订单：</w:t>
      </w:r>
      <w:r>
        <w:rPr>
          <w:rFonts w:hint="eastAsia" w:ascii="仿宋" w:hAnsi="仿宋" w:eastAsia="仿宋" w:cs="仿宋"/>
          <w:b w:val="0"/>
          <w:bCs w:val="0"/>
          <w:sz w:val="32"/>
          <w:szCs w:val="32"/>
          <w:highlight w:val="none"/>
          <w:lang w:val="en-US" w:eastAsia="zh-CN"/>
        </w:rPr>
        <w:t>在实际需要时，根据框架协议下达订单，无需重复签订合同。</w:t>
      </w:r>
      <w:r>
        <w:rPr>
          <w:rFonts w:hint="eastAsia" w:ascii="仿宋" w:hAnsi="仿宋" w:eastAsia="仿宋" w:cs="仿宋"/>
          <w:b/>
          <w:bCs/>
          <w:sz w:val="32"/>
          <w:szCs w:val="32"/>
          <w:highlight w:val="none"/>
          <w:lang w:val="en-US" w:eastAsia="zh-CN"/>
        </w:rPr>
        <w:t>验收与付款：</w:t>
      </w:r>
      <w:r>
        <w:rPr>
          <w:rFonts w:hint="eastAsia" w:ascii="仿宋" w:hAnsi="仿宋" w:eastAsia="仿宋" w:cs="仿宋"/>
          <w:b w:val="0"/>
          <w:bCs w:val="0"/>
          <w:sz w:val="32"/>
          <w:szCs w:val="32"/>
          <w:highlight w:val="none"/>
          <w:lang w:val="en-US" w:eastAsia="zh-CN"/>
        </w:rPr>
        <w:t>每笔订单单独验收，按协议约定周期（如季度）集中付款。</w:t>
      </w:r>
      <w:r>
        <w:rPr>
          <w:rFonts w:hint="eastAsia" w:ascii="仿宋" w:hAnsi="仿宋" w:eastAsia="仿宋" w:cs="仿宋"/>
          <w:b/>
          <w:bCs/>
          <w:sz w:val="32"/>
          <w:szCs w:val="32"/>
          <w:highlight w:val="none"/>
          <w:lang w:val="en-US" w:eastAsia="zh-CN"/>
        </w:rPr>
        <w:t>方案2：小额零星采购简化程序。适用场景：</w:t>
      </w:r>
      <w:r>
        <w:rPr>
          <w:rFonts w:hint="eastAsia" w:ascii="仿宋" w:hAnsi="仿宋" w:eastAsia="仿宋" w:cs="仿宋"/>
          <w:b w:val="0"/>
          <w:bCs w:val="0"/>
          <w:sz w:val="32"/>
          <w:szCs w:val="32"/>
          <w:highlight w:val="none"/>
          <w:lang w:val="en-US" w:eastAsia="zh-CN"/>
        </w:rPr>
        <w:t>单次采购金额极低（如低于当地分散采购限额，通常为30万元以下）。</w:t>
      </w:r>
      <w:r>
        <w:rPr>
          <w:rFonts w:hint="eastAsia" w:ascii="仿宋" w:hAnsi="仿宋" w:eastAsia="仿宋" w:cs="仿宋"/>
          <w:b/>
          <w:bCs/>
          <w:sz w:val="32"/>
          <w:szCs w:val="32"/>
          <w:highlight w:val="none"/>
          <w:lang w:val="en-US" w:eastAsia="zh-CN"/>
        </w:rPr>
        <w:t>操作步骤：提前备案采购计划，</w:t>
      </w:r>
      <w:r>
        <w:rPr>
          <w:rFonts w:hint="eastAsia" w:ascii="仿宋" w:hAnsi="仿宋" w:eastAsia="仿宋" w:cs="仿宋"/>
          <w:b w:val="0"/>
          <w:bCs w:val="0"/>
          <w:sz w:val="32"/>
          <w:szCs w:val="32"/>
          <w:highlight w:val="none"/>
          <w:lang w:val="en-US" w:eastAsia="zh-CN"/>
        </w:rPr>
        <w:t>在财政部门备案年度零星采购预算及标准。</w:t>
      </w:r>
    </w:p>
    <w:p w14:paraId="215D45D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楷体" w:hAnsi="楷体" w:eastAsia="楷体" w:cs="楷体"/>
          <w:b/>
          <w:bCs/>
          <w:sz w:val="32"/>
          <w:szCs w:val="32"/>
          <w:lang w:val="en-US" w:eastAsia="zh-CN"/>
        </w:rPr>
      </w:pPr>
      <w:r>
        <w:rPr>
          <w:rFonts w:hint="eastAsia" w:ascii="仿宋" w:hAnsi="仿宋" w:eastAsia="仿宋" w:cs="仿宋"/>
          <w:b/>
          <w:bCs/>
          <w:sz w:val="32"/>
          <w:szCs w:val="32"/>
          <w:highlight w:val="none"/>
          <w:lang w:val="en-US" w:eastAsia="zh-CN"/>
        </w:rPr>
        <w:t>通过定点供应商采购，</w:t>
      </w:r>
      <w:r>
        <w:rPr>
          <w:rFonts w:hint="eastAsia" w:ascii="仿宋" w:hAnsi="仿宋" w:eastAsia="仿宋" w:cs="仿宋"/>
          <w:b w:val="0"/>
          <w:bCs w:val="0"/>
          <w:sz w:val="32"/>
          <w:szCs w:val="32"/>
          <w:highlight w:val="none"/>
          <w:lang w:val="en-US" w:eastAsia="zh-CN"/>
        </w:rPr>
        <w:t>选择政府采购定点供应商，直接按定点价格采购。及时</w:t>
      </w:r>
      <w:r>
        <w:rPr>
          <w:rFonts w:hint="eastAsia" w:ascii="仿宋" w:hAnsi="仿宋" w:eastAsia="仿宋" w:cs="仿宋"/>
          <w:b/>
          <w:bCs/>
          <w:sz w:val="32"/>
          <w:szCs w:val="32"/>
          <w:highlight w:val="none"/>
          <w:lang w:val="en-US" w:eastAsia="zh-CN"/>
        </w:rPr>
        <w:t>验收并留存记录，</w:t>
      </w:r>
      <w:r>
        <w:rPr>
          <w:rFonts w:hint="eastAsia" w:ascii="仿宋" w:hAnsi="仿宋" w:eastAsia="仿宋" w:cs="仿宋"/>
          <w:b w:val="0"/>
          <w:bCs w:val="0"/>
          <w:sz w:val="32"/>
          <w:szCs w:val="32"/>
          <w:highlight w:val="none"/>
          <w:lang w:val="en-US" w:eastAsia="zh-CN"/>
        </w:rPr>
        <w:t>每笔采购需有验收单，定期（如按月）汇总签订结算合同并付款。</w:t>
      </w:r>
      <w:r>
        <w:rPr>
          <w:rFonts w:hint="eastAsia" w:ascii="仿宋" w:hAnsi="仿宋" w:eastAsia="仿宋" w:cs="仿宋"/>
          <w:b/>
          <w:bCs/>
          <w:sz w:val="32"/>
          <w:szCs w:val="32"/>
          <w:highlight w:val="none"/>
          <w:lang w:val="en-US" w:eastAsia="zh-CN"/>
        </w:rPr>
        <w:t>方案3：预估需求+分批履行。</w:t>
      </w:r>
      <w:r>
        <w:rPr>
          <w:rFonts w:hint="eastAsia" w:ascii="仿宋" w:hAnsi="仿宋" w:eastAsia="仿宋" w:cs="仿宋"/>
          <w:b w:val="0"/>
          <w:bCs w:val="0"/>
          <w:sz w:val="32"/>
          <w:szCs w:val="32"/>
          <w:highlight w:val="none"/>
          <w:lang w:val="en-US" w:eastAsia="zh-CN"/>
        </w:rPr>
        <w:t>若需求可部分预估，签订合同时明确“预估总量+允许浮动比例”（如±20%），实际采购量按需分批下达，但总额不超过合同上限。</w:t>
      </w:r>
    </w:p>
    <w:p w14:paraId="3B9E1F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2.2024年12月12号凭证支付办公用品及耗材9,055.00元，有每次送货清单，无汇总结算清单。</w:t>
      </w:r>
    </w:p>
    <w:p w14:paraId="0E440906">
      <w:pPr>
        <w:pStyle w:val="8"/>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w:t>
      </w:r>
      <w:r>
        <w:rPr>
          <w:rFonts w:hint="eastAsia" w:ascii="仿宋" w:hAnsi="仿宋" w:eastAsia="仿宋" w:cs="仿宋"/>
          <w:b w:val="0"/>
          <w:bCs w:val="0"/>
          <w:sz w:val="32"/>
          <w:szCs w:val="32"/>
          <w:lang w:val="en-US" w:eastAsia="zh-CN"/>
        </w:rPr>
        <w:t>上述违反了《行政事业单位内部控制规范（试行）》关于支出业务控制的要求。单位应当全面审核各类单据，重点审核单据来源是否合法，内容是否真实、完整，使用是否准确，是否符合预算，审批手续是否齐全。缺少汇总结算清单，影响了支出的“真实性、完整性”证明力。这笔支付在核心要件上基本合规，但存在明显的管理不规范和程序性瑕疵。主要问题在于缺少对分次送货业务的最终汇总、核对和确认环节的证据。</w:t>
      </w:r>
      <w:r>
        <w:rPr>
          <w:rFonts w:hint="eastAsia" w:ascii="仿宋" w:hAnsi="仿宋" w:eastAsia="仿宋" w:cs="仿宋"/>
          <w:b/>
          <w:bCs/>
          <w:sz w:val="32"/>
          <w:szCs w:val="32"/>
          <w:lang w:val="en-US" w:eastAsia="zh-CN"/>
        </w:rPr>
        <w:t>缺乏结算依据。</w:t>
      </w:r>
      <w:r>
        <w:rPr>
          <w:rFonts w:hint="eastAsia" w:ascii="仿宋" w:hAnsi="仿宋" w:eastAsia="仿宋" w:cs="仿宋"/>
          <w:b w:val="0"/>
          <w:bCs w:val="0"/>
          <w:sz w:val="32"/>
          <w:szCs w:val="32"/>
          <w:lang w:val="en-US" w:eastAsia="zh-CN"/>
        </w:rPr>
        <w:t>没有一份汇总结算清单，财务人员无法直观、快速地验证最终支付的总额9,055元是否准确等于期间所有送货金额的加总。这缺失了从“多次发生”到“一次结算”的关键逻辑链条。</w:t>
      </w:r>
      <w:r>
        <w:rPr>
          <w:rFonts w:hint="eastAsia" w:ascii="仿宋" w:hAnsi="仿宋" w:eastAsia="仿宋" w:cs="仿宋"/>
          <w:b/>
          <w:bCs/>
          <w:sz w:val="32"/>
          <w:szCs w:val="32"/>
          <w:lang w:val="en-US" w:eastAsia="zh-CN"/>
        </w:rPr>
        <w:t>增加核对成本与风险。</w:t>
      </w:r>
      <w:r>
        <w:rPr>
          <w:rFonts w:hint="eastAsia" w:ascii="仿宋" w:hAnsi="仿宋" w:eastAsia="仿宋" w:cs="仿宋"/>
          <w:b w:val="0"/>
          <w:bCs w:val="0"/>
          <w:sz w:val="32"/>
          <w:szCs w:val="32"/>
          <w:lang w:val="en-US" w:eastAsia="zh-CN"/>
        </w:rPr>
        <w:t>审计或检查时，需要人工逐笔加总所有零散的送货清单来验证总金额，过程繁琐且容易出错。如果存在时间跨度大、清单数量多的情况，更易引发对结算金额准确性的质疑。</w:t>
      </w:r>
      <w:r>
        <w:rPr>
          <w:rFonts w:hint="eastAsia" w:ascii="仿宋" w:hAnsi="仿宋" w:eastAsia="仿宋" w:cs="仿宋"/>
          <w:b/>
          <w:bCs/>
          <w:sz w:val="32"/>
          <w:szCs w:val="32"/>
          <w:lang w:val="en-US" w:eastAsia="zh-CN"/>
        </w:rPr>
        <w:t>内控流程不闭合。</w:t>
      </w:r>
      <w:r>
        <w:rPr>
          <w:rFonts w:hint="eastAsia" w:ascii="仿宋" w:hAnsi="仿宋" w:eastAsia="仿宋" w:cs="仿宋"/>
          <w:b w:val="0"/>
          <w:bCs w:val="0"/>
          <w:sz w:val="32"/>
          <w:szCs w:val="32"/>
          <w:lang w:val="en-US" w:eastAsia="zh-CN"/>
        </w:rPr>
        <w:t>规范的流程应包含采购部门在周期末与供应商对账、确认汇总金额并签字盖章的环节。缺少此环节的书面证明，意味着内部审核控制存在漏洞。</w:t>
      </w:r>
    </w:p>
    <w:p w14:paraId="5DDC3DF8">
      <w:pPr>
        <w:pStyle w:val="8"/>
        <w:keepNext w:val="0"/>
        <w:keepLines w:val="0"/>
        <w:pageBreakBefore w:val="0"/>
        <w:widowControl/>
        <w:kinsoku/>
        <w:wordWrap/>
        <w:overflowPunct/>
        <w:topLinePunct w:val="0"/>
        <w:autoSpaceDE/>
        <w:autoSpaceDN/>
        <w:bidi w:val="0"/>
        <w:adjustRightInd/>
        <w:snapToGrid w:val="0"/>
        <w:spacing w:line="560" w:lineRule="exact"/>
        <w:ind w:firstLine="643" w:firstLineChars="200"/>
        <w:jc w:val="both"/>
        <w:textAlignment w:val="auto"/>
        <w:outlineLvl w:val="9"/>
        <w:rPr>
          <w:rFonts w:hint="eastAsia" w:ascii="楷体" w:hAnsi="楷体" w:eastAsia="楷体" w:cs="楷体"/>
          <w:b/>
          <w:bCs/>
          <w:sz w:val="32"/>
          <w:szCs w:val="32"/>
          <w:lang w:val="en-US" w:eastAsia="zh-CN"/>
        </w:rPr>
      </w:pPr>
      <w:r>
        <w:rPr>
          <w:rFonts w:hint="eastAsia" w:ascii="仿宋" w:hAnsi="仿宋" w:eastAsia="仿宋" w:cs="仿宋"/>
          <w:b/>
          <w:bCs/>
          <w:sz w:val="32"/>
          <w:szCs w:val="32"/>
          <w:lang w:val="en-US" w:eastAsia="zh-CN"/>
        </w:rPr>
        <w:t>建议：一是及时补充本次支出的归档材料。A</w:t>
      </w:r>
      <w:r>
        <w:rPr>
          <w:rFonts w:hint="eastAsia" w:ascii="仿宋" w:hAnsi="仿宋" w:eastAsia="仿宋" w:cs="仿宋"/>
          <w:b w:val="0"/>
          <w:bCs w:val="0"/>
          <w:sz w:val="32"/>
          <w:szCs w:val="32"/>
          <w:lang w:val="en-US" w:eastAsia="zh-CN"/>
        </w:rPr>
        <w:t>联系供应商或本单位采购经办部门，补制一份《办公用品耗材结算汇总表》。该表应包含：结算期间（如2024年X月至X月）、所有送货单的编号、日期、金额、本次结算总金额（9,055元），并由供应商盖章和本单位采购经办人、验收人或部门负责人签字确认。B如果无法补办外部确认的汇总表，应由采购经办部门出具一份详细的情况说明，列明所有送货清单的清单号、金额及加总过程，确认结算金额无误，并由部门负责人审核签字。将此说明与原凭证一同归档。</w:t>
      </w:r>
      <w:r>
        <w:rPr>
          <w:rFonts w:hint="eastAsia" w:ascii="仿宋" w:hAnsi="仿宋" w:eastAsia="仿宋" w:cs="仿宋"/>
          <w:b/>
          <w:bCs/>
          <w:sz w:val="32"/>
          <w:szCs w:val="32"/>
          <w:lang w:val="en-US" w:eastAsia="zh-CN"/>
        </w:rPr>
        <w:t>二是建立长效规范机制。A修订报销制度。</w:t>
      </w:r>
      <w:r>
        <w:rPr>
          <w:rFonts w:hint="eastAsia" w:ascii="仿宋" w:hAnsi="仿宋" w:eastAsia="仿宋" w:cs="仿宋"/>
          <w:b w:val="0"/>
          <w:bCs w:val="0"/>
          <w:sz w:val="32"/>
          <w:szCs w:val="32"/>
          <w:lang w:val="en-US" w:eastAsia="zh-CN"/>
        </w:rPr>
        <w:t>在单位内部的财务报销规定中，明确要求对于分次送货、统一结算的采购业务，报销凭证中除发票、合同、每次送货清单外，必须附上经双方确认的汇总结算清单或对账单，作为付款的最终依据。</w:t>
      </w:r>
      <w:r>
        <w:rPr>
          <w:rFonts w:hint="eastAsia" w:ascii="仿宋" w:hAnsi="仿宋" w:eastAsia="仿宋" w:cs="仿宋"/>
          <w:b/>
          <w:bCs/>
          <w:sz w:val="32"/>
          <w:szCs w:val="32"/>
          <w:lang w:val="en-US" w:eastAsia="zh-CN"/>
        </w:rPr>
        <w:t>B优化采购流程。</w:t>
      </w:r>
      <w:r>
        <w:rPr>
          <w:rFonts w:hint="eastAsia" w:ascii="仿宋" w:hAnsi="仿宋" w:eastAsia="仿宋" w:cs="仿宋"/>
          <w:b w:val="0"/>
          <w:bCs w:val="0"/>
          <w:sz w:val="32"/>
          <w:szCs w:val="32"/>
          <w:lang w:val="en-US" w:eastAsia="zh-CN"/>
        </w:rPr>
        <w:t>要求采购部门建立定期对账机制（如按月或按季度），与供应商核对无误并形成书面汇总凭证后，再提交财务申请支付。</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55" w:name="_Toc24865"/>
      <w:r>
        <w:rPr>
          <w:rFonts w:hint="eastAsia" w:ascii="楷体" w:hAnsi="楷体" w:eastAsia="楷体" w:cs="楷体"/>
          <w:b/>
          <w:bCs/>
          <w:sz w:val="32"/>
          <w:szCs w:val="32"/>
          <w:lang w:val="en-US" w:eastAsia="zh-CN"/>
        </w:rPr>
        <w:t>（三）人员经费管理方面存在的问题及建议</w:t>
      </w:r>
      <w:bookmarkEnd w:id="55"/>
    </w:p>
    <w:p w14:paraId="52423A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在机构编制和工资管理上，对内部人员绩效的考核与部门整体绩效目标的联动不足，建议推动内部绩效管理精细化，将部门整体绩效目标科学分解到内设机构和岗位，实现个人绩效与组织绩效的有机统一。</w:t>
      </w:r>
    </w:p>
    <w:p w14:paraId="481F7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1.发放工资后附件有国库支付单，无人力资源部审核意见及盖章且无银行回单。</w:t>
      </w:r>
    </w:p>
    <w:p w14:paraId="3B40C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（如人力资源和社会保障部门的批复文件）。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0DA698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由人力资源和社会保障部门或指定人员根据政策编制工资变动表和应发数据。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485FB0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2.支付医疗保险、工伤保险、职业年金后仅附国库支付单，附银行端查询缴税凭证，附人员名单、附缴费基数确认表及明确的计算依据、无银行回单，无人力资源部审批意见及盖章等。</w:t>
      </w:r>
    </w:p>
    <w:p w14:paraId="01EEA21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上述违反了内部控制的基本原则即不相容岗位分离原则。社保的计提（计算） 与审核（审批） 属于不相容岗位。人力资源部门负责提供准确的人员、工资数据（计算），部门负责根据审核后的数据记账和支付。如果无人力资源部门的审核，就相当于部门计算与支付，失去了关键的内部监督和制约，极易导致错误和舞弊。</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审核与审批控制原则。任何重要的经济事项，必须经过适当的授权和审核。人力资源部门的盖章审批，正是这一控制环节的关键书面证据。缺少它，意味着整个业务流程缺少了至关重要的“刹车”和“校验”环节。</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上述违反了《中华人民共和国预算法》。社保支出是单位预算的重要组成部分。无人力资源部门审核，编制的社保支出预算和决算就缺乏可靠的数据来源和核对依据，影响预算编制的准确性和预算执行的严肃性。</w:t>
      </w:r>
      <w:r>
        <w:rPr>
          <w:rFonts w:hint="eastAsia" w:ascii="仿宋" w:hAnsi="仿宋" w:eastAsia="仿宋" w:cs="仿宋"/>
          <w:b/>
          <w:bCs/>
          <w:sz w:val="32"/>
          <w:szCs w:val="32"/>
          <w:lang w:val="en-US" w:eastAsia="zh-CN"/>
        </w:rPr>
        <w:t>存在三类风险。一是数据不准确风险。</w:t>
      </w:r>
      <w:r>
        <w:rPr>
          <w:rFonts w:hint="eastAsia" w:ascii="仿宋" w:hAnsi="仿宋" w:eastAsia="仿宋" w:cs="仿宋"/>
          <w:b w:val="0"/>
          <w:bCs w:val="0"/>
          <w:sz w:val="32"/>
          <w:szCs w:val="32"/>
          <w:lang w:val="en-US" w:eastAsia="zh-CN"/>
        </w:rPr>
        <w:t>人员调入、调出、离职、工资变动等信息未能及时、准确地传递给财务部门，导致多缴、少缴或为已离职人员缴费，造成财政资金损失。</w:t>
      </w:r>
      <w:r>
        <w:rPr>
          <w:rFonts w:hint="eastAsia" w:ascii="仿宋" w:hAnsi="仿宋" w:eastAsia="仿宋" w:cs="仿宋"/>
          <w:b/>
          <w:bCs/>
          <w:sz w:val="32"/>
          <w:szCs w:val="32"/>
          <w:lang w:val="en-US" w:eastAsia="zh-CN"/>
        </w:rPr>
        <w:t>二是舞弊风险。</w:t>
      </w:r>
      <w:r>
        <w:rPr>
          <w:rFonts w:hint="eastAsia" w:ascii="仿宋" w:hAnsi="仿宋" w:eastAsia="仿宋" w:cs="仿宋"/>
          <w:b w:val="0"/>
          <w:bCs w:val="0"/>
          <w:sz w:val="32"/>
          <w:szCs w:val="32"/>
          <w:lang w:val="en-US" w:eastAsia="zh-CN"/>
        </w:rPr>
        <w:t>在缺乏监督的情况下，存在虚报人数、虚增工资基数从而套取资金的风险。</w:t>
      </w:r>
      <w:r>
        <w:rPr>
          <w:rFonts w:hint="eastAsia" w:ascii="仿宋" w:hAnsi="仿宋" w:eastAsia="仿宋" w:cs="仿宋"/>
          <w:b/>
          <w:bCs/>
          <w:sz w:val="32"/>
          <w:szCs w:val="32"/>
          <w:lang w:val="en-US" w:eastAsia="zh-CN"/>
        </w:rPr>
        <w:t>三是合规性风险。</w:t>
      </w:r>
      <w:r>
        <w:rPr>
          <w:rFonts w:hint="eastAsia" w:ascii="仿宋" w:hAnsi="仿宋" w:eastAsia="仿宋" w:cs="仿宋"/>
          <w:b w:val="0"/>
          <w:bCs w:val="0"/>
          <w:sz w:val="32"/>
          <w:szCs w:val="32"/>
          <w:lang w:val="en-US" w:eastAsia="zh-CN"/>
        </w:rPr>
        <w:t>可能导致社保缴费不符合《中华人民共和国社会保险法》及相关规定，面临社保稽查部门的处罚。</w:t>
      </w:r>
    </w:p>
    <w:p w14:paraId="039E2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应从</w:t>
      </w:r>
      <w:r>
        <w:rPr>
          <w:rFonts w:hint="eastAsia" w:ascii="仿宋" w:hAnsi="仿宋" w:eastAsia="仿宋" w:cs="仿宋"/>
          <w:b/>
          <w:bCs/>
          <w:sz w:val="32"/>
          <w:szCs w:val="32"/>
          <w:lang w:val="en-US" w:eastAsia="zh-CN"/>
        </w:rPr>
        <w:t>“及时整改”</w:t>
      </w:r>
      <w:r>
        <w:rPr>
          <w:rFonts w:hint="eastAsia" w:ascii="仿宋" w:hAnsi="仿宋" w:eastAsia="仿宋" w:cs="仿宋"/>
          <w:b w:val="0"/>
          <w:bCs w:val="0"/>
          <w:sz w:val="32"/>
          <w:szCs w:val="32"/>
          <w:lang w:val="en-US" w:eastAsia="zh-CN"/>
        </w:rPr>
        <w:t>和</w:t>
      </w:r>
      <w:r>
        <w:rPr>
          <w:rFonts w:hint="eastAsia" w:ascii="仿宋" w:hAnsi="仿宋" w:eastAsia="仿宋" w:cs="仿宋"/>
          <w:b/>
          <w:bCs/>
          <w:sz w:val="32"/>
          <w:szCs w:val="32"/>
          <w:lang w:val="en-US" w:eastAsia="zh-CN"/>
        </w:rPr>
        <w:t>“长效机制”</w:t>
      </w:r>
      <w:r>
        <w:rPr>
          <w:rFonts w:hint="eastAsia" w:ascii="仿宋" w:hAnsi="仿宋" w:eastAsia="仿宋" w:cs="仿宋"/>
          <w:b w:val="0"/>
          <w:bCs w:val="0"/>
          <w:sz w:val="32"/>
          <w:szCs w:val="32"/>
          <w:lang w:val="en-US" w:eastAsia="zh-CN"/>
        </w:rPr>
        <w:t>两个层面提出建议。</w:t>
      </w:r>
      <w:r>
        <w:rPr>
          <w:rFonts w:hint="eastAsia" w:ascii="仿宋" w:hAnsi="仿宋" w:eastAsia="仿宋" w:cs="仿宋"/>
          <w:b/>
          <w:bCs/>
          <w:sz w:val="32"/>
          <w:szCs w:val="32"/>
          <w:lang w:val="en-US" w:eastAsia="zh-CN"/>
        </w:rPr>
        <w:t>一是及时整改措施（针对已发现的问题）。A补充审批程序，</w:t>
      </w:r>
      <w:r>
        <w:rPr>
          <w:rFonts w:hint="eastAsia" w:ascii="仿宋" w:hAnsi="仿宋" w:eastAsia="仿宋" w:cs="仿宋"/>
          <w:b w:val="0"/>
          <w:bCs w:val="0"/>
          <w:sz w:val="32"/>
          <w:szCs w:val="32"/>
          <w:lang w:val="en-US" w:eastAsia="zh-CN"/>
        </w:rPr>
        <w:t>要求该预算单位立即对评价期内所有的社保计提与缴费业务，补充人力资源部门的审核确认手续。对于缺失的审批单，应限期补办，由人力资源部门负责人签字并加盖部门公章。</w:t>
      </w:r>
      <w:r>
        <w:rPr>
          <w:rFonts w:hint="eastAsia" w:ascii="仿宋" w:hAnsi="仿宋" w:eastAsia="仿宋" w:cs="仿宋"/>
          <w:b/>
          <w:bCs/>
          <w:sz w:val="32"/>
          <w:szCs w:val="32"/>
          <w:lang w:val="en-US" w:eastAsia="zh-CN"/>
        </w:rPr>
        <w:t>B书面说明情况，</w:t>
      </w:r>
      <w:r>
        <w:rPr>
          <w:rFonts w:hint="eastAsia" w:ascii="仿宋" w:hAnsi="仿宋" w:eastAsia="仿宋" w:cs="仿宋"/>
          <w:b w:val="0"/>
          <w:bCs w:val="0"/>
          <w:sz w:val="32"/>
          <w:szCs w:val="32"/>
          <w:lang w:val="en-US" w:eastAsia="zh-CN"/>
        </w:rPr>
        <w:t>要求该单位就此次内控缺失问题提交书面说明，解释原因并承诺整改，由单位主要负责人签字，以表明单位领导对此问题的重视。</w:t>
      </w:r>
      <w:r>
        <w:rPr>
          <w:rFonts w:hint="eastAsia" w:ascii="仿宋" w:hAnsi="仿宋" w:eastAsia="仿宋" w:cs="仿宋"/>
          <w:b/>
          <w:bCs/>
          <w:sz w:val="32"/>
          <w:szCs w:val="32"/>
          <w:lang w:val="en-US" w:eastAsia="zh-CN"/>
        </w:rPr>
        <w:t>二是长效机制建设建议（从根本上解决问题）。A完善制度建设，明确责任分工。</w:t>
      </w:r>
      <w:r>
        <w:rPr>
          <w:rFonts w:hint="eastAsia" w:ascii="仿宋" w:hAnsi="仿宋" w:eastAsia="仿宋" w:cs="仿宋"/>
          <w:b w:val="0"/>
          <w:bCs w:val="0"/>
          <w:sz w:val="32"/>
          <w:szCs w:val="32"/>
          <w:lang w:val="en-US" w:eastAsia="zh-CN"/>
        </w:rPr>
        <w:t>修订其内部财务管理制度和人力资源</w:t>
      </w:r>
      <w:r>
        <w:rPr>
          <w:rFonts w:hint="eastAsia" w:ascii="仿宋" w:hAnsi="仿宋" w:eastAsia="仿宋" w:cs="仿宋"/>
          <w:b/>
          <w:bCs/>
          <w:sz w:val="32"/>
          <w:szCs w:val="32"/>
          <w:lang w:val="en-US" w:eastAsia="zh-CN"/>
        </w:rPr>
        <w:t>管理流程。</w:t>
      </w:r>
      <w:r>
        <w:rPr>
          <w:rFonts w:hint="eastAsia" w:ascii="仿宋" w:hAnsi="仿宋" w:eastAsia="仿宋" w:cs="仿宋"/>
          <w:b w:val="0"/>
          <w:bCs w:val="0"/>
          <w:sz w:val="32"/>
          <w:szCs w:val="32"/>
          <w:lang w:val="en-US" w:eastAsia="zh-CN"/>
        </w:rPr>
        <w:t>明文规定，社保的计提必须以经人力资源部门审核、盖章（或负责人签字）的《人员及工资变动汇总表》或《社保缴费核定表》作为</w:t>
      </w:r>
      <w:r>
        <w:rPr>
          <w:rFonts w:hint="eastAsia" w:ascii="仿宋" w:hAnsi="仿宋" w:eastAsia="仿宋" w:cs="仿宋"/>
          <w:b/>
          <w:bCs/>
          <w:sz w:val="32"/>
          <w:szCs w:val="32"/>
          <w:lang w:val="en-US" w:eastAsia="zh-CN"/>
        </w:rPr>
        <w:t>唯一依据。</w:t>
      </w:r>
      <w:r>
        <w:rPr>
          <w:rFonts w:hint="eastAsia" w:ascii="仿宋" w:hAnsi="仿宋" w:eastAsia="仿宋" w:cs="仿宋"/>
          <w:b w:val="0"/>
          <w:bCs w:val="0"/>
          <w:sz w:val="32"/>
          <w:szCs w:val="32"/>
          <w:lang w:val="en-US" w:eastAsia="zh-CN"/>
        </w:rPr>
        <w:t>部门必须见到合规的审批单后方可进行账务处理和办理缴费。</w:t>
      </w:r>
      <w:r>
        <w:rPr>
          <w:rFonts w:hint="eastAsia" w:ascii="仿宋" w:hAnsi="仿宋" w:eastAsia="仿宋" w:cs="仿宋"/>
          <w:b/>
          <w:bCs/>
          <w:sz w:val="32"/>
          <w:szCs w:val="32"/>
          <w:lang w:val="en-US" w:eastAsia="zh-CN"/>
        </w:rPr>
        <w:t>B优化业务流程，固化审批环节。设计标准化的审批表单，</w:t>
      </w:r>
      <w:r>
        <w:rPr>
          <w:rFonts w:hint="eastAsia" w:ascii="仿宋" w:hAnsi="仿宋" w:eastAsia="仿宋" w:cs="仿宋"/>
          <w:b w:val="0"/>
          <w:bCs w:val="0"/>
          <w:sz w:val="32"/>
          <w:szCs w:val="32"/>
          <w:lang w:val="en-US" w:eastAsia="zh-CN"/>
        </w:rPr>
        <w:t>表单应包含人员姓名、身份证号、缴费基数、单位应缴额、个人应缴额、合计金额等核心信息，并设置“制表人”、“人力资源部门审核人”、“财务部门复核人”等签章栏位。</w:t>
      </w:r>
      <w:r>
        <w:rPr>
          <w:rFonts w:hint="eastAsia" w:ascii="仿宋" w:hAnsi="仿宋" w:eastAsia="仿宋" w:cs="仿宋"/>
          <w:b/>
          <w:bCs/>
          <w:sz w:val="32"/>
          <w:szCs w:val="32"/>
          <w:lang w:val="en-US" w:eastAsia="zh-CN"/>
        </w:rPr>
        <w:t>固化流程，</w:t>
      </w:r>
      <w:r>
        <w:rPr>
          <w:rFonts w:hint="eastAsia" w:ascii="仿宋" w:hAnsi="仿宋" w:eastAsia="仿宋" w:cs="仿宋"/>
          <w:b w:val="0"/>
          <w:bCs w:val="0"/>
          <w:sz w:val="32"/>
          <w:szCs w:val="32"/>
          <w:lang w:val="en-US" w:eastAsia="zh-CN"/>
        </w:rPr>
        <w:t>每月（或每季度）初，人力资源部门制作表单并审核签章 -&gt; 提交至财务部门 -&gt; 财务部门复核无误后 -&gt; 进行计提和缴费 -&gt; 将审批单作为重要原始凭证附于记账凭证之后。</w:t>
      </w:r>
      <w:r>
        <w:rPr>
          <w:rFonts w:hint="eastAsia" w:ascii="仿宋" w:hAnsi="仿宋" w:eastAsia="仿宋" w:cs="仿宋"/>
          <w:b/>
          <w:bCs/>
          <w:sz w:val="32"/>
          <w:szCs w:val="32"/>
          <w:lang w:val="en-US" w:eastAsia="zh-CN"/>
        </w:rPr>
        <w:t>加强信息化建设，实现数据联动，</w:t>
      </w:r>
      <w:r>
        <w:rPr>
          <w:rFonts w:hint="eastAsia" w:ascii="仿宋" w:hAnsi="仿宋" w:eastAsia="仿宋" w:cs="仿宋"/>
          <w:b w:val="0"/>
          <w:bCs w:val="0"/>
          <w:sz w:val="32"/>
          <w:szCs w:val="32"/>
          <w:lang w:val="en-US" w:eastAsia="zh-CN"/>
        </w:rPr>
        <w:t>长远来看，建议推动单位使用集成的财务与人力资源管理系统。通过系统设置，实现人力资源数据变动后，社保数据自动生成，并通过线上流程推送给相关负责人审批，审批完成后数据自动传递至财务系统。这样可以减少人为干预，提高效率和准确性。</w:t>
      </w:r>
    </w:p>
    <w:p w14:paraId="56679FB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3.住房公积金、交通津贴补贴的计提缺乏人力资源或组织部门的审核盖章。</w:t>
      </w:r>
    </w:p>
    <w:p w14:paraId="33EA3F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上述违反了《中华人民共和国预算法》关于“支出必须以经批准的预算为依据</w:t>
      </w:r>
      <w:r>
        <w:rPr>
          <w:rFonts w:hint="default" w:ascii="仿宋" w:hAnsi="仿宋" w:eastAsia="仿宋" w:cs="仿宋"/>
          <w:b w:val="0"/>
          <w:bCs w:val="0"/>
          <w:sz w:val="32"/>
          <w:szCs w:val="32"/>
          <w:lang w:val="en-US" w:eastAsia="zh-CN"/>
        </w:rPr>
        <w:t>”</w:t>
      </w:r>
      <w:r>
        <w:rPr>
          <w:rFonts w:hint="eastAsia" w:ascii="仿宋" w:hAnsi="仿宋" w:eastAsia="仿宋" w:cs="仿宋"/>
          <w:b w:val="0"/>
          <w:bCs w:val="0"/>
          <w:sz w:val="32"/>
          <w:szCs w:val="32"/>
          <w:lang w:val="en-US" w:eastAsia="zh-CN"/>
        </w:rPr>
        <w:t>的规定。如果人力资源部门未审核盖章，预算部门发放补贴，可能构成无预算、超预算支出，或向不符合预算规定的人员发放补贴。人力资源或组织部门的盖章，核心目的在于审核确认补贴发放人员的名单、资格及标准是否准确合规。缺少这一环节，就缺失了重要的内部监督。</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发票管理办法》。不符合规定的发票不得作为财务报销凭证。类推到补贴发放，表单不全同样会影响财务核算的合规性。缺少必要的签章，会使交通补贴发放表作为财务报销凭证的完整性、合规性存在瑕疵。在审计或检查时可能被要求整改甚至追回资金。</w:t>
      </w:r>
    </w:p>
    <w:p w14:paraId="5DE7B29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建议：一是补全审核签章流程。</w:t>
      </w:r>
      <w:r>
        <w:rPr>
          <w:rFonts w:hint="eastAsia" w:ascii="仿宋" w:hAnsi="仿宋" w:eastAsia="仿宋" w:cs="仿宋"/>
          <w:b w:val="0"/>
          <w:bCs w:val="0"/>
          <w:sz w:val="32"/>
          <w:szCs w:val="32"/>
          <w:lang w:val="en-US" w:eastAsia="zh-CN"/>
        </w:rPr>
        <w:t>及时补办，对于已发放但缺少签章的补贴，应尽快联系人力资源或组织部门，对发放名单和金额进行事后审核与追认，并在发放表上加盖部门公章。</w:t>
      </w:r>
      <w:r>
        <w:rPr>
          <w:rFonts w:hint="eastAsia" w:ascii="仿宋" w:hAnsi="仿宋" w:eastAsia="仿宋" w:cs="仿宋"/>
          <w:b/>
          <w:bCs/>
          <w:sz w:val="32"/>
          <w:szCs w:val="32"/>
          <w:lang w:val="en-US" w:eastAsia="zh-CN"/>
        </w:rPr>
        <w:t>二是规范未来操作。</w:t>
      </w:r>
      <w:r>
        <w:rPr>
          <w:rFonts w:hint="eastAsia" w:ascii="仿宋" w:hAnsi="仿宋" w:eastAsia="仿宋" w:cs="仿宋"/>
          <w:b w:val="0"/>
          <w:bCs w:val="0"/>
          <w:sz w:val="32"/>
          <w:szCs w:val="32"/>
          <w:lang w:val="en-US" w:eastAsia="zh-CN"/>
        </w:rPr>
        <w:t>严格执行“制表、审核、审批、盖章”的流程。在造表上至少确保有制表人、单位主要负责人签字，并加盖单位和人力资源/组织部门的公章。</w:t>
      </w:r>
      <w:r>
        <w:rPr>
          <w:rFonts w:hint="eastAsia" w:ascii="仿宋" w:hAnsi="仿宋" w:eastAsia="仿宋" w:cs="仿宋"/>
          <w:b/>
          <w:bCs/>
          <w:sz w:val="32"/>
          <w:szCs w:val="32"/>
          <w:lang w:val="en-US" w:eastAsia="zh-CN"/>
        </w:rPr>
        <w:t>三是明确部门职责。</w:t>
      </w:r>
      <w:r>
        <w:rPr>
          <w:rFonts w:hint="eastAsia" w:ascii="仿宋" w:hAnsi="仿宋" w:eastAsia="仿宋" w:cs="仿宋"/>
          <w:b w:val="0"/>
          <w:bCs w:val="0"/>
          <w:sz w:val="32"/>
          <w:szCs w:val="32"/>
          <w:lang w:val="en-US" w:eastAsia="zh-CN"/>
        </w:rPr>
        <w:t>人力资源或组织部门负责前置审核补贴发放人员的资格、级别、标准，并提供必要的依据（如组织任命文件复印件）。按规定进行内部公示。预算或财务部门依据已经审核盖章的明细表，主要负责资金调度和办理支付。</w:t>
      </w:r>
      <w:r>
        <w:rPr>
          <w:rFonts w:hint="eastAsia" w:ascii="仿宋" w:hAnsi="仿宋" w:eastAsia="仿宋" w:cs="仿宋"/>
          <w:b/>
          <w:bCs/>
          <w:sz w:val="32"/>
          <w:szCs w:val="32"/>
          <w:lang w:val="en-US" w:eastAsia="zh-CN"/>
        </w:rPr>
        <w:t>四是加强内部控制和沟通。</w:t>
      </w:r>
      <w:r>
        <w:rPr>
          <w:rFonts w:hint="eastAsia" w:ascii="仿宋" w:hAnsi="仿宋" w:eastAsia="仿宋" w:cs="仿宋"/>
          <w:b w:val="0"/>
          <w:bCs w:val="0"/>
          <w:sz w:val="32"/>
          <w:szCs w:val="32"/>
          <w:lang w:val="en-US" w:eastAsia="zh-CN"/>
        </w:rPr>
        <w:t>单位应建立健全内部审批制度，将人力资源或组织部门的审核盖章明确为交通补贴发放的必备前置环节。财务人员在办理支付时，须严格审核发放附件的完整性和合规性，对缺少必要签章的申请有权拒绝办理。主动与本单位的人力资源部门、上级主管部门及财政部门沟通，确保遵循本地、本层级的最新具体规定。</w:t>
      </w:r>
    </w:p>
    <w:p w14:paraId="4BB66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4.</w:t>
      </w:r>
      <w:r>
        <w:rPr>
          <w:rFonts w:hint="default" w:ascii="仿宋" w:hAnsi="仿宋" w:eastAsia="仿宋" w:cs="仿宋"/>
          <w:b/>
          <w:bCs/>
          <w:sz w:val="32"/>
          <w:szCs w:val="32"/>
          <w:highlight w:val="none"/>
          <w:lang w:val="en-US" w:eastAsia="zh-CN"/>
        </w:rPr>
        <w:t>发放退休人员补贴由本单位领导签字，无人力资源审核</w:t>
      </w:r>
      <w:r>
        <w:rPr>
          <w:rFonts w:hint="eastAsia" w:ascii="仿宋" w:hAnsi="仿宋" w:eastAsia="仿宋" w:cs="仿宋"/>
          <w:b/>
          <w:bCs/>
          <w:sz w:val="32"/>
          <w:szCs w:val="32"/>
          <w:highlight w:val="none"/>
          <w:lang w:val="en-US" w:eastAsia="zh-CN"/>
        </w:rPr>
        <w:t>，无回单</w:t>
      </w:r>
      <w:r>
        <w:rPr>
          <w:rFonts w:hint="default" w:ascii="仿宋" w:hAnsi="仿宋" w:eastAsia="仿宋" w:cs="仿宋"/>
          <w:b/>
          <w:bCs/>
          <w:sz w:val="32"/>
          <w:szCs w:val="32"/>
          <w:highlight w:val="none"/>
          <w:lang w:val="en-US" w:eastAsia="zh-CN"/>
        </w:rPr>
        <w:t>。</w:t>
      </w:r>
    </w:p>
    <w:p w14:paraId="04DA04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上述违反了《行政事业单位内部控制规范（试行）》，违反了“不相容岗位分离”和“业务归口管理”原则。退休待遇的核定（人事权） 与执行支付（财务权） 必须由不同部门负责，相互审核与制约。</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上述违反了《政府会计制度》，要求支出必须“附有原始凭证”，银行回单是关键支付凭证，其缺失导致会计信息无法真实反映“资金已付</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上述违反了《关于工资福利支出管理的相关政策》，各级政府对退休人员待遇发放均有严格规定，必须由人力资源和社会保障部门根据档案和政策准确核定，不允许未经审核直接发放。</w:t>
      </w:r>
    </w:p>
    <w:p w14:paraId="7D2289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建议：一是及时暂停与全面核查（紧急纠错），及时暂停当前仅凭领导签字即发放的模式。</w:t>
      </w:r>
      <w:r>
        <w:rPr>
          <w:rFonts w:hint="eastAsia" w:ascii="仿宋" w:hAnsi="仿宋" w:eastAsia="仿宋" w:cs="仿宋"/>
          <w:b w:val="0"/>
          <w:bCs w:val="0"/>
          <w:sz w:val="32"/>
          <w:szCs w:val="32"/>
          <w:highlight w:val="none"/>
          <w:lang w:val="en-US" w:eastAsia="zh-CN"/>
        </w:rPr>
        <w:t>对过往已发放的补贴进行全面核查。责成人力资源部门补审核所有历史发放名单与金额，确认是否正确无误。如发现错发、多发，必须制定计划及时追回。</w:t>
      </w:r>
      <w:r>
        <w:rPr>
          <w:rFonts w:hint="eastAsia" w:ascii="仿宋" w:hAnsi="仿宋" w:eastAsia="仿宋" w:cs="仿宋"/>
          <w:b/>
          <w:bCs/>
          <w:sz w:val="32"/>
          <w:szCs w:val="32"/>
          <w:highlight w:val="none"/>
          <w:lang w:val="en-US" w:eastAsia="zh-CN"/>
        </w:rPr>
        <w:t>二是建立健全标准化流程（长效机制）。</w:t>
      </w:r>
      <w:r>
        <w:rPr>
          <w:rFonts w:hint="eastAsia" w:ascii="仿宋" w:hAnsi="仿宋" w:eastAsia="仿宋" w:cs="仿宋"/>
          <w:b w:val="0"/>
          <w:bCs w:val="0"/>
          <w:sz w:val="32"/>
          <w:szCs w:val="32"/>
          <w:highlight w:val="none"/>
          <w:lang w:val="en-US" w:eastAsia="zh-CN"/>
        </w:rPr>
        <w:t>必须推行“人力资源审核前置”的标准化流程，建议设计并使用统一的《退休人员补贴发放审批表》。</w:t>
      </w:r>
      <w:r>
        <w:rPr>
          <w:rFonts w:hint="eastAsia" w:ascii="仿宋" w:hAnsi="仿宋" w:eastAsia="仿宋" w:cs="仿宋"/>
          <w:b/>
          <w:bCs/>
          <w:sz w:val="32"/>
          <w:szCs w:val="32"/>
          <w:highlight w:val="none"/>
          <w:lang w:val="en-US" w:eastAsia="zh-CN"/>
        </w:rPr>
        <w:t>三是明确责任与加强监督。明确责任。</w:t>
      </w:r>
      <w:r>
        <w:rPr>
          <w:rFonts w:hint="eastAsia" w:ascii="仿宋" w:hAnsi="仿宋" w:eastAsia="仿宋" w:cs="仿宋"/>
          <w:b w:val="0"/>
          <w:bCs w:val="0"/>
          <w:sz w:val="32"/>
          <w:szCs w:val="32"/>
          <w:highlight w:val="none"/>
          <w:lang w:val="en-US" w:eastAsia="zh-CN"/>
        </w:rPr>
        <w:t>在制度中明确，人力资源部门对人员资格和标准的准确性负首要责任。财务部门对支付凭证的完整性负责。领导负最终审批责任。</w:t>
      </w:r>
      <w:r>
        <w:rPr>
          <w:rFonts w:hint="eastAsia" w:ascii="仿宋" w:hAnsi="仿宋" w:eastAsia="仿宋" w:cs="仿宋"/>
          <w:b/>
          <w:bCs/>
          <w:sz w:val="32"/>
          <w:szCs w:val="32"/>
          <w:highlight w:val="none"/>
          <w:lang w:val="en-US" w:eastAsia="zh-CN"/>
        </w:rPr>
        <w:t>加强监督。</w:t>
      </w:r>
      <w:r>
        <w:rPr>
          <w:rFonts w:hint="eastAsia" w:ascii="仿宋" w:hAnsi="仿宋" w:eastAsia="仿宋" w:cs="仿宋"/>
          <w:b w:val="0"/>
          <w:bCs w:val="0"/>
          <w:sz w:val="32"/>
          <w:szCs w:val="32"/>
          <w:highlight w:val="none"/>
          <w:lang w:val="en-US" w:eastAsia="zh-CN"/>
        </w:rPr>
        <w:t>审计或纪检部门应定期对此类支出进行专项检查，确保流程得到遵循。</w:t>
      </w:r>
    </w:p>
    <w:p w14:paraId="105830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5.工资管理“四张表、两家发”的模式是一种碎片化的管理方式，虽然可能源于历史习惯或特定管理需求，但其弊端明显，体现在以下九个方面：一是维权成本高。</w:t>
      </w:r>
      <w:r>
        <w:rPr>
          <w:rFonts w:hint="eastAsia" w:ascii="仿宋" w:hAnsi="仿宋" w:eastAsia="仿宋" w:cs="仿宋"/>
          <w:b w:val="0"/>
          <w:bCs w:val="0"/>
          <w:sz w:val="32"/>
          <w:szCs w:val="32"/>
          <w:highlight w:val="none"/>
          <w:lang w:val="en-US" w:eastAsia="zh-CN"/>
        </w:rPr>
        <w:t>如果对某一笔收入有疑问，员工需要分别向财政局和单位办公室咨询，沟通成本高，问题处理链条长。</w:t>
      </w:r>
      <w:r>
        <w:rPr>
          <w:rFonts w:hint="eastAsia" w:ascii="仿宋" w:hAnsi="仿宋" w:eastAsia="仿宋" w:cs="仿宋"/>
          <w:b/>
          <w:bCs/>
          <w:sz w:val="32"/>
          <w:szCs w:val="32"/>
          <w:highlight w:val="none"/>
          <w:lang w:val="en-US" w:eastAsia="zh-CN"/>
        </w:rPr>
        <w:t>二是数据一致性风险高。</w:t>
      </w:r>
      <w:r>
        <w:rPr>
          <w:rFonts w:hint="eastAsia" w:ascii="仿宋" w:hAnsi="仿宋" w:eastAsia="仿宋" w:cs="仿宋"/>
          <w:b w:val="0"/>
          <w:bCs w:val="0"/>
          <w:sz w:val="32"/>
          <w:szCs w:val="32"/>
          <w:highlight w:val="none"/>
          <w:lang w:val="en-US" w:eastAsia="zh-CN"/>
        </w:rPr>
        <w:t>财政统发部分和单位发放部分的基础数据（如基本工资、职级、扣款基数等）需要高度同步。任何一方的数据变动（如职级晋升、公积金调整）若未及时通知另一方，就会导致发放错误，后续纠错流程烦琐。</w:t>
      </w:r>
      <w:r>
        <w:rPr>
          <w:rFonts w:hint="eastAsia" w:ascii="仿宋" w:hAnsi="仿宋" w:eastAsia="仿宋" w:cs="仿宋"/>
          <w:b/>
          <w:bCs/>
          <w:sz w:val="32"/>
          <w:szCs w:val="32"/>
          <w:highlight w:val="none"/>
          <w:lang w:val="en-US" w:eastAsia="zh-CN"/>
        </w:rPr>
        <w:t>三是资金安全风险。</w:t>
      </w:r>
      <w:r>
        <w:rPr>
          <w:rFonts w:hint="eastAsia" w:ascii="仿宋" w:hAnsi="仿宋" w:eastAsia="仿宋" w:cs="仿宋"/>
          <w:b w:val="0"/>
          <w:bCs w:val="0"/>
          <w:sz w:val="32"/>
          <w:szCs w:val="32"/>
          <w:highlight w:val="none"/>
          <w:lang w:val="en-US" w:eastAsia="zh-CN"/>
        </w:rPr>
        <w:t>单位通常通过自有账户发放补贴，涉及资金的请款、保管、支付等环节，内部控制若不到位，存在资金安全风险。</w:t>
      </w:r>
      <w:r>
        <w:rPr>
          <w:rFonts w:hint="eastAsia" w:ascii="仿宋" w:hAnsi="仿宋" w:eastAsia="仿宋" w:cs="仿宋"/>
          <w:b/>
          <w:bCs/>
          <w:sz w:val="32"/>
          <w:szCs w:val="32"/>
          <w:highlight w:val="none"/>
          <w:lang w:val="en-US" w:eastAsia="zh-CN"/>
        </w:rPr>
        <w:t>四是人事变动同步延迟。</w:t>
      </w:r>
      <w:r>
        <w:rPr>
          <w:rFonts w:hint="eastAsia" w:ascii="仿宋" w:hAnsi="仿宋" w:eastAsia="仿宋" w:cs="仿宋"/>
          <w:b w:val="0"/>
          <w:bCs w:val="0"/>
          <w:sz w:val="32"/>
          <w:szCs w:val="32"/>
          <w:highlight w:val="none"/>
          <w:lang w:val="en-US" w:eastAsia="zh-CN"/>
        </w:rPr>
        <w:t>对于人员调入、调出、离职、退休等情况，财政局和单位办公室之间的信息传递可能存在时间差，导致多发、少发或漏发工资。</w:t>
      </w:r>
      <w:r>
        <w:rPr>
          <w:rFonts w:hint="eastAsia" w:ascii="仿宋" w:hAnsi="仿宋" w:eastAsia="仿宋" w:cs="仿宋"/>
          <w:b/>
          <w:bCs/>
          <w:sz w:val="32"/>
          <w:szCs w:val="32"/>
          <w:highlight w:val="none"/>
          <w:lang w:val="en-US" w:eastAsia="zh-CN"/>
        </w:rPr>
        <w:t>五是核算与对账复杂。</w:t>
      </w:r>
      <w:r>
        <w:rPr>
          <w:rFonts w:hint="eastAsia" w:ascii="仿宋" w:hAnsi="仿宋" w:eastAsia="仿宋" w:cs="仿宋"/>
          <w:b w:val="0"/>
          <w:bCs w:val="0"/>
          <w:sz w:val="32"/>
          <w:szCs w:val="32"/>
          <w:highlight w:val="none"/>
          <w:lang w:val="en-US" w:eastAsia="zh-CN"/>
        </w:rPr>
        <w:t>单位财务人员需要将财政发放和单位发放的两部分金额在账务上进行合并处理，期末与财政局、银行等多方对账工作量翻倍，容易出错。</w:t>
      </w:r>
      <w:r>
        <w:rPr>
          <w:rFonts w:hint="eastAsia" w:ascii="仿宋" w:hAnsi="仿宋" w:eastAsia="仿宋" w:cs="仿宋"/>
          <w:b/>
          <w:bCs/>
          <w:sz w:val="32"/>
          <w:szCs w:val="32"/>
          <w:highlight w:val="none"/>
          <w:lang w:val="en-US" w:eastAsia="zh-CN"/>
        </w:rPr>
        <w:t>六是预算编制和执行困难。</w:t>
      </w:r>
      <w:r>
        <w:rPr>
          <w:rFonts w:hint="eastAsia" w:ascii="仿宋" w:hAnsi="仿宋" w:eastAsia="仿宋" w:cs="仿宋"/>
          <w:b w:val="0"/>
          <w:bCs w:val="0"/>
          <w:sz w:val="32"/>
          <w:szCs w:val="32"/>
          <w:highlight w:val="none"/>
          <w:lang w:val="en-US" w:eastAsia="zh-CN"/>
        </w:rPr>
        <w:t>工资福利支出被分割成两块，不利于单位财务进行准确的全年人员经费预算编制，也不利于对预算执行情况进行整体把控和分析。</w:t>
      </w:r>
      <w:r>
        <w:rPr>
          <w:rFonts w:hint="eastAsia" w:ascii="仿宋" w:hAnsi="仿宋" w:eastAsia="仿宋" w:cs="仿宋"/>
          <w:b/>
          <w:bCs/>
          <w:sz w:val="32"/>
          <w:szCs w:val="32"/>
          <w:highlight w:val="none"/>
          <w:lang w:val="en-US" w:eastAsia="zh-CN"/>
        </w:rPr>
        <w:t>七是审计风险高。</w:t>
      </w:r>
      <w:r>
        <w:rPr>
          <w:rFonts w:hint="eastAsia" w:ascii="仿宋" w:hAnsi="仿宋" w:eastAsia="仿宋" w:cs="仿宋"/>
          <w:b w:val="0"/>
          <w:bCs w:val="0"/>
          <w:sz w:val="32"/>
          <w:szCs w:val="32"/>
          <w:highlight w:val="none"/>
          <w:lang w:val="en-US" w:eastAsia="zh-CN"/>
        </w:rPr>
        <w:t>这种模式在审计时会被重点关注。审计人员会审查发放依据、标准、内部控制的完整性，任何环节的疏漏都可能被提出审计质疑。津补贴的发放是否符合政策规定是审计的重中之重。</w:t>
      </w:r>
    </w:p>
    <w:p w14:paraId="6B940FC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八是信息孤岛。</w:t>
      </w:r>
      <w:r>
        <w:rPr>
          <w:rFonts w:hint="eastAsia" w:ascii="仿宋" w:hAnsi="仿宋" w:eastAsia="仿宋" w:cs="仿宋"/>
          <w:b w:val="0"/>
          <w:bCs w:val="0"/>
          <w:sz w:val="32"/>
          <w:szCs w:val="32"/>
          <w:highlight w:val="none"/>
          <w:lang w:val="en-US" w:eastAsia="zh-CN"/>
        </w:rPr>
        <w:t>薪资数据分散在两套甚至多套系统中，无法形成完整、统一的人员薪酬数据库，难以进行有效的薪酬数据分析和决策支持。</w:t>
      </w:r>
      <w:r>
        <w:rPr>
          <w:rFonts w:hint="eastAsia" w:ascii="仿宋" w:hAnsi="仿宋" w:eastAsia="仿宋" w:cs="仿宋"/>
          <w:b/>
          <w:bCs/>
          <w:sz w:val="32"/>
          <w:szCs w:val="32"/>
          <w:highlight w:val="none"/>
          <w:lang w:val="en-US" w:eastAsia="zh-CN"/>
        </w:rPr>
        <w:t>九是统计报表困难。</w:t>
      </w:r>
      <w:r>
        <w:rPr>
          <w:rFonts w:hint="eastAsia" w:ascii="仿宋" w:hAnsi="仿宋" w:eastAsia="仿宋" w:cs="仿宋"/>
          <w:b w:val="0"/>
          <w:bCs w:val="0"/>
          <w:sz w:val="32"/>
          <w:szCs w:val="32"/>
          <w:highlight w:val="none"/>
          <w:lang w:val="en-US" w:eastAsia="zh-CN"/>
        </w:rPr>
        <w:t>每当需要向上级部门报送人事、工资统计报表时，需要人工从不同来源汇总数据，费时费力，且数据准确性难以保证。</w:t>
      </w:r>
    </w:p>
    <w:p w14:paraId="0C1912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上述违反了《中华人民共和国预算法》及其实施条例</w:t>
      </w:r>
      <w:r>
        <w:rPr>
          <w:rFonts w:hint="eastAsia" w:ascii="仿宋" w:hAnsi="仿宋" w:eastAsia="仿宋" w:cs="仿宋"/>
          <w:b/>
          <w:bCs/>
          <w:sz w:val="32"/>
          <w:szCs w:val="32"/>
          <w:highlight w:val="none"/>
          <w:lang w:val="en-US" w:eastAsia="zh-CN"/>
        </w:rPr>
        <w:t>全口径预算与支出管理</w:t>
      </w:r>
      <w:r>
        <w:rPr>
          <w:rFonts w:hint="eastAsia" w:ascii="仿宋" w:hAnsi="仿宋" w:eastAsia="仿宋" w:cs="仿宋"/>
          <w:b w:val="0"/>
          <w:bCs w:val="0"/>
          <w:sz w:val="32"/>
          <w:szCs w:val="32"/>
          <w:highlight w:val="none"/>
          <w:lang w:val="en-US" w:eastAsia="zh-CN"/>
        </w:rPr>
        <w:t>。核心要求：政府的全部收入和支出都应当纳入预算。所有工资性支出作为单位预算的重要组成部分，必须接受严格的预算管理和控制。将工资拆分发放，尤其是使用单位“小金库”、未纳入预算的收支或其他非财政渠道的资金，规避了预算的统筹管理和监督，使得部分人员支出脱离了人大和财政的监管视野，属于典型的“预算管理碎片化”。</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上述违反了《政府会计制度》</w:t>
      </w:r>
      <w:r>
        <w:rPr>
          <w:rFonts w:hint="eastAsia" w:ascii="仿宋" w:hAnsi="仿宋" w:eastAsia="仿宋" w:cs="仿宋"/>
          <w:b/>
          <w:bCs/>
          <w:sz w:val="32"/>
          <w:szCs w:val="32"/>
          <w:highlight w:val="none"/>
          <w:lang w:val="en-US" w:eastAsia="zh-CN"/>
        </w:rPr>
        <w:t>核算的完整性与准确性。</w:t>
      </w:r>
      <w:r>
        <w:rPr>
          <w:rFonts w:hint="eastAsia" w:ascii="仿宋" w:hAnsi="仿宋" w:eastAsia="仿宋" w:cs="仿宋"/>
          <w:b w:val="0"/>
          <w:bCs w:val="0"/>
          <w:sz w:val="32"/>
          <w:szCs w:val="32"/>
          <w:highlight w:val="none"/>
          <w:lang w:val="en-US" w:eastAsia="zh-CN"/>
        </w:rPr>
        <w:t>核心要求：会计核算应当以实际发生的经济业务为依据，</w:t>
      </w:r>
      <w:r>
        <w:rPr>
          <w:rFonts w:hint="eastAsia" w:ascii="仿宋" w:hAnsi="仿宋" w:eastAsia="仿宋" w:cs="仿宋"/>
          <w:b/>
          <w:bCs/>
          <w:sz w:val="32"/>
          <w:szCs w:val="32"/>
          <w:highlight w:val="none"/>
          <w:lang w:val="en-US" w:eastAsia="zh-CN"/>
        </w:rPr>
        <w:t>真实、完整</w:t>
      </w:r>
      <w:r>
        <w:rPr>
          <w:rFonts w:hint="eastAsia" w:ascii="仿宋" w:hAnsi="仿宋" w:eastAsia="仿宋" w:cs="仿宋"/>
          <w:b w:val="0"/>
          <w:bCs w:val="0"/>
          <w:sz w:val="32"/>
          <w:szCs w:val="32"/>
          <w:highlight w:val="none"/>
          <w:lang w:val="en-US" w:eastAsia="zh-CN"/>
        </w:rPr>
        <w:t>地反映单位的财务状况和运行情况。人为将同一笔经济业务（支付职工薪酬）拆分，导致单位的“人员支出”总额在账面上无法真实、完整地体现。这扭曲了成本信息，影响了会计信息的质量，使得报表使用者无法准确了解单位真实的人工成本。</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上述违反了《行政事业单位内部控制规范（试行）》</w:t>
      </w:r>
      <w:r>
        <w:rPr>
          <w:rFonts w:hint="eastAsia" w:ascii="仿宋" w:hAnsi="仿宋" w:eastAsia="仿宋" w:cs="仿宋"/>
          <w:b/>
          <w:bCs/>
          <w:sz w:val="32"/>
          <w:szCs w:val="32"/>
          <w:highlight w:val="none"/>
          <w:lang w:val="en-US" w:eastAsia="zh-CN"/>
        </w:rPr>
        <w:t>业务归口管理与控制。</w:t>
      </w:r>
      <w:r>
        <w:rPr>
          <w:rFonts w:hint="eastAsia" w:ascii="仿宋" w:hAnsi="仿宋" w:eastAsia="仿宋" w:cs="仿宋"/>
          <w:b w:val="0"/>
          <w:bCs w:val="0"/>
          <w:sz w:val="32"/>
          <w:szCs w:val="32"/>
          <w:highlight w:val="none"/>
          <w:lang w:val="en-US" w:eastAsia="zh-CN"/>
        </w:rPr>
        <w:t>核心要求：单位应当建立健全内部控制体系，对经济活动实行归口管理。工资薪金发放作为一个完整的经济活动，应由人力资源和社会保障部门和财务部门统一审核、统一支付。“四张表、两家发”的模式破坏了业务的完整性和归口管理原则。导致审核控制弱化，人力资源和社会保障部门可能无法全面掌握职工的总收入，无法进行有效的总量控制和合规性审核。支付控制分散，财务部门无法对人员经费进行统一的支付控制和账务处理，内控环节出现断点。</w:t>
      </w:r>
    </w:p>
    <w:p w14:paraId="0343AA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建议：推动整合与规范化，利用信息化手段，明确责任分工，强化内部控制，实现工资性收入的“一个标准、归口管理、统一核算、统一发放”</w:t>
      </w:r>
      <w:r>
        <w:rPr>
          <w:rFonts w:hint="eastAsia" w:ascii="仿宋" w:hAnsi="仿宋" w:eastAsia="仿宋" w:cs="仿宋"/>
          <w:b w:val="0"/>
          <w:bCs w:val="0"/>
          <w:sz w:val="32"/>
          <w:szCs w:val="32"/>
          <w:highlight w:val="none"/>
          <w:lang w:val="en-US" w:eastAsia="zh-CN"/>
        </w:rPr>
        <w:t>。</w:t>
      </w:r>
      <w:r>
        <w:rPr>
          <w:rFonts w:hint="eastAsia" w:ascii="仿宋" w:hAnsi="仿宋" w:eastAsia="仿宋" w:cs="仿宋"/>
          <w:b/>
          <w:bCs/>
          <w:sz w:val="32"/>
          <w:szCs w:val="32"/>
          <w:highlight w:val="none"/>
          <w:lang w:val="en-US" w:eastAsia="zh-CN"/>
        </w:rPr>
        <w:t>一是确定终极目标，推动“工资一体化发放”。</w:t>
      </w:r>
      <w:r>
        <w:rPr>
          <w:rFonts w:hint="eastAsia" w:ascii="仿宋" w:hAnsi="仿宋" w:eastAsia="仿宋" w:cs="仿宋"/>
          <w:b w:val="0"/>
          <w:bCs w:val="0"/>
          <w:sz w:val="32"/>
          <w:szCs w:val="32"/>
          <w:highlight w:val="none"/>
          <w:lang w:val="en-US" w:eastAsia="zh-CN"/>
        </w:rPr>
        <w:t>积极与上级财政部门沟通，争取将所有合规的津补贴、绩效工资等项目全部纳入财政统发系统。由单位提供完整、准确的发放数据和依据，由财政局通过一个渠道统一发放。这是最彻底、最规范的解决方案，能从根本上解决上述所有问题。</w:t>
      </w:r>
      <w:r>
        <w:rPr>
          <w:rFonts w:hint="eastAsia" w:ascii="仿宋" w:hAnsi="仿宋" w:eastAsia="仿宋" w:cs="仿宋"/>
          <w:b/>
          <w:bCs/>
          <w:sz w:val="32"/>
          <w:szCs w:val="32"/>
          <w:highlight w:val="none"/>
          <w:lang w:val="en-US" w:eastAsia="zh-CN"/>
        </w:rPr>
        <w:t>二是优化流程与加强管理，实施现阶段过渡方案。</w:t>
      </w:r>
      <w:r>
        <w:rPr>
          <w:rFonts w:hint="eastAsia" w:ascii="仿宋" w:hAnsi="仿宋" w:eastAsia="仿宋" w:cs="仿宋"/>
          <w:b w:val="0"/>
          <w:bCs w:val="0"/>
          <w:sz w:val="32"/>
          <w:szCs w:val="32"/>
          <w:highlight w:val="none"/>
          <w:lang w:val="en-US" w:eastAsia="zh-CN"/>
        </w:rPr>
        <w:t>如果短期内无法实现全部财政统发，应采取以下措施进行优化：</w:t>
      </w:r>
      <w:r>
        <w:rPr>
          <w:rFonts w:hint="eastAsia" w:ascii="仿宋" w:hAnsi="仿宋" w:eastAsia="仿宋" w:cs="仿宋"/>
          <w:b/>
          <w:bCs/>
          <w:sz w:val="32"/>
          <w:szCs w:val="32"/>
          <w:highlight w:val="none"/>
          <w:lang w:val="en-US" w:eastAsia="zh-CN"/>
        </w:rPr>
        <w:t>①流程优化。</w:t>
      </w:r>
      <w:r>
        <w:rPr>
          <w:rFonts w:hint="eastAsia" w:ascii="仿宋" w:hAnsi="仿宋" w:eastAsia="仿宋" w:cs="仿宋"/>
          <w:b w:val="0"/>
          <w:bCs w:val="0"/>
          <w:sz w:val="32"/>
          <w:szCs w:val="32"/>
          <w:highlight w:val="none"/>
          <w:lang w:val="en-US" w:eastAsia="zh-CN"/>
        </w:rPr>
        <w:t>明确发放项目和标准，制定内部的《薪酬发放管理办法》，以书面形式明确财政统发哪些、单位发哪些，每个项目的计算标准、发放时间、责任部门，并向全体员工公示，减少误解。</w:t>
      </w:r>
      <w:r>
        <w:rPr>
          <w:rFonts w:hint="eastAsia" w:ascii="仿宋" w:hAnsi="仿宋" w:eastAsia="仿宋" w:cs="仿宋"/>
          <w:b/>
          <w:bCs/>
          <w:sz w:val="32"/>
          <w:szCs w:val="32"/>
          <w:highlight w:val="none"/>
          <w:lang w:val="en-US" w:eastAsia="zh-CN"/>
        </w:rPr>
        <w:t>②建立数据同步机制。</w:t>
      </w:r>
      <w:r>
        <w:rPr>
          <w:rFonts w:hint="eastAsia" w:ascii="仿宋" w:hAnsi="仿宋" w:eastAsia="仿宋" w:cs="仿宋"/>
          <w:b w:val="0"/>
          <w:bCs w:val="0"/>
          <w:sz w:val="32"/>
          <w:szCs w:val="32"/>
          <w:highlight w:val="none"/>
          <w:lang w:val="en-US" w:eastAsia="zh-CN"/>
        </w:rPr>
        <w:t>建立“人事-财务-办公室”联动机制。任何人员信息、薪资标准的变动，由人力资源岗统一发起，同时通知财政局对接人员和单位办公室发放负责人，确保两边数据源一致</w:t>
      </w:r>
      <w:r>
        <w:rPr>
          <w:rFonts w:hint="eastAsia" w:ascii="仿宋" w:hAnsi="仿宋" w:eastAsia="仿宋" w:cs="仿宋"/>
          <w:b/>
          <w:bCs/>
          <w:sz w:val="32"/>
          <w:szCs w:val="32"/>
          <w:highlight w:val="none"/>
          <w:lang w:val="en-US" w:eastAsia="zh-CN"/>
        </w:rPr>
        <w:t>。③合并发放时间。</w:t>
      </w:r>
      <w:r>
        <w:rPr>
          <w:rFonts w:hint="eastAsia" w:ascii="仿宋" w:hAnsi="仿宋" w:eastAsia="仿宋" w:cs="仿宋"/>
          <w:b w:val="0"/>
          <w:bCs w:val="0"/>
          <w:sz w:val="32"/>
          <w:szCs w:val="32"/>
          <w:highlight w:val="none"/>
          <w:lang w:val="en-US" w:eastAsia="zh-CN"/>
        </w:rPr>
        <w:t>尽量将单位发放的补贴与财政统发工资的到账时间安排在相近的日期，减轻员工的核算困惑。</w:t>
      </w:r>
      <w:r>
        <w:rPr>
          <w:rFonts w:hint="eastAsia" w:ascii="仿宋" w:hAnsi="仿宋" w:eastAsia="仿宋" w:cs="仿宋"/>
          <w:b/>
          <w:bCs/>
          <w:sz w:val="32"/>
          <w:szCs w:val="32"/>
          <w:highlight w:val="none"/>
          <w:lang w:val="en-US" w:eastAsia="zh-CN"/>
        </w:rPr>
        <w:t>④技术赋能。</w:t>
      </w:r>
      <w:r>
        <w:rPr>
          <w:rFonts w:hint="eastAsia" w:ascii="仿宋" w:hAnsi="仿宋" w:eastAsia="仿宋" w:cs="仿宋"/>
          <w:b w:val="0"/>
          <w:bCs w:val="0"/>
          <w:sz w:val="32"/>
          <w:szCs w:val="32"/>
          <w:highlight w:val="none"/>
          <w:lang w:val="en-US" w:eastAsia="zh-CN"/>
        </w:rPr>
        <w:t>引入或优化薪资管理系统，即使发放渠道不同，也应使用一套统一的软件或Excel模板进行所有工资项目的计算和汇总。系统应能自动生成财政统发表和单位发放表，并能合并生成一张完整的、给员工看的综合工资条（详细列出所有收入项目和扣除项目）。</w:t>
      </w:r>
      <w:r>
        <w:rPr>
          <w:rFonts w:hint="eastAsia" w:ascii="仿宋" w:hAnsi="仿宋" w:eastAsia="仿宋" w:cs="仿宋"/>
          <w:b/>
          <w:bCs/>
          <w:sz w:val="32"/>
          <w:szCs w:val="32"/>
          <w:highlight w:val="none"/>
          <w:lang w:val="en-US" w:eastAsia="zh-CN"/>
        </w:rPr>
        <w:t>⑤推广电子工资条。</w:t>
      </w:r>
      <w:r>
        <w:rPr>
          <w:rFonts w:hint="eastAsia" w:ascii="仿宋" w:hAnsi="仿宋" w:eastAsia="仿宋" w:cs="仿宋"/>
          <w:b w:val="0"/>
          <w:bCs w:val="0"/>
          <w:sz w:val="32"/>
          <w:szCs w:val="32"/>
          <w:highlight w:val="none"/>
          <w:lang w:val="en-US" w:eastAsia="zh-CN"/>
        </w:rPr>
        <w:t>通过短信、邮件或内部OA系统推送完整的电子工资条，方便员工查询、保存和核对。</w:t>
      </w:r>
      <w:r>
        <w:rPr>
          <w:rFonts w:hint="eastAsia" w:ascii="仿宋" w:hAnsi="仿宋" w:eastAsia="仿宋" w:cs="仿宋"/>
          <w:b/>
          <w:bCs/>
          <w:sz w:val="32"/>
          <w:szCs w:val="32"/>
          <w:highlight w:val="none"/>
          <w:lang w:val="en-US" w:eastAsia="zh-CN"/>
        </w:rPr>
        <w:t>⑥强化审核与监督。</w:t>
      </w:r>
      <w:r>
        <w:rPr>
          <w:rFonts w:hint="eastAsia" w:ascii="仿宋" w:hAnsi="仿宋" w:eastAsia="仿宋" w:cs="仿宋"/>
          <w:b w:val="0"/>
          <w:bCs w:val="0"/>
          <w:sz w:val="32"/>
          <w:szCs w:val="32"/>
          <w:highlight w:val="none"/>
          <w:lang w:val="en-US" w:eastAsia="zh-CN"/>
        </w:rPr>
        <w:t>单位办公室制作补贴发放表时，必须经过制表人、审核人（财务负责人）、审批人（单位分管领导）三级审核签字确认，确保数据准确、合规。</w:t>
      </w:r>
      <w:r>
        <w:rPr>
          <w:rFonts w:hint="eastAsia" w:ascii="仿宋" w:hAnsi="仿宋" w:eastAsia="仿宋" w:cs="仿宋"/>
          <w:b/>
          <w:bCs/>
          <w:sz w:val="32"/>
          <w:szCs w:val="32"/>
          <w:highlight w:val="none"/>
          <w:lang w:val="en-US" w:eastAsia="zh-CN"/>
        </w:rPr>
        <w:t>⑦定期对账与审计。</w:t>
      </w:r>
      <w:r>
        <w:rPr>
          <w:rFonts w:hint="eastAsia" w:ascii="仿宋" w:hAnsi="仿宋" w:eastAsia="仿宋" w:cs="仿宋"/>
          <w:b w:val="0"/>
          <w:bCs w:val="0"/>
          <w:sz w:val="32"/>
          <w:szCs w:val="32"/>
          <w:highlight w:val="none"/>
          <w:lang w:val="en-US" w:eastAsia="zh-CN"/>
        </w:rPr>
        <w:t>财务部门每月、每季度都要对财政发放和单位发放的记录进行核对，确保账实相符。定期邀请内审或上级审计部门进行抽查，提前发现问题。</w:t>
      </w:r>
      <w:r>
        <w:rPr>
          <w:rFonts w:hint="eastAsia" w:ascii="仿宋" w:hAnsi="仿宋" w:eastAsia="仿宋" w:cs="仿宋"/>
          <w:b/>
          <w:bCs/>
          <w:sz w:val="32"/>
          <w:szCs w:val="32"/>
          <w:highlight w:val="none"/>
          <w:lang w:val="en-US" w:eastAsia="zh-CN"/>
        </w:rPr>
        <w:t>⑧专款专用与账户管理。</w:t>
      </w:r>
      <w:r>
        <w:rPr>
          <w:rFonts w:hint="eastAsia" w:ascii="仿宋" w:hAnsi="仿宋" w:eastAsia="仿宋" w:cs="仿宋"/>
          <w:b w:val="0"/>
          <w:bCs w:val="0"/>
          <w:sz w:val="32"/>
          <w:szCs w:val="32"/>
          <w:highlight w:val="none"/>
          <w:lang w:val="en-US" w:eastAsia="zh-CN"/>
        </w:rPr>
        <w:t>对用于发放补贴的账户进行严格管理，收支清晰，杜绝与其他经费混用。</w:t>
      </w:r>
      <w:r>
        <w:rPr>
          <w:rFonts w:hint="eastAsia" w:ascii="仿宋" w:hAnsi="仿宋" w:eastAsia="仿宋" w:cs="仿宋"/>
          <w:b/>
          <w:bCs/>
          <w:sz w:val="32"/>
          <w:szCs w:val="32"/>
          <w:highlight w:val="none"/>
          <w:lang w:val="en-US" w:eastAsia="zh-CN"/>
        </w:rPr>
        <w:t>三是加强沟通与培训。对员工，</w:t>
      </w:r>
      <w:r>
        <w:rPr>
          <w:rFonts w:hint="eastAsia" w:ascii="仿宋" w:hAnsi="仿宋" w:eastAsia="仿宋" w:cs="仿宋"/>
          <w:b w:val="0"/>
          <w:bCs w:val="0"/>
          <w:sz w:val="32"/>
          <w:szCs w:val="32"/>
          <w:highlight w:val="none"/>
          <w:lang w:val="en-US" w:eastAsia="zh-CN"/>
        </w:rPr>
        <w:t>定期召开说明会或印发通知，解释工资构成和发放方式，公布咨询渠道，减少因信息不对称带来的误会。</w:t>
      </w:r>
      <w:r>
        <w:rPr>
          <w:rFonts w:hint="eastAsia" w:ascii="仿宋" w:hAnsi="仿宋" w:eastAsia="仿宋" w:cs="仿宋"/>
          <w:b/>
          <w:bCs/>
          <w:sz w:val="32"/>
          <w:szCs w:val="32"/>
          <w:highlight w:val="none"/>
          <w:lang w:val="en-US" w:eastAsia="zh-CN"/>
        </w:rPr>
        <w:t>对相关经办人员，</w:t>
      </w:r>
      <w:r>
        <w:rPr>
          <w:rFonts w:hint="eastAsia" w:ascii="仿宋" w:hAnsi="仿宋" w:eastAsia="仿宋" w:cs="仿宋"/>
          <w:b w:val="0"/>
          <w:bCs w:val="0"/>
          <w:sz w:val="32"/>
          <w:szCs w:val="32"/>
          <w:highlight w:val="none"/>
          <w:lang w:val="en-US" w:eastAsia="zh-CN"/>
        </w:rPr>
        <w:t>组织办公室、财务室人员进行业务培训，确保他们熟悉政策、精通流程、熟练操作软件，减少人为差错。</w:t>
      </w:r>
    </w:p>
    <w:p w14:paraId="22E18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default" w:ascii="仿宋" w:hAnsi="仿宋" w:eastAsia="仿宋" w:cs="仿宋"/>
          <w:b/>
          <w:bCs/>
          <w:sz w:val="32"/>
          <w:szCs w:val="32"/>
          <w:lang w:val="en-US" w:eastAsia="zh-CN"/>
        </w:rPr>
      </w:pPr>
      <w:bookmarkStart w:id="56" w:name="_Toc4302"/>
      <w:r>
        <w:rPr>
          <w:rFonts w:hint="eastAsia" w:ascii="楷体" w:hAnsi="楷体" w:eastAsia="楷体" w:cs="楷体"/>
          <w:b/>
          <w:bCs/>
          <w:sz w:val="32"/>
          <w:szCs w:val="32"/>
          <w:lang w:val="en-US" w:eastAsia="zh-CN"/>
        </w:rPr>
        <w:t>（四）项目管理方面存在的问题及建议</w:t>
      </w:r>
      <w:bookmarkEnd w:id="56"/>
    </w:p>
    <w:p w14:paraId="797F1958">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1.2024年1月4号凭证档案馆日常开支3,181.00元。支付工作用餐审批表，未标明加班事由与预算金额。</w:t>
      </w:r>
    </w:p>
    <w:p w14:paraId="45B56CF5">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上述违反了《中华人民共和国预算法实施条例》关于</w:t>
      </w:r>
      <w:r>
        <w:rPr>
          <w:rFonts w:hint="eastAsia" w:ascii="仿宋" w:hAnsi="仿宋" w:eastAsia="仿宋" w:cs="仿宋"/>
          <w:b/>
          <w:bCs/>
          <w:sz w:val="32"/>
          <w:szCs w:val="32"/>
          <w:highlight w:val="none"/>
          <w:lang w:val="en-US" w:eastAsia="zh-CN"/>
        </w:rPr>
        <w:t>“强化预算约束”</w:t>
      </w:r>
      <w:r>
        <w:rPr>
          <w:rFonts w:hint="eastAsia" w:ascii="仿宋" w:hAnsi="仿宋" w:eastAsia="仿宋" w:cs="仿宋"/>
          <w:b w:val="0"/>
          <w:bCs w:val="0"/>
          <w:sz w:val="32"/>
          <w:szCs w:val="32"/>
          <w:highlight w:val="none"/>
          <w:lang w:val="en-US" w:eastAsia="zh-CN"/>
        </w:rPr>
        <w:t>的要求。所有支出应纳入预算管理，事前标明预算有助于防止无预算、超预算支出，并便于进行成本控制和绩效核算。未标明“加班事由”，审批表未说明用餐对应的具体加班工作内容、人员、时间。存在高风险。违反“实事求是、确有必要”原则。根据中央八项规定及其实施细则精神，严禁无实质内容、无明确公务目的的公务接待和工作用餐。缺少事由，无法证明用餐是因“必要的加班”产生，易被认定为变相福利或违规聚餐。未标明“预算金额”或“预算来源”，审批时未说明此项支出是否在预算内，以及对应的预算项目。存在中高风险。</w:t>
      </w:r>
    </w:p>
    <w:p w14:paraId="2BBAA2CB">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建议：一是及时补充本次支出的审批依据（针对已发生业务）。</w:t>
      </w:r>
      <w:r>
        <w:rPr>
          <w:rFonts w:hint="eastAsia" w:ascii="仿宋" w:hAnsi="仿宋" w:eastAsia="仿宋" w:cs="仿宋"/>
          <w:b w:val="0"/>
          <w:bCs w:val="0"/>
          <w:sz w:val="32"/>
          <w:szCs w:val="32"/>
          <w:highlight w:val="none"/>
          <w:lang w:val="en-US" w:eastAsia="zh-CN"/>
        </w:rPr>
        <w:t>核心目标：补全证明“为何用餐”和“费用合规”的证据。A</w:t>
      </w:r>
      <w:r>
        <w:rPr>
          <w:rFonts w:hint="eastAsia" w:ascii="仿宋" w:hAnsi="仿宋" w:eastAsia="仿宋" w:cs="仿宋"/>
          <w:b/>
          <w:bCs/>
          <w:sz w:val="32"/>
          <w:szCs w:val="32"/>
          <w:highlight w:val="none"/>
          <w:lang w:val="en-US" w:eastAsia="zh-CN"/>
        </w:rPr>
        <w:t>补充情况说明。</w:t>
      </w:r>
      <w:r>
        <w:rPr>
          <w:rFonts w:hint="eastAsia" w:ascii="仿宋" w:hAnsi="仿宋" w:eastAsia="仿宋" w:cs="仿宋"/>
          <w:b w:val="0"/>
          <w:bCs w:val="0"/>
          <w:sz w:val="32"/>
          <w:szCs w:val="32"/>
          <w:highlight w:val="none"/>
          <w:lang w:val="en-US" w:eastAsia="zh-CN"/>
        </w:rPr>
        <w:t>由申请用餐的部门负责人出具书面说明，详细陈述当次加班的具体事由、起止时间、加班人员名单，并声明用餐费用符合本地/本单位关于加班用餐的标准。B</w:t>
      </w:r>
      <w:r>
        <w:rPr>
          <w:rFonts w:hint="eastAsia" w:ascii="仿宋" w:hAnsi="仿宋" w:eastAsia="仿宋" w:cs="仿宋"/>
          <w:b/>
          <w:bCs/>
          <w:sz w:val="32"/>
          <w:szCs w:val="32"/>
          <w:highlight w:val="none"/>
          <w:lang w:val="en-US" w:eastAsia="zh-CN"/>
        </w:rPr>
        <w:t>补签审批意见。</w:t>
      </w:r>
      <w:r>
        <w:rPr>
          <w:rFonts w:hint="eastAsia" w:ascii="仿宋" w:hAnsi="仿宋" w:eastAsia="仿宋" w:cs="仿宋"/>
          <w:b w:val="0"/>
          <w:bCs w:val="0"/>
          <w:sz w:val="32"/>
          <w:szCs w:val="32"/>
          <w:highlight w:val="none"/>
          <w:lang w:val="en-US" w:eastAsia="zh-CN"/>
        </w:rPr>
        <w:t>请单位分管领导或财务负责人在上述说明上补签审批意见，确认情况属实且同意报销，以此作为原审批表的有效补充。C</w:t>
      </w:r>
      <w:r>
        <w:rPr>
          <w:rFonts w:hint="eastAsia" w:ascii="仿宋" w:hAnsi="仿宋" w:eastAsia="仿宋" w:cs="仿宋"/>
          <w:b/>
          <w:bCs/>
          <w:sz w:val="32"/>
          <w:szCs w:val="32"/>
          <w:highlight w:val="none"/>
          <w:lang w:val="en-US" w:eastAsia="zh-CN"/>
        </w:rPr>
        <w:t>归档备查。</w:t>
      </w:r>
      <w:r>
        <w:rPr>
          <w:rFonts w:hint="eastAsia" w:ascii="仿宋" w:hAnsi="仿宋" w:eastAsia="仿宋" w:cs="仿宋"/>
          <w:b w:val="0"/>
          <w:bCs w:val="0"/>
          <w:sz w:val="32"/>
          <w:szCs w:val="32"/>
          <w:highlight w:val="none"/>
          <w:lang w:val="en-US" w:eastAsia="zh-CN"/>
        </w:rPr>
        <w:t>将补充材料与原凭证、原审批表一并归档，形成完整证据链。</w:t>
      </w:r>
      <w:r>
        <w:rPr>
          <w:rFonts w:hint="eastAsia" w:ascii="仿宋" w:hAnsi="仿宋" w:eastAsia="仿宋" w:cs="仿宋"/>
          <w:b/>
          <w:bCs/>
          <w:sz w:val="32"/>
          <w:szCs w:val="32"/>
          <w:highlight w:val="none"/>
          <w:lang w:val="en-US" w:eastAsia="zh-CN"/>
        </w:rPr>
        <w:t>二是建章立制，规范未来所有工作用餐报销（长效机制）。A修订审批单模板。</w:t>
      </w:r>
      <w:r>
        <w:rPr>
          <w:rFonts w:hint="eastAsia" w:ascii="仿宋" w:hAnsi="仿宋" w:eastAsia="仿宋" w:cs="仿宋"/>
          <w:b w:val="0"/>
          <w:bCs w:val="0"/>
          <w:sz w:val="32"/>
          <w:szCs w:val="32"/>
          <w:highlight w:val="none"/>
          <w:lang w:val="en-US" w:eastAsia="zh-CN"/>
        </w:rPr>
        <w:t>设计或修订《工作加班用餐审批表》标准模板，必须包含以下强制填写项：</w:t>
      </w:r>
      <w:r>
        <w:rPr>
          <w:rFonts w:hint="eastAsia" w:ascii="仿宋" w:hAnsi="仿宋" w:eastAsia="仿宋" w:cs="仿宋"/>
          <w:b/>
          <w:bCs/>
          <w:sz w:val="32"/>
          <w:szCs w:val="32"/>
          <w:highlight w:val="none"/>
          <w:lang w:val="en-US" w:eastAsia="zh-CN"/>
        </w:rPr>
        <w:t>加班事由（具体工作任务），加班人员名单，预算金额/标准（人均及总额）。</w:t>
      </w:r>
      <w:r>
        <w:rPr>
          <w:rFonts w:hint="eastAsia" w:ascii="仿宋" w:hAnsi="仿宋" w:eastAsia="仿宋" w:cs="仿宋"/>
          <w:b w:val="0"/>
          <w:bCs w:val="0"/>
          <w:sz w:val="32"/>
          <w:szCs w:val="32"/>
          <w:highlight w:val="none"/>
          <w:lang w:val="en-US" w:eastAsia="zh-CN"/>
        </w:rPr>
        <w:t>用餐时间、地点，申请部门、负责人签字，分管领导审批意见。</w:t>
      </w:r>
      <w:r>
        <w:rPr>
          <w:rFonts w:hint="eastAsia" w:ascii="仿宋" w:hAnsi="仿宋" w:eastAsia="仿宋" w:cs="仿宋"/>
          <w:b/>
          <w:bCs/>
          <w:sz w:val="32"/>
          <w:szCs w:val="32"/>
          <w:highlight w:val="none"/>
          <w:lang w:val="en-US" w:eastAsia="zh-CN"/>
        </w:rPr>
        <w:t>B明确前置审核。</w:t>
      </w:r>
      <w:r>
        <w:rPr>
          <w:rFonts w:hint="eastAsia" w:ascii="仿宋" w:hAnsi="仿宋" w:eastAsia="仿宋" w:cs="仿宋"/>
          <w:b w:val="0"/>
          <w:bCs w:val="0"/>
          <w:sz w:val="32"/>
          <w:szCs w:val="32"/>
          <w:highlight w:val="none"/>
          <w:lang w:val="en-US" w:eastAsia="zh-CN"/>
        </w:rPr>
        <w:t>在财务报销制度中规定，报销工作用餐费时，必须附上填写完整、审批齐全的《审批表》以及消费清单（发票、菜单），否则财务不予受理。</w:t>
      </w:r>
      <w:r>
        <w:rPr>
          <w:rFonts w:hint="eastAsia" w:ascii="仿宋" w:hAnsi="仿宋" w:eastAsia="仿宋" w:cs="仿宋"/>
          <w:b/>
          <w:bCs/>
          <w:sz w:val="32"/>
          <w:szCs w:val="32"/>
          <w:highlight w:val="none"/>
          <w:lang w:val="en-US" w:eastAsia="zh-CN"/>
        </w:rPr>
        <w:t>三是公开标准与流程。</w:t>
      </w:r>
      <w:r>
        <w:rPr>
          <w:rFonts w:hint="eastAsia" w:ascii="仿宋" w:hAnsi="仿宋" w:eastAsia="仿宋" w:cs="仿宋"/>
          <w:b w:val="0"/>
          <w:bCs w:val="0"/>
          <w:sz w:val="32"/>
          <w:szCs w:val="32"/>
          <w:highlight w:val="none"/>
          <w:lang w:val="en-US" w:eastAsia="zh-CN"/>
        </w:rPr>
        <w:t>组织学习本地关于机关事业单位加班误餐补助或工作用餐的具体开支标准、报销流程，确保人人知晓、规范执行。</w:t>
      </w:r>
    </w:p>
    <w:p w14:paraId="2908AC45">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2.2024年2月8号凭证支付卫生劳务费2,050.00元。支付个人刘春娥，后附整理清单，有时间及用途费用，签名，后附提供劳务人员的身份证明复印件，无合同及验收单。</w:t>
      </w:r>
    </w:p>
    <w:p w14:paraId="4B839E66">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试行）》中关于支出业务控制的要求。向个人购买劳务，应事先明确工作内容、标准、期限、报酬、支付方式等。无合同导致双方权利义务不清，无法判断每月2,050.00元定价的依据和公允性。无任何书面合同或协议,存在高风险。工作标准与验收确认缺失。无独立的《验收单》或《服务质量确认单》。仅有领款人签字的“清单”，性质更接近“领款证明”而非“验收证明”。存在高风险。缺少对劳务成果是否达标的确认环节。依据内控原则，付款前必须对服务或商品进行验收。仅凭签名领款，无法证明劳务已按既定质量和数量完成，存在虚假列支风险。</w:t>
      </w:r>
    </w:p>
    <w:p w14:paraId="62C5E3E4">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建议:一是及时补救，完善本次支付凭证。</w:t>
      </w:r>
      <w:r>
        <w:rPr>
          <w:rFonts w:hint="eastAsia" w:ascii="仿宋" w:hAnsi="仿宋" w:eastAsia="仿宋" w:cs="仿宋"/>
          <w:b w:val="0"/>
          <w:bCs w:val="0"/>
          <w:sz w:val="32"/>
          <w:szCs w:val="32"/>
          <w:highlight w:val="none"/>
          <w:lang w:val="en-US" w:eastAsia="zh-CN"/>
        </w:rPr>
        <w:t>核心目标为补全证明“为何是她”、“做了什么”、“做得怎样”以及“为何是这个价”的证据链。操作步骤：</w:t>
      </w:r>
      <w:r>
        <w:rPr>
          <w:rFonts w:hint="eastAsia" w:ascii="仿宋" w:hAnsi="仿宋" w:eastAsia="仿宋" w:cs="仿宋"/>
          <w:b/>
          <w:bCs/>
          <w:sz w:val="32"/>
          <w:szCs w:val="32"/>
          <w:highlight w:val="none"/>
          <w:lang w:val="en-US" w:eastAsia="zh-CN"/>
        </w:rPr>
        <w:t>补充劳务协议。</w:t>
      </w:r>
      <w:r>
        <w:rPr>
          <w:rFonts w:hint="eastAsia" w:ascii="仿宋" w:hAnsi="仿宋" w:eastAsia="仿宋" w:cs="仿宋"/>
          <w:b w:val="0"/>
          <w:bCs w:val="0"/>
          <w:sz w:val="32"/>
          <w:szCs w:val="32"/>
          <w:highlight w:val="none"/>
          <w:lang w:val="en-US" w:eastAsia="zh-CN"/>
        </w:rPr>
        <w:t>尽可能与刘春娥补签一份简单的《劳务服务协议》，明确服务期间、具体工作内容与标准、报酬计算方式（如XX元/小时或XX元/次）及支付条件。</w:t>
      </w:r>
      <w:r>
        <w:rPr>
          <w:rFonts w:hint="eastAsia" w:ascii="仿宋" w:hAnsi="仿宋" w:eastAsia="仿宋" w:cs="仿宋"/>
          <w:b/>
          <w:bCs/>
          <w:sz w:val="32"/>
          <w:szCs w:val="32"/>
          <w:highlight w:val="none"/>
          <w:lang w:val="en-US" w:eastAsia="zh-CN"/>
        </w:rPr>
        <w:t>补办验收手续。</w:t>
      </w:r>
      <w:r>
        <w:rPr>
          <w:rFonts w:hint="eastAsia" w:ascii="仿宋" w:hAnsi="仿宋" w:eastAsia="仿宋" w:cs="仿宋"/>
          <w:b w:val="0"/>
          <w:bCs w:val="0"/>
          <w:sz w:val="32"/>
          <w:szCs w:val="32"/>
          <w:highlight w:val="none"/>
          <w:lang w:val="en-US" w:eastAsia="zh-CN"/>
        </w:rPr>
        <w:t>由劳务使用部门（如办公室或后勤部门）出具一份《劳务验收确认单》，确认其提供的卫生整理服务已按约定完成并达标，由验收人签字。</w:t>
      </w:r>
      <w:r>
        <w:rPr>
          <w:rFonts w:hint="eastAsia" w:ascii="仿宋" w:hAnsi="仿宋" w:eastAsia="仿宋" w:cs="仿宋"/>
          <w:b/>
          <w:bCs/>
          <w:sz w:val="32"/>
          <w:szCs w:val="32"/>
          <w:highlight w:val="none"/>
          <w:lang w:val="en-US" w:eastAsia="zh-CN"/>
        </w:rPr>
        <w:t>补充情况说明。</w:t>
      </w:r>
      <w:r>
        <w:rPr>
          <w:rFonts w:hint="eastAsia" w:ascii="仿宋" w:hAnsi="仿宋" w:eastAsia="仿宋" w:cs="仿宋"/>
          <w:b w:val="0"/>
          <w:bCs w:val="0"/>
          <w:sz w:val="32"/>
          <w:szCs w:val="32"/>
          <w:highlight w:val="none"/>
          <w:lang w:val="en-US" w:eastAsia="zh-CN"/>
        </w:rPr>
        <w:t>由经办部门撰写《关于支付刘春娥卫生劳务费的情况说明》，阐述聘用原因、工作内容、工时、单价确定依据等，经部门负责人审核后作为附件。</w:t>
      </w:r>
      <w:r>
        <w:rPr>
          <w:rFonts w:hint="eastAsia" w:ascii="仿宋" w:hAnsi="仿宋" w:eastAsia="仿宋" w:cs="仿宋"/>
          <w:b/>
          <w:bCs/>
          <w:sz w:val="32"/>
          <w:szCs w:val="32"/>
          <w:highlight w:val="none"/>
          <w:lang w:val="en-US" w:eastAsia="zh-CN"/>
        </w:rPr>
        <w:t>归档备查。</w:t>
      </w:r>
      <w:r>
        <w:rPr>
          <w:rFonts w:hint="eastAsia" w:ascii="仿宋" w:hAnsi="仿宋" w:eastAsia="仿宋" w:cs="仿宋"/>
          <w:b w:val="0"/>
          <w:bCs w:val="0"/>
          <w:sz w:val="32"/>
          <w:szCs w:val="32"/>
          <w:highlight w:val="none"/>
          <w:lang w:val="en-US" w:eastAsia="zh-CN"/>
        </w:rPr>
        <w:t>将以上所有补充材料与原凭证一并归档。</w:t>
      </w:r>
      <w:r>
        <w:rPr>
          <w:rFonts w:hint="eastAsia" w:ascii="仿宋" w:hAnsi="仿宋" w:eastAsia="仿宋" w:cs="仿宋"/>
          <w:b/>
          <w:bCs/>
          <w:sz w:val="32"/>
          <w:szCs w:val="32"/>
          <w:highlight w:val="none"/>
          <w:lang w:val="en-US" w:eastAsia="zh-CN"/>
        </w:rPr>
        <w:t>二是建章立制，规范所有劳务费支出。制定管理办法。</w:t>
      </w:r>
      <w:r>
        <w:rPr>
          <w:rFonts w:hint="eastAsia" w:ascii="仿宋" w:hAnsi="仿宋" w:eastAsia="仿宋" w:cs="仿宋"/>
          <w:b w:val="0"/>
          <w:bCs w:val="0"/>
          <w:sz w:val="32"/>
          <w:szCs w:val="32"/>
          <w:highlight w:val="none"/>
          <w:lang w:val="en-US" w:eastAsia="zh-CN"/>
        </w:rPr>
        <w:t>出台或修订单位的《零星劳务报酬支付管理办法》，明确</w:t>
      </w:r>
      <w:r>
        <w:rPr>
          <w:rFonts w:hint="eastAsia" w:ascii="仿宋" w:hAnsi="仿宋" w:eastAsia="仿宋" w:cs="仿宋"/>
          <w:b/>
          <w:bCs/>
          <w:sz w:val="32"/>
          <w:szCs w:val="32"/>
          <w:highlight w:val="none"/>
          <w:lang w:val="en-US" w:eastAsia="zh-CN"/>
        </w:rPr>
        <w:t>适用情形与标准。</w:t>
      </w:r>
      <w:r>
        <w:rPr>
          <w:rFonts w:hint="eastAsia" w:ascii="仿宋" w:hAnsi="仿宋" w:eastAsia="仿宋" w:cs="仿宋"/>
          <w:b w:val="0"/>
          <w:bCs w:val="0"/>
          <w:sz w:val="32"/>
          <w:szCs w:val="32"/>
          <w:highlight w:val="none"/>
          <w:lang w:val="en-US" w:eastAsia="zh-CN"/>
        </w:rPr>
        <w:t>何种情况下可聘请个人劳务，以及不同工种的报酬参考标准。</w:t>
      </w:r>
      <w:r>
        <w:rPr>
          <w:rFonts w:hint="eastAsia" w:ascii="仿宋" w:hAnsi="仿宋" w:eastAsia="仿宋" w:cs="仿宋"/>
          <w:b/>
          <w:bCs/>
          <w:sz w:val="32"/>
          <w:szCs w:val="32"/>
          <w:highlight w:val="none"/>
          <w:lang w:val="en-US" w:eastAsia="zh-CN"/>
        </w:rPr>
        <w:t>审批流程。</w:t>
      </w:r>
      <w:r>
        <w:rPr>
          <w:rFonts w:hint="eastAsia" w:ascii="仿宋" w:hAnsi="仿宋" w:eastAsia="仿宋" w:cs="仿宋"/>
          <w:b w:val="0"/>
          <w:bCs w:val="0"/>
          <w:sz w:val="32"/>
          <w:szCs w:val="32"/>
          <w:highlight w:val="none"/>
          <w:lang w:val="en-US" w:eastAsia="zh-CN"/>
        </w:rPr>
        <w:t>必须事前填写《劳务用工审批单》，写明事由、预算、拟聘人员等。</w:t>
      </w:r>
      <w:r>
        <w:rPr>
          <w:rFonts w:hint="eastAsia" w:ascii="仿宋" w:hAnsi="仿宋" w:eastAsia="仿宋" w:cs="仿宋"/>
          <w:b/>
          <w:bCs/>
          <w:sz w:val="32"/>
          <w:szCs w:val="32"/>
          <w:highlight w:val="none"/>
          <w:lang w:val="en-US" w:eastAsia="zh-CN"/>
        </w:rPr>
        <w:t>必备附件。</w:t>
      </w:r>
      <w:r>
        <w:rPr>
          <w:rFonts w:hint="eastAsia" w:ascii="仿宋" w:hAnsi="仿宋" w:eastAsia="仿宋" w:cs="仿宋"/>
          <w:b w:val="0"/>
          <w:bCs w:val="0"/>
          <w:sz w:val="32"/>
          <w:szCs w:val="32"/>
          <w:highlight w:val="none"/>
          <w:lang w:val="en-US" w:eastAsia="zh-CN"/>
        </w:rPr>
        <w:t>支付时必须附上：①用工审批单；②劳务协议；③身份证明复印件；④验收确认单；⑤领款签字表。</w:t>
      </w:r>
      <w:r>
        <w:rPr>
          <w:rFonts w:hint="eastAsia" w:ascii="仿宋" w:hAnsi="仿宋" w:eastAsia="仿宋" w:cs="仿宋"/>
          <w:b/>
          <w:bCs/>
          <w:sz w:val="32"/>
          <w:szCs w:val="32"/>
          <w:highlight w:val="none"/>
          <w:lang w:val="en-US" w:eastAsia="zh-CN"/>
        </w:rPr>
        <w:t>推行合同模板化。</w:t>
      </w:r>
      <w:r>
        <w:rPr>
          <w:rFonts w:hint="eastAsia" w:ascii="仿宋" w:hAnsi="仿宋" w:eastAsia="仿宋" w:cs="仿宋"/>
          <w:b w:val="0"/>
          <w:bCs w:val="0"/>
          <w:sz w:val="32"/>
          <w:szCs w:val="32"/>
          <w:highlight w:val="none"/>
          <w:lang w:val="en-US" w:eastAsia="zh-CN"/>
        </w:rPr>
        <w:t>制作简易《零星劳务合同》模板，方便各部门规范使用。</w:t>
      </w:r>
      <w:r>
        <w:rPr>
          <w:rFonts w:hint="eastAsia" w:ascii="仿宋" w:hAnsi="仿宋" w:eastAsia="仿宋" w:cs="仿宋"/>
          <w:b/>
          <w:bCs/>
          <w:sz w:val="32"/>
          <w:szCs w:val="32"/>
          <w:highlight w:val="none"/>
          <w:lang w:val="en-US" w:eastAsia="zh-CN"/>
        </w:rPr>
        <w:t>剖析根源：</w:t>
      </w:r>
      <w:r>
        <w:rPr>
          <w:rFonts w:hint="eastAsia" w:ascii="仿宋" w:hAnsi="仿宋" w:eastAsia="仿宋" w:cs="仿宋"/>
          <w:b w:val="0"/>
          <w:bCs w:val="0"/>
          <w:sz w:val="32"/>
          <w:szCs w:val="32"/>
          <w:highlight w:val="none"/>
          <w:lang w:val="en-US" w:eastAsia="zh-CN"/>
        </w:rPr>
        <w:t>承认反映出单位在对外支付特别是向个人支付的管理上存在制度空白、审核不严的问题。</w:t>
      </w:r>
      <w:r>
        <w:rPr>
          <w:rFonts w:hint="eastAsia" w:ascii="仿宋" w:hAnsi="仿宋" w:eastAsia="仿宋" w:cs="仿宋"/>
          <w:b/>
          <w:bCs/>
          <w:sz w:val="32"/>
          <w:szCs w:val="32"/>
          <w:highlight w:val="none"/>
          <w:lang w:val="en-US" w:eastAsia="zh-CN"/>
        </w:rPr>
        <w:t>报告全面整改：</w:t>
      </w:r>
      <w:r>
        <w:rPr>
          <w:rFonts w:hint="eastAsia" w:ascii="仿宋" w:hAnsi="仿宋" w:eastAsia="仿宋" w:cs="仿宋"/>
          <w:b w:val="0"/>
          <w:bCs w:val="0"/>
          <w:sz w:val="32"/>
          <w:szCs w:val="32"/>
          <w:highlight w:val="none"/>
          <w:lang w:val="en-US" w:eastAsia="zh-CN"/>
        </w:rPr>
        <w:t>说明已对所有类似劳务费支出进行自查清理，并建立了长效管理制度，将《零星劳务报酬支付管理办法》作为整改成果附件上报。</w:t>
      </w:r>
      <w:r>
        <w:rPr>
          <w:rFonts w:hint="eastAsia" w:ascii="仿宋" w:hAnsi="仿宋" w:eastAsia="仿宋" w:cs="仿宋"/>
          <w:b/>
          <w:bCs/>
          <w:sz w:val="32"/>
          <w:szCs w:val="32"/>
          <w:highlight w:val="none"/>
          <w:lang w:val="en-US" w:eastAsia="zh-CN"/>
        </w:rPr>
        <w:t>体现整改深度：</w:t>
      </w:r>
      <w:r>
        <w:rPr>
          <w:rFonts w:hint="eastAsia" w:ascii="仿宋" w:hAnsi="仿宋" w:eastAsia="仿宋" w:cs="仿宋"/>
          <w:b w:val="0"/>
          <w:bCs w:val="0"/>
          <w:sz w:val="32"/>
          <w:szCs w:val="32"/>
          <w:highlight w:val="none"/>
          <w:lang w:val="en-US" w:eastAsia="zh-CN"/>
        </w:rPr>
        <w:t>整改不止于“补材料”，更在于“堵漏洞、立规矩”。</w:t>
      </w:r>
    </w:p>
    <w:p w14:paraId="7C8FD01C">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3.2024年4月10号凭证支付文明创建垃圾清运费7，000.00元。后附国库支付单，往来收据及领导审批。无会议纪要或其他依据。</w:t>
      </w:r>
    </w:p>
    <w:p w14:paraId="4C346E82">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三重一大”决策制度精神及单位内控要求。单项支出达到一定额度或涉及专项工作，应有集体决策记录。仅有领导审批属于“一支笔”审批，程序不完整。采购程序方面无采购程序记录。无法证明7000元的服务费是如何确定的，是直接指定、询价比选还是其他方式？服务提供方是如何选定的？决策程序依据存在无会议纪要、无工作方案等文件证明此项“文明创建垃圾清运”任务经过了集体决策或工作部署。存在高风险。</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中华人民共和国政府采购法》及地方实施办法，达到限额的服务采购。应履行询价、竞争性谈判等简易采购程序，并留存记录。无此记录，则采购合法性存疑。无法证明7,000.00元费用符合市场公允价格。存在中高风险。</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支出“经济性”原则。审计和巡察中，对无依据的单笔支付，尤其是付给个体工商户或企业的服务费，会重点核查其价格合理性。合同或协议方面缺失。仅有往来收据，无服务合同或协议。双方权利义务、服务标准、期限等关键内容均无书面约定。存在中风险。</w:t>
      </w:r>
    </w:p>
    <w:p w14:paraId="0658822F">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建议：一是及时启动，回溯补证（针对已发生业务）。</w:t>
      </w:r>
      <w:r>
        <w:rPr>
          <w:rFonts w:hint="eastAsia" w:ascii="仿宋" w:hAnsi="仿宋" w:eastAsia="仿宋" w:cs="仿宋"/>
          <w:b w:val="0"/>
          <w:bCs w:val="0"/>
          <w:sz w:val="32"/>
          <w:szCs w:val="32"/>
          <w:highlight w:val="none"/>
          <w:lang w:val="en-US" w:eastAsia="zh-CN"/>
        </w:rPr>
        <w:t>重建这笔支出的“决策-采购-支付”完整证据链。</w:t>
      </w:r>
      <w:r>
        <w:rPr>
          <w:rFonts w:hint="eastAsia" w:ascii="仿宋" w:hAnsi="仿宋" w:eastAsia="仿宋" w:cs="仿宋"/>
          <w:b/>
          <w:bCs/>
          <w:sz w:val="32"/>
          <w:szCs w:val="32"/>
          <w:highlight w:val="none"/>
          <w:lang w:val="en-US" w:eastAsia="zh-CN"/>
        </w:rPr>
        <w:t>补充决策依据。</w:t>
      </w:r>
      <w:r>
        <w:rPr>
          <w:rFonts w:hint="eastAsia" w:ascii="仿宋" w:hAnsi="仿宋" w:eastAsia="仿宋" w:cs="仿宋"/>
          <w:b w:val="0"/>
          <w:bCs w:val="0"/>
          <w:sz w:val="32"/>
          <w:szCs w:val="32"/>
          <w:highlight w:val="none"/>
          <w:lang w:val="en-US" w:eastAsia="zh-CN"/>
        </w:rPr>
        <w:t>由负责文明创建的部门补充提供该项工作部署的正式文件（如文明办通知、单位内部任务分解方案），或补开专题会议，形成会议纪要，明确此项清运任务。</w:t>
      </w:r>
      <w:r>
        <w:rPr>
          <w:rFonts w:hint="eastAsia" w:ascii="仿宋" w:hAnsi="仿宋" w:eastAsia="仿宋" w:cs="仿宋"/>
          <w:b/>
          <w:bCs/>
          <w:sz w:val="32"/>
          <w:szCs w:val="32"/>
          <w:highlight w:val="none"/>
          <w:lang w:val="en-US" w:eastAsia="zh-CN"/>
        </w:rPr>
        <w:t>补充采购程序。</w:t>
      </w:r>
      <w:r>
        <w:rPr>
          <w:rFonts w:hint="eastAsia" w:ascii="仿宋" w:hAnsi="仿宋" w:eastAsia="仿宋" w:cs="仿宋"/>
          <w:b w:val="0"/>
          <w:bCs w:val="0"/>
          <w:sz w:val="32"/>
          <w:szCs w:val="32"/>
          <w:highlight w:val="none"/>
          <w:lang w:val="en-US" w:eastAsia="zh-CN"/>
        </w:rPr>
        <w:t>这是难点也是重点。需联系经办部门，尽可能回溯并书面说明当时选择服务方的过程、依据和价格确定方式。如果完全无法补到当时的询价记录，需由单位出具情况说明，承认程序缺失，并承诺今后严格规范。</w:t>
      </w:r>
      <w:r>
        <w:rPr>
          <w:rFonts w:hint="eastAsia" w:ascii="仿宋" w:hAnsi="仿宋" w:eastAsia="仿宋" w:cs="仿宋"/>
          <w:b/>
          <w:bCs/>
          <w:sz w:val="32"/>
          <w:szCs w:val="32"/>
          <w:highlight w:val="none"/>
          <w:lang w:val="en-US" w:eastAsia="zh-CN"/>
        </w:rPr>
        <w:t>补签服务协议。</w:t>
      </w:r>
      <w:r>
        <w:rPr>
          <w:rFonts w:hint="eastAsia" w:ascii="仿宋" w:hAnsi="仿宋" w:eastAsia="仿宋" w:cs="仿宋"/>
          <w:b w:val="0"/>
          <w:bCs w:val="0"/>
          <w:sz w:val="32"/>
          <w:szCs w:val="32"/>
          <w:highlight w:val="none"/>
          <w:lang w:val="en-US" w:eastAsia="zh-CN"/>
        </w:rPr>
        <w:t>尽可能与服务方补签一份简易服务合同或协议，将服务内容、期限、金额、标准等固定下来。</w:t>
      </w:r>
      <w:r>
        <w:rPr>
          <w:rFonts w:hint="eastAsia" w:ascii="仿宋" w:hAnsi="仿宋" w:eastAsia="仿宋" w:cs="仿宋"/>
          <w:b/>
          <w:bCs/>
          <w:sz w:val="32"/>
          <w:szCs w:val="32"/>
          <w:highlight w:val="none"/>
          <w:lang w:val="en-US" w:eastAsia="zh-CN"/>
        </w:rPr>
        <w:t>归档说明。</w:t>
      </w:r>
      <w:r>
        <w:rPr>
          <w:rFonts w:hint="eastAsia" w:ascii="仿宋" w:hAnsi="仿宋" w:eastAsia="仿宋" w:cs="仿宋"/>
          <w:b w:val="0"/>
          <w:bCs w:val="0"/>
          <w:sz w:val="32"/>
          <w:szCs w:val="32"/>
          <w:highlight w:val="none"/>
          <w:lang w:val="en-US" w:eastAsia="zh-CN"/>
        </w:rPr>
        <w:t>将所有补充材料与原凭证一并归档，并形成一份总的《关于支付文明创建垃圾清运费的情况说明》，交代原委、承认瑕疵、说明整改情况。</w:t>
      </w:r>
      <w:r>
        <w:rPr>
          <w:rFonts w:hint="eastAsia" w:ascii="仿宋" w:hAnsi="仿宋" w:eastAsia="仿宋" w:cs="仿宋"/>
          <w:b/>
          <w:bCs/>
          <w:sz w:val="32"/>
          <w:szCs w:val="32"/>
          <w:highlight w:val="none"/>
          <w:lang w:val="en-US" w:eastAsia="zh-CN"/>
        </w:rPr>
        <w:t>二是举一反三，建章立制（针对未来工作）。明确采购限额与程序。</w:t>
      </w:r>
      <w:r>
        <w:rPr>
          <w:rFonts w:hint="eastAsia" w:ascii="仿宋" w:hAnsi="仿宋" w:eastAsia="仿宋" w:cs="仿宋"/>
          <w:b w:val="0"/>
          <w:bCs w:val="0"/>
          <w:sz w:val="32"/>
          <w:szCs w:val="32"/>
          <w:highlight w:val="none"/>
          <w:lang w:val="en-US" w:eastAsia="zh-CN"/>
        </w:rPr>
        <w:t>梳理本地财政部门最新发布的《政府集中采购目录及限额标准》，在单位内部明确：达到多少金额的服务或货物采购，必须履行询价（至少3家）或竞争性谈判程序，并固化询价/比选记录表格作为报销必备附件。</w:t>
      </w:r>
      <w:r>
        <w:rPr>
          <w:rFonts w:hint="eastAsia" w:ascii="仿宋" w:hAnsi="仿宋" w:eastAsia="仿宋" w:cs="仿宋"/>
          <w:b/>
          <w:bCs/>
          <w:sz w:val="32"/>
          <w:szCs w:val="32"/>
          <w:highlight w:val="none"/>
          <w:lang w:val="en-US" w:eastAsia="zh-CN"/>
        </w:rPr>
        <w:t>规范专项工作支出流程。</w:t>
      </w:r>
      <w:r>
        <w:rPr>
          <w:rFonts w:hint="eastAsia" w:ascii="仿宋" w:hAnsi="仿宋" w:eastAsia="仿宋" w:cs="仿宋"/>
          <w:b w:val="0"/>
          <w:bCs w:val="0"/>
          <w:sz w:val="32"/>
          <w:szCs w:val="32"/>
          <w:highlight w:val="none"/>
          <w:lang w:val="en-US" w:eastAsia="zh-CN"/>
        </w:rPr>
        <w:t>制定制度，要求所有因专项任务（如文明创建、创卫等）发生的支出，必须附上上级通知或本单位工作方案作为预算和支付依据。</w:t>
      </w:r>
      <w:r>
        <w:rPr>
          <w:rFonts w:hint="eastAsia" w:ascii="仿宋" w:hAnsi="仿宋" w:eastAsia="仿宋" w:cs="仿宋"/>
          <w:b/>
          <w:bCs/>
          <w:sz w:val="32"/>
          <w:szCs w:val="32"/>
          <w:highlight w:val="none"/>
          <w:lang w:val="en-US" w:eastAsia="zh-CN"/>
        </w:rPr>
        <w:t>推行合同制管理。</w:t>
      </w:r>
      <w:r>
        <w:rPr>
          <w:rFonts w:hint="eastAsia" w:ascii="仿宋" w:hAnsi="仿宋" w:eastAsia="仿宋" w:cs="仿宋"/>
          <w:b w:val="0"/>
          <w:bCs w:val="0"/>
          <w:sz w:val="32"/>
          <w:szCs w:val="32"/>
          <w:highlight w:val="none"/>
          <w:lang w:val="en-US" w:eastAsia="zh-CN"/>
        </w:rPr>
        <w:t>明确除极小额的临时性劳务外，对外支付服务费用原则上均应签订书面合同。</w:t>
      </w:r>
    </w:p>
    <w:p w14:paraId="3904D522">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5.2024年4月15号凭证支付保密法治代言人宣传片拍摄15,220.00元，后附国库支付单、发票、电子合同、验收单与通知，未附有详细价格清单。</w:t>
      </w:r>
    </w:p>
    <w:p w14:paraId="53F8A8FA">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w:t>
      </w:r>
      <w:r>
        <w:rPr>
          <w:rFonts w:hint="eastAsia" w:ascii="仿宋" w:hAnsi="仿宋" w:eastAsia="仿宋" w:cs="仿宋"/>
          <w:b w:val="0"/>
          <w:bCs w:val="0"/>
          <w:sz w:val="32"/>
          <w:szCs w:val="32"/>
          <w:highlight w:val="none"/>
          <w:lang w:val="en-US" w:eastAsia="zh-CN"/>
        </w:rPr>
        <w:t>上述违反了</w:t>
      </w:r>
      <w:r>
        <w:rPr>
          <w:rFonts w:hint="eastAsia" w:ascii="仿宋" w:hAnsi="仿宋" w:eastAsia="仿宋" w:cs="仿宋"/>
          <w:b/>
          <w:bCs/>
          <w:sz w:val="32"/>
          <w:szCs w:val="32"/>
          <w:highlight w:val="none"/>
          <w:lang w:val="en-US" w:eastAsia="zh-CN"/>
        </w:rPr>
        <w:t>“价格透明与物有所值”的法定原则。</w:t>
      </w:r>
      <w:r>
        <w:rPr>
          <w:rFonts w:hint="eastAsia" w:ascii="仿宋" w:hAnsi="仿宋" w:eastAsia="仿宋" w:cs="仿宋"/>
          <w:b w:val="0"/>
          <w:bCs w:val="0"/>
          <w:sz w:val="32"/>
          <w:szCs w:val="32"/>
          <w:highlight w:val="none"/>
          <w:lang w:val="en-US" w:eastAsia="zh-CN"/>
        </w:rPr>
        <w:t>“未附详细价格清单”使15,220.00元的支出价格构成不透明，无法核验合理性。</w:t>
      </w:r>
    </w:p>
    <w:p w14:paraId="6A203FC5">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建议：要求供应商提供《项目报价明细分项表》，至少应包含前期策划、拍摄天数、人员配置、后期制作、特效、配音、音乐版权等核心项目的细分数量和单价。A统一补充要件。</w:t>
      </w:r>
      <w:r>
        <w:rPr>
          <w:rFonts w:hint="eastAsia" w:ascii="仿宋" w:hAnsi="仿宋" w:eastAsia="仿宋" w:cs="仿宋"/>
          <w:b w:val="0"/>
          <w:bCs w:val="0"/>
          <w:sz w:val="32"/>
          <w:szCs w:val="32"/>
          <w:highlight w:val="none"/>
          <w:lang w:val="en-US" w:eastAsia="zh-CN"/>
        </w:rPr>
        <w:t>无论如何，都需向供应商索取并归档详细的价格分项清单。B</w:t>
      </w:r>
      <w:r>
        <w:rPr>
          <w:rFonts w:hint="eastAsia" w:ascii="仿宋" w:hAnsi="仿宋" w:eastAsia="仿宋" w:cs="仿宋"/>
          <w:b/>
          <w:bCs/>
          <w:sz w:val="32"/>
          <w:szCs w:val="32"/>
          <w:highlight w:val="none"/>
          <w:lang w:val="en-US" w:eastAsia="zh-CN"/>
        </w:rPr>
        <w:t>完善报销凭证。</w:t>
      </w:r>
      <w:r>
        <w:rPr>
          <w:rFonts w:hint="eastAsia" w:ascii="仿宋" w:hAnsi="仿宋" w:eastAsia="仿宋" w:cs="仿宋"/>
          <w:b w:val="0"/>
          <w:bCs w:val="0"/>
          <w:sz w:val="32"/>
          <w:szCs w:val="32"/>
          <w:highlight w:val="none"/>
          <w:lang w:val="en-US" w:eastAsia="zh-CN"/>
        </w:rPr>
        <w:t>将所有补充材料形成一份情况说明，经领导审批后，与原凭证一并存档，作为向巡察组说明情况的依据。C签订自拟合同，明确视频的知识产权归属。</w:t>
      </w:r>
    </w:p>
    <w:p w14:paraId="148A9479">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6.2024年7月10号凭证还以前年度2006年岳屏镇政府借款50,000.00元。</w:t>
      </w:r>
    </w:p>
    <w:p w14:paraId="0D286F29">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b w:val="0"/>
          <w:bCs w:val="0"/>
          <w:sz w:val="32"/>
          <w:szCs w:val="32"/>
          <w:highlight w:val="none"/>
          <w:lang w:val="en-US" w:eastAsia="zh-CN"/>
        </w:rPr>
        <w:t>上述违反了《行政事业单位内部控制规范》，反映出单位对历史遗留问题长期不负责、不清理，内控严重缺失。决策程序与支付依据，“程序空转”或“依据不足”。还款决定可能未经必要的“三重一大”集体决策，支付附件仅有欠条，缺乏债务核实、会议决定等过程文件。</w:t>
      </w:r>
      <w:r>
        <w:rPr>
          <w:rFonts w:hint="eastAsia" w:ascii="仿宋" w:hAnsi="仿宋" w:eastAsia="仿宋" w:cs="仿宋"/>
          <w:b/>
          <w:bCs/>
          <w:sz w:val="32"/>
          <w:szCs w:val="32"/>
          <w:highlight w:val="none"/>
          <w:lang w:val="en-US" w:eastAsia="zh-CN"/>
        </w:rPr>
        <w:t>相关政策2：</w:t>
      </w:r>
      <w:r>
        <w:rPr>
          <w:rFonts w:hint="eastAsia" w:ascii="仿宋" w:hAnsi="仿宋" w:eastAsia="仿宋" w:cs="仿宋"/>
          <w:b w:val="0"/>
          <w:bCs w:val="0"/>
          <w:sz w:val="32"/>
          <w:szCs w:val="32"/>
          <w:highlight w:val="none"/>
          <w:lang w:val="en-US" w:eastAsia="zh-CN"/>
        </w:rPr>
        <w:t>上述违反了违反民主决策程序。支付依据不充分，存在未经集体研究处置国有资产的风险。</w:t>
      </w:r>
      <w:r>
        <w:rPr>
          <w:rFonts w:hint="eastAsia" w:ascii="仿宋" w:hAnsi="仿宋" w:eastAsia="仿宋" w:cs="仿宋"/>
          <w:b/>
          <w:bCs/>
          <w:sz w:val="32"/>
          <w:szCs w:val="32"/>
          <w:highlight w:val="none"/>
          <w:lang w:val="en-US" w:eastAsia="zh-CN"/>
        </w:rPr>
        <w:t>相关政策3：</w:t>
      </w:r>
      <w:r>
        <w:rPr>
          <w:rFonts w:hint="eastAsia" w:ascii="仿宋" w:hAnsi="仿宋" w:eastAsia="仿宋" w:cs="仿宋"/>
          <w:b w:val="0"/>
          <w:bCs w:val="0"/>
          <w:sz w:val="32"/>
          <w:szCs w:val="32"/>
          <w:highlight w:val="none"/>
          <w:lang w:val="en-US" w:eastAsia="zh-CN"/>
        </w:rPr>
        <w:t>上述违反了违反《中华人民共和国预算法》中关于“所有支出应纳入预算”的规定，以及财政资金绩效管理要求。在预算管理与资金效益方面，存在“无预算支出”与“资金沉淀”。很可能未纳入2024年度预算，属于无预算或超预算支出。同时，资金长期挂账也造成国有资产使用效益低下。</w:t>
      </w:r>
    </w:p>
    <w:p w14:paraId="447E5347">
      <w:pPr>
        <w:keepNext w:val="0"/>
        <w:keepLines w:val="0"/>
        <w:pageBreakBefore w:val="0"/>
        <w:widowControl/>
        <w:kinsoku/>
        <w:wordWrap/>
        <w:overflowPunct/>
        <w:topLinePunct w:val="0"/>
        <w:autoSpaceDE/>
        <w:autoSpaceDN/>
        <w:bidi w:val="0"/>
        <w:adjustRightInd/>
        <w:spacing w:line="560" w:lineRule="exact"/>
        <w:ind w:firstLine="643" w:firstLineChars="200"/>
        <w:jc w:val="both"/>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建议：一是及时启动，补全决策与支付证据链。A召开专题会议。</w:t>
      </w:r>
      <w:r>
        <w:rPr>
          <w:rFonts w:hint="eastAsia" w:ascii="仿宋" w:hAnsi="仿宋" w:eastAsia="仿宋" w:cs="仿宋"/>
          <w:b w:val="0"/>
          <w:bCs w:val="0"/>
          <w:sz w:val="32"/>
          <w:szCs w:val="32"/>
          <w:highlight w:val="none"/>
          <w:lang w:val="en-US" w:eastAsia="zh-CN"/>
        </w:rPr>
        <w:t>立即召开党组（党委）会议或办公会议，专题研究这笔历史借款的归还问题，并在会议记录中详细载明：债务核实情况、还款的依据、资金来源（如动用以前年度结转结余，需说明合法性）、以及对今后清理往来款的部署。</w:t>
      </w:r>
      <w:r>
        <w:rPr>
          <w:rFonts w:hint="eastAsia" w:ascii="仿宋" w:hAnsi="仿宋" w:eastAsia="仿宋" w:cs="仿宋"/>
          <w:b/>
          <w:bCs/>
          <w:sz w:val="32"/>
          <w:szCs w:val="32"/>
          <w:highlight w:val="none"/>
          <w:lang w:val="en-US" w:eastAsia="zh-CN"/>
        </w:rPr>
        <w:t>B形成书面报告。</w:t>
      </w:r>
      <w:r>
        <w:rPr>
          <w:rFonts w:hint="eastAsia" w:ascii="仿宋" w:hAnsi="仿宋" w:eastAsia="仿宋" w:cs="仿宋"/>
          <w:b w:val="0"/>
          <w:bCs w:val="0"/>
          <w:sz w:val="32"/>
          <w:szCs w:val="32"/>
          <w:highlight w:val="none"/>
          <w:lang w:val="en-US" w:eastAsia="zh-CN"/>
        </w:rPr>
        <w:t>撰写《关于清理归还岳屏镇政府历史借款的情况说明》，将借款历史背景、长期未还原因、本次核实情况、会议决策过程、还款资金来源等阐述清楚，作为支付凭证的核心附件。</w:t>
      </w:r>
      <w:r>
        <w:rPr>
          <w:rFonts w:hint="eastAsia" w:ascii="仿宋" w:hAnsi="仿宋" w:eastAsia="仿宋" w:cs="仿宋"/>
          <w:b/>
          <w:bCs/>
          <w:sz w:val="32"/>
          <w:szCs w:val="32"/>
          <w:highlight w:val="none"/>
          <w:lang w:val="en-US" w:eastAsia="zh-CN"/>
        </w:rPr>
        <w:t>深挖根源，撰写高质量的整改报告。C对照检查。</w:t>
      </w:r>
      <w:r>
        <w:rPr>
          <w:rFonts w:hint="eastAsia" w:ascii="仿宋" w:hAnsi="仿宋" w:eastAsia="仿宋" w:cs="仿宋"/>
          <w:b w:val="0"/>
          <w:bCs w:val="0"/>
          <w:sz w:val="32"/>
          <w:szCs w:val="32"/>
          <w:highlight w:val="none"/>
          <w:lang w:val="en-US" w:eastAsia="zh-CN"/>
        </w:rPr>
        <w:t>对照巡察反馈意见，深入剖析问题根源。不能只说“财务人员业务不熟”，而要上升到“党组（党委）履行主体责任不到位，对历史遗留问题缺乏担当，财务内控机制长期不健全”的层面。</w:t>
      </w:r>
      <w:r>
        <w:rPr>
          <w:rFonts w:hint="eastAsia" w:ascii="仿宋" w:hAnsi="仿宋" w:eastAsia="仿宋" w:cs="仿宋"/>
          <w:b/>
          <w:bCs/>
          <w:sz w:val="32"/>
          <w:szCs w:val="32"/>
          <w:highlight w:val="none"/>
          <w:lang w:val="en-US" w:eastAsia="zh-CN"/>
        </w:rPr>
        <w:t>D制定措施。</w:t>
      </w:r>
      <w:r>
        <w:rPr>
          <w:rFonts w:hint="eastAsia" w:ascii="仿宋" w:hAnsi="仿宋" w:eastAsia="仿宋" w:cs="仿宋"/>
          <w:b w:val="0"/>
          <w:bCs w:val="0"/>
          <w:sz w:val="32"/>
          <w:szCs w:val="32"/>
          <w:highlight w:val="none"/>
          <w:lang w:val="en-US" w:eastAsia="zh-CN"/>
        </w:rPr>
        <w:t>在整改报告中，详细列出针对此问题的具体整改措施、责任人、完成时限。措施要具体，例如：修订《往来款项管理制度》、开展专项清理行动等。</w:t>
      </w:r>
      <w:r>
        <w:rPr>
          <w:rFonts w:hint="eastAsia" w:ascii="仿宋" w:hAnsi="仿宋" w:eastAsia="仿宋" w:cs="仿宋"/>
          <w:b/>
          <w:bCs/>
          <w:sz w:val="32"/>
          <w:szCs w:val="32"/>
          <w:highlight w:val="none"/>
          <w:lang w:val="en-US" w:eastAsia="zh-CN"/>
        </w:rPr>
        <w:t>二是举一反三，开展全面清理与制度建设（关键一步）A全面排查。</w:t>
      </w:r>
      <w:r>
        <w:rPr>
          <w:rFonts w:hint="eastAsia" w:ascii="仿宋" w:hAnsi="仿宋" w:eastAsia="仿宋" w:cs="仿宋"/>
          <w:b w:val="0"/>
          <w:bCs w:val="0"/>
          <w:sz w:val="32"/>
          <w:szCs w:val="32"/>
          <w:highlight w:val="none"/>
          <w:lang w:val="en-US" w:eastAsia="zh-CN"/>
        </w:rPr>
        <w:t>及时对单位所有往来款项（特别是三年以上的长期挂账）进行一次“清仓见底”式的全面排查。建立台账，逐笔分析成因。</w:t>
      </w:r>
      <w:r>
        <w:rPr>
          <w:rFonts w:hint="eastAsia" w:ascii="仿宋" w:hAnsi="仿宋" w:eastAsia="仿宋" w:cs="仿宋"/>
          <w:b/>
          <w:bCs/>
          <w:sz w:val="32"/>
          <w:szCs w:val="32"/>
          <w:highlight w:val="none"/>
          <w:lang w:val="en-US" w:eastAsia="zh-CN"/>
        </w:rPr>
        <w:t>B分类处置。</w:t>
      </w:r>
      <w:r>
        <w:rPr>
          <w:rFonts w:hint="eastAsia" w:ascii="仿宋" w:hAnsi="仿宋" w:eastAsia="仿宋" w:cs="仿宋"/>
          <w:b w:val="0"/>
          <w:bCs w:val="0"/>
          <w:sz w:val="32"/>
          <w:szCs w:val="32"/>
          <w:highlight w:val="none"/>
          <w:lang w:val="en-US" w:eastAsia="zh-CN"/>
        </w:rPr>
        <w:t>根据排查结果，制定分类处置方案：对确需支付的，履行程序后支付；对无需支付或无法收回的，按规定程序报批后核销；对可收回的，制定催收计划。</w:t>
      </w:r>
      <w:r>
        <w:rPr>
          <w:rFonts w:hint="eastAsia" w:ascii="仿宋" w:hAnsi="仿宋" w:eastAsia="仿宋" w:cs="仿宋"/>
          <w:b/>
          <w:bCs/>
          <w:sz w:val="32"/>
          <w:szCs w:val="32"/>
          <w:highlight w:val="none"/>
          <w:lang w:val="en-US" w:eastAsia="zh-CN"/>
        </w:rPr>
        <w:t>C完善制度。</w:t>
      </w:r>
      <w:r>
        <w:rPr>
          <w:rFonts w:hint="eastAsia" w:ascii="仿宋" w:hAnsi="仿宋" w:eastAsia="仿宋" w:cs="仿宋"/>
          <w:b w:val="0"/>
          <w:bCs w:val="0"/>
          <w:sz w:val="32"/>
          <w:szCs w:val="32"/>
          <w:highlight w:val="none"/>
          <w:lang w:val="en-US" w:eastAsia="zh-CN"/>
        </w:rPr>
        <w:t>修订或制定《单位往来款项管理办法》，明确规定借款的时限、审批权限、定期清理机制、催收责任和核销程序，从根源上杜绝“前清后欠”。</w:t>
      </w:r>
      <w:r>
        <w:rPr>
          <w:rFonts w:hint="eastAsia" w:ascii="仿宋" w:hAnsi="仿宋" w:eastAsia="仿宋" w:cs="仿宋"/>
          <w:b/>
          <w:bCs/>
          <w:sz w:val="32"/>
          <w:szCs w:val="32"/>
          <w:highlight w:val="none"/>
          <w:lang w:val="en-US" w:eastAsia="zh-CN"/>
        </w:rPr>
        <w:t>短期：补手续（会议、说明）、补归档（完善凭证）。中期：写报告（深挖根源、明确措施）、报进展（向巡察组提交阶段性整改情况）。长期：搞清理（全面排查往来款）、立规矩（修订完善财务内控制度）。</w:t>
      </w:r>
      <w:r>
        <w:rPr>
          <w:rFonts w:hint="eastAsia" w:ascii="仿宋" w:hAnsi="仿宋" w:eastAsia="仿宋" w:cs="仿宋"/>
          <w:b w:val="0"/>
          <w:bCs w:val="0"/>
          <w:sz w:val="32"/>
          <w:szCs w:val="32"/>
          <w:highlight w:val="none"/>
          <w:lang w:val="en-US" w:eastAsia="zh-CN"/>
        </w:rPr>
        <w:t>请务必以最高的标准、最严的要求进行整改，将</w:t>
      </w:r>
      <w:r>
        <w:rPr>
          <w:rFonts w:hint="eastAsia" w:ascii="仿宋" w:hAnsi="仿宋" w:eastAsia="仿宋" w:cs="仿宋"/>
          <w:b/>
          <w:bCs/>
          <w:sz w:val="32"/>
          <w:szCs w:val="32"/>
          <w:highlight w:val="none"/>
          <w:lang w:val="en-US" w:eastAsia="zh-CN"/>
        </w:rPr>
        <w:t>“问题清单”</w:t>
      </w:r>
      <w:r>
        <w:rPr>
          <w:rFonts w:hint="eastAsia" w:ascii="仿宋" w:hAnsi="仿宋" w:eastAsia="仿宋" w:cs="仿宋"/>
          <w:b w:val="0"/>
          <w:bCs w:val="0"/>
          <w:sz w:val="32"/>
          <w:szCs w:val="32"/>
          <w:highlight w:val="none"/>
          <w:lang w:val="en-US" w:eastAsia="zh-CN"/>
        </w:rPr>
        <w:t>转变为</w:t>
      </w:r>
      <w:r>
        <w:rPr>
          <w:rFonts w:hint="eastAsia" w:ascii="仿宋" w:hAnsi="仿宋" w:eastAsia="仿宋" w:cs="仿宋"/>
          <w:b/>
          <w:bCs/>
          <w:sz w:val="32"/>
          <w:szCs w:val="32"/>
          <w:highlight w:val="none"/>
          <w:lang w:val="en-US" w:eastAsia="zh-CN"/>
        </w:rPr>
        <w:t>“制度清单”和“成效清单”。</w:t>
      </w:r>
    </w:p>
    <w:p w14:paraId="5A7AF9F7">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b/>
          <w:bCs/>
          <w:lang w:val="en-US" w:eastAsia="zh-CN"/>
        </w:rPr>
      </w:pPr>
      <w:r>
        <w:rPr>
          <w:rFonts w:hint="eastAsia" w:ascii="仿宋" w:hAnsi="仿宋" w:eastAsia="仿宋" w:cs="仿宋"/>
          <w:b/>
          <w:bCs/>
          <w:sz w:val="32"/>
          <w:szCs w:val="32"/>
          <w:highlight w:val="none"/>
          <w:lang w:val="en-US" w:eastAsia="zh-CN"/>
        </w:rPr>
        <w:t>7.2024年12月11号凭证支付15,600.00元。用于区委党委视频会议室年度维护和技术支持，无详细的维护业务记录清单，即对应的时间与维护内容。</w:t>
      </w:r>
    </w:p>
    <w:p w14:paraId="069F58DE">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b/>
          <w:bCs/>
          <w:sz w:val="32"/>
          <w:szCs w:val="32"/>
          <w:highlight w:val="none"/>
          <w:lang w:val="en-US" w:eastAsia="zh-CN"/>
        </w:rPr>
        <w:t>相关政策1：</w:t>
      </w:r>
      <w:r>
        <w:rPr>
          <w:rFonts w:hint="eastAsia" w:ascii="仿宋" w:hAnsi="仿宋" w:eastAsia="仿宋" w:cs="仿宋"/>
          <w:sz w:val="32"/>
          <w:szCs w:val="32"/>
          <w:highlight w:val="none"/>
          <w:lang w:val="en-US" w:eastAsia="zh-CN"/>
        </w:rPr>
        <w:t>上述违反了</w:t>
      </w:r>
      <w:r>
        <w:rPr>
          <w:rFonts w:hint="default" w:ascii="仿宋" w:hAnsi="仿宋" w:eastAsia="仿宋" w:cs="仿宋"/>
          <w:sz w:val="32"/>
          <w:szCs w:val="32"/>
          <w:highlight w:val="none"/>
          <w:lang w:val="en-US" w:eastAsia="zh-CN"/>
        </w:rPr>
        <w:t>《行政事业单位内部控制规范（试行）》</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单位应当加强对服务过程的监控，确保服务成果符合约定。缺少过程记录，意味着服务验收环节完全缺失，内控失效。费用结算依据</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仅凭合同和发票支付固定年费，但缺少将固定费用与服务成果相挂钩的量化证明。</w:t>
      </w:r>
      <w:r>
        <w:rPr>
          <w:rFonts w:hint="eastAsia" w:ascii="仿宋" w:hAnsi="仿宋" w:eastAsia="仿宋" w:cs="仿宋"/>
          <w:sz w:val="32"/>
          <w:szCs w:val="32"/>
          <w:highlight w:val="none"/>
          <w:lang w:val="en-US" w:eastAsia="zh-CN"/>
        </w:rPr>
        <w:t>存在</w:t>
      </w:r>
      <w:r>
        <w:rPr>
          <w:rFonts w:hint="default" w:ascii="仿宋" w:hAnsi="仿宋" w:eastAsia="仿宋" w:cs="仿宋"/>
          <w:sz w:val="32"/>
          <w:szCs w:val="32"/>
          <w:highlight w:val="none"/>
          <w:lang w:val="en-US" w:eastAsia="zh-CN"/>
        </w:rPr>
        <w:t>高风险。在审计中，此类“打包”服务费若没有工作量支撑，易被质疑为缺乏成本效益分析或存在资金浪费。支付了年度维护费，但无对应的分次服务记录清单（如服务时间、具体故障处理内容、巡检项目等）。</w:t>
      </w:r>
      <w:r>
        <w:rPr>
          <w:rFonts w:hint="eastAsia" w:ascii="仿宋" w:hAnsi="仿宋" w:eastAsia="仿宋" w:cs="仿宋"/>
          <w:sz w:val="32"/>
          <w:szCs w:val="32"/>
          <w:highlight w:val="none"/>
          <w:lang w:val="en-US" w:eastAsia="zh-CN"/>
        </w:rPr>
        <w:t>存在</w:t>
      </w:r>
      <w:r>
        <w:rPr>
          <w:rFonts w:hint="default" w:ascii="仿宋" w:hAnsi="仿宋" w:eastAsia="仿宋" w:cs="仿宋"/>
          <w:sz w:val="32"/>
          <w:szCs w:val="32"/>
          <w:highlight w:val="none"/>
          <w:lang w:val="en-US" w:eastAsia="zh-CN"/>
        </w:rPr>
        <w:t>高风险。无法核实全年服务是否足额、按质提供。</w:t>
      </w:r>
      <w:r>
        <w:rPr>
          <w:rFonts w:hint="eastAsia" w:ascii="仿宋" w:hAnsi="仿宋" w:eastAsia="仿宋" w:cs="仿宋"/>
          <w:b/>
          <w:bCs/>
          <w:sz w:val="32"/>
          <w:szCs w:val="32"/>
          <w:highlight w:val="none"/>
          <w:lang w:val="en-US" w:eastAsia="zh-CN"/>
        </w:rPr>
        <w:t>相关政策2：</w:t>
      </w:r>
      <w:r>
        <w:rPr>
          <w:rFonts w:hint="eastAsia" w:ascii="仿宋" w:hAnsi="仿宋" w:eastAsia="仿宋" w:cs="仿宋"/>
          <w:sz w:val="32"/>
          <w:szCs w:val="32"/>
          <w:highlight w:val="none"/>
          <w:lang w:val="en-US" w:eastAsia="zh-CN"/>
        </w:rPr>
        <w:t>上述违反了</w:t>
      </w:r>
      <w:r>
        <w:rPr>
          <w:rFonts w:hint="default" w:ascii="仿宋" w:hAnsi="仿宋" w:eastAsia="仿宋" w:cs="仿宋"/>
          <w:sz w:val="32"/>
          <w:szCs w:val="32"/>
          <w:highlight w:val="none"/>
          <w:lang w:val="en-US" w:eastAsia="zh-CN"/>
        </w:rPr>
        <w:t>依据《中华人民共和国预算法实施条例》中关于绩效管理的要求</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财政支出应讲求效益，此支付无法体现效益。无法对服务供应商的履约情况进行客观评价，也无法为下一年度是否续签、费用是否合理提供决策依据。</w:t>
      </w:r>
      <w:r>
        <w:rPr>
          <w:rFonts w:hint="eastAsia" w:ascii="仿宋" w:hAnsi="仿宋" w:eastAsia="仿宋" w:cs="仿宋"/>
          <w:sz w:val="32"/>
          <w:szCs w:val="32"/>
          <w:highlight w:val="none"/>
          <w:lang w:val="en-US" w:eastAsia="zh-CN"/>
        </w:rPr>
        <w:t>存在</w:t>
      </w:r>
      <w:r>
        <w:rPr>
          <w:rFonts w:hint="default" w:ascii="仿宋" w:hAnsi="仿宋" w:eastAsia="仿宋" w:cs="仿宋"/>
          <w:sz w:val="32"/>
          <w:szCs w:val="32"/>
          <w:highlight w:val="none"/>
          <w:lang w:val="en-US" w:eastAsia="zh-CN"/>
        </w:rPr>
        <w:t>中高风险。违反了预算绩效管理“花钱必问效”的原则，导致服务采购的绩效评价流于形式。“只有投入，没有过程证明和产出衡量”。通过补充服务记录和建立长效机制，不仅能解决本次合规问题，更是提升单位服务类采购管理水平和资金使用效益的关键。</w:t>
      </w:r>
    </w:p>
    <w:p w14:paraId="5F93FB33">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sz w:val="32"/>
          <w:szCs w:val="32"/>
          <w:highlight w:val="none"/>
          <w:lang w:val="en-US" w:eastAsia="zh-CN"/>
        </w:rPr>
      </w:pPr>
      <w:r>
        <w:rPr>
          <w:rFonts w:hint="default" w:ascii="仿宋" w:hAnsi="仿宋" w:eastAsia="仿宋" w:cs="仿宋"/>
          <w:b/>
          <w:bCs/>
          <w:sz w:val="32"/>
          <w:szCs w:val="32"/>
          <w:highlight w:val="none"/>
          <w:lang w:val="en-US" w:eastAsia="zh-CN"/>
        </w:rPr>
        <w:t>建议</w:t>
      </w:r>
      <w:r>
        <w:rPr>
          <w:rFonts w:hint="eastAsia" w:ascii="仿宋" w:hAnsi="仿宋" w:eastAsia="仿宋" w:cs="仿宋"/>
          <w:b/>
          <w:bCs/>
          <w:sz w:val="32"/>
          <w:szCs w:val="32"/>
          <w:highlight w:val="none"/>
          <w:lang w:val="en-US" w:eastAsia="zh-CN"/>
        </w:rPr>
        <w:t>：一是及时</w:t>
      </w:r>
      <w:r>
        <w:rPr>
          <w:rFonts w:hint="default" w:ascii="仿宋" w:hAnsi="仿宋" w:eastAsia="仿宋" w:cs="仿宋"/>
          <w:b/>
          <w:bCs/>
          <w:sz w:val="32"/>
          <w:szCs w:val="32"/>
          <w:highlight w:val="none"/>
          <w:lang w:val="en-US" w:eastAsia="zh-CN"/>
        </w:rPr>
        <w:t>补救，完善本次支付档案</w:t>
      </w:r>
      <w:r>
        <w:rPr>
          <w:rFonts w:hint="eastAsia"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核心目标：补全证明“服务已按约定提供”的证据链。具体操作：</w:t>
      </w:r>
      <w:r>
        <w:rPr>
          <w:rFonts w:hint="default" w:ascii="仿宋" w:hAnsi="仿宋" w:eastAsia="仿宋" w:cs="仿宋"/>
          <w:b/>
          <w:bCs/>
          <w:sz w:val="32"/>
          <w:szCs w:val="32"/>
          <w:highlight w:val="none"/>
          <w:lang w:val="en-US" w:eastAsia="zh-CN"/>
        </w:rPr>
        <w:t>补充服务记录</w:t>
      </w:r>
      <w:r>
        <w:rPr>
          <w:rFonts w:hint="eastAsia"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立即要求服务供应商补交《2024年度视频会议室维护服务工作日志/汇总表》，详细列明每次服务的日期、服务人员、服务内容（如：故障报修处理、系统巡检、软件升级等）、处理结果及使用方确认人。</w:t>
      </w:r>
      <w:r>
        <w:rPr>
          <w:rFonts w:hint="default" w:ascii="仿宋" w:hAnsi="仿宋" w:eastAsia="仿宋" w:cs="仿宋"/>
          <w:b/>
          <w:bCs/>
          <w:sz w:val="32"/>
          <w:szCs w:val="32"/>
          <w:highlight w:val="none"/>
          <w:lang w:val="en-US" w:eastAsia="zh-CN"/>
        </w:rPr>
        <w:t>获取确认凭证</w:t>
      </w:r>
      <w:r>
        <w:rPr>
          <w:rFonts w:hint="eastAsia"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由区委党委会议室的使用管理部门（如办公室或信息技术部门）对上述服务汇总记录进行审核确认，并出具书面的《服务验收确认单》，明确认可全年服务已履约完成。</w:t>
      </w:r>
      <w:r>
        <w:rPr>
          <w:rFonts w:hint="default" w:ascii="仿宋" w:hAnsi="仿宋" w:eastAsia="仿宋" w:cs="仿宋"/>
          <w:b/>
          <w:bCs/>
          <w:sz w:val="32"/>
          <w:szCs w:val="32"/>
          <w:highlight w:val="none"/>
          <w:lang w:val="en-US" w:eastAsia="zh-CN"/>
        </w:rPr>
        <w:t>归档说明</w:t>
      </w:r>
      <w:r>
        <w:rPr>
          <w:rFonts w:hint="eastAsia"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将补充的服务记录、验收确认单与原合同、发票一并归档，形成完整凭证。</w:t>
      </w:r>
      <w:r>
        <w:rPr>
          <w:rFonts w:hint="eastAsia" w:ascii="仿宋" w:hAnsi="仿宋" w:eastAsia="仿宋" w:cs="仿宋"/>
          <w:b/>
          <w:bCs/>
          <w:sz w:val="32"/>
          <w:szCs w:val="32"/>
          <w:highlight w:val="none"/>
          <w:lang w:val="en-US" w:eastAsia="zh-CN"/>
        </w:rPr>
        <w:t>二是</w:t>
      </w:r>
      <w:r>
        <w:rPr>
          <w:rFonts w:hint="default" w:ascii="仿宋" w:hAnsi="仿宋" w:eastAsia="仿宋" w:cs="仿宋"/>
          <w:b/>
          <w:bCs/>
          <w:sz w:val="32"/>
          <w:szCs w:val="32"/>
          <w:highlight w:val="none"/>
          <w:lang w:val="en-US" w:eastAsia="zh-CN"/>
        </w:rPr>
        <w:t>建立机制，规范未来服务采购</w:t>
      </w:r>
      <w:r>
        <w:rPr>
          <w:rFonts w:hint="eastAsia"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核心目标</w:t>
      </w:r>
      <w:r>
        <w:rPr>
          <w:rFonts w:hint="eastAsia" w:ascii="仿宋" w:hAnsi="仿宋" w:eastAsia="仿宋" w:cs="仿宋"/>
          <w:sz w:val="32"/>
          <w:szCs w:val="32"/>
          <w:highlight w:val="none"/>
          <w:lang w:val="en-US" w:eastAsia="zh-CN"/>
        </w:rPr>
        <w:t>，</w:t>
      </w:r>
      <w:r>
        <w:rPr>
          <w:rFonts w:hint="default" w:ascii="仿宋" w:hAnsi="仿宋" w:eastAsia="仿宋" w:cs="仿宋"/>
          <w:sz w:val="32"/>
          <w:szCs w:val="32"/>
          <w:highlight w:val="none"/>
          <w:lang w:val="en-US" w:eastAsia="zh-CN"/>
        </w:rPr>
        <w:t>将服务过程的记录与确认，作为付款的强制性前置条件。</w:t>
      </w:r>
      <w:r>
        <w:rPr>
          <w:rFonts w:hint="default" w:ascii="仿宋" w:hAnsi="仿宋" w:eastAsia="仿宋" w:cs="仿宋"/>
          <w:b/>
          <w:bCs/>
          <w:sz w:val="32"/>
          <w:szCs w:val="32"/>
          <w:highlight w:val="none"/>
          <w:lang w:val="en-US" w:eastAsia="zh-CN"/>
        </w:rPr>
        <w:t>修订合同模板</w:t>
      </w:r>
      <w:r>
        <w:rPr>
          <w:rFonts w:hint="eastAsia"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在未来的技术服务合同中，明确约定供应商必须按月或按季度提交经使用方签字确认的《服务报告单》，并将其作为支付季度款或年度尾款的必要附件。</w:t>
      </w:r>
      <w:r>
        <w:rPr>
          <w:rFonts w:hint="default" w:ascii="仿宋" w:hAnsi="仿宋" w:eastAsia="仿宋" w:cs="仿宋"/>
          <w:b/>
          <w:bCs/>
          <w:sz w:val="32"/>
          <w:szCs w:val="32"/>
          <w:highlight w:val="none"/>
          <w:lang w:val="en-US" w:eastAsia="zh-CN"/>
        </w:rPr>
        <w:t>设计记录单据</w:t>
      </w:r>
      <w:r>
        <w:rPr>
          <w:rFonts w:hint="eastAsia"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可设计标准化的《技术服务确认单》，包含服务时间、内容、用时、使用方评价及签字等栏目，每次服务后即时签字确认。</w:t>
      </w:r>
      <w:r>
        <w:rPr>
          <w:rFonts w:hint="default" w:ascii="仿宋" w:hAnsi="仿宋" w:eastAsia="仿宋" w:cs="仿宋"/>
          <w:b/>
          <w:bCs/>
          <w:sz w:val="32"/>
          <w:szCs w:val="32"/>
          <w:highlight w:val="none"/>
          <w:lang w:val="en-US" w:eastAsia="zh-CN"/>
        </w:rPr>
        <w:t>强化财务审核</w:t>
      </w:r>
      <w:r>
        <w:rPr>
          <w:rFonts w:hint="eastAsia" w:ascii="仿宋" w:hAnsi="仿宋" w:eastAsia="仿宋" w:cs="仿宋"/>
          <w:b/>
          <w:bCs/>
          <w:sz w:val="32"/>
          <w:szCs w:val="32"/>
          <w:highlight w:val="none"/>
          <w:lang w:val="en-US" w:eastAsia="zh-CN"/>
        </w:rPr>
        <w:t>。</w:t>
      </w:r>
      <w:r>
        <w:rPr>
          <w:rFonts w:hint="default" w:ascii="仿宋" w:hAnsi="仿宋" w:eastAsia="仿宋" w:cs="仿宋"/>
          <w:sz w:val="32"/>
          <w:szCs w:val="32"/>
          <w:highlight w:val="none"/>
          <w:lang w:val="en-US" w:eastAsia="zh-CN"/>
        </w:rPr>
        <w:t>在报销制度中规定，支付周期性的维护费、服务费时，财务必须审核是否附有周期内经确认的服务记录，否则不予支付。</w:t>
      </w:r>
    </w:p>
    <w:p w14:paraId="776C02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8.关于项目支出的工作经费148,000.00元，及乡村振兴资金100,000.00元,未提供项目支出的效益归纳与总结。</w:t>
      </w:r>
    </w:p>
    <w:p w14:paraId="6E3574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eastAsia" w:ascii="仿宋" w:hAnsi="仿宋" w:eastAsia="仿宋" w:cs="仿宋"/>
          <w:b/>
          <w:bCs/>
          <w:sz w:val="32"/>
          <w:szCs w:val="32"/>
          <w:highlight w:val="none"/>
          <w:lang w:val="en-US" w:eastAsia="zh-CN"/>
        </w:rPr>
        <w:t>相关政策：</w:t>
      </w:r>
      <w:r>
        <w:rPr>
          <w:rFonts w:hint="eastAsia" w:ascii="仿宋" w:hAnsi="仿宋" w:eastAsia="仿宋" w:cs="仿宋"/>
          <w:b w:val="0"/>
          <w:bCs w:val="0"/>
          <w:sz w:val="32"/>
          <w:szCs w:val="32"/>
          <w:highlight w:val="none"/>
          <w:lang w:val="en-US" w:eastAsia="zh-CN"/>
        </w:rPr>
        <w:t>上述违反了</w:t>
      </w:r>
      <w:r>
        <w:rPr>
          <w:rFonts w:hint="default" w:ascii="仿宋" w:hAnsi="仿宋" w:eastAsia="仿宋" w:cs="仿宋"/>
          <w:b w:val="0"/>
          <w:bCs w:val="0"/>
          <w:sz w:val="32"/>
          <w:szCs w:val="32"/>
          <w:highlight w:val="none"/>
          <w:lang w:val="en-US" w:eastAsia="zh-CN"/>
        </w:rPr>
        <w:t>“事前、事中、事后”的全过程链条</w:t>
      </w:r>
      <w:r>
        <w:rPr>
          <w:rFonts w:hint="eastAsia" w:ascii="仿宋" w:hAnsi="仿宋" w:eastAsia="仿宋" w:cs="仿宋"/>
          <w:b w:val="0"/>
          <w:bCs w:val="0"/>
          <w:sz w:val="32"/>
          <w:szCs w:val="32"/>
          <w:highlight w:val="none"/>
          <w:lang w:val="en-US" w:eastAsia="zh-CN"/>
        </w:rPr>
        <w:t>中的</w:t>
      </w:r>
      <w:r>
        <w:rPr>
          <w:rFonts w:hint="default" w:ascii="仿宋" w:hAnsi="仿宋" w:eastAsia="仿宋" w:cs="仿宋"/>
          <w:b w:val="0"/>
          <w:bCs w:val="0"/>
          <w:sz w:val="32"/>
          <w:szCs w:val="32"/>
          <w:highlight w:val="none"/>
          <w:lang w:val="en-US" w:eastAsia="zh-CN"/>
        </w:rPr>
        <w:t>事后环节的绩效评价（即效益总结）</w:t>
      </w:r>
      <w:r>
        <w:rPr>
          <w:rFonts w:hint="eastAsia" w:ascii="仿宋" w:hAnsi="仿宋" w:eastAsia="仿宋" w:cs="仿宋"/>
          <w:b w:val="0"/>
          <w:bCs w:val="0"/>
          <w:sz w:val="32"/>
          <w:szCs w:val="32"/>
          <w:highlight w:val="none"/>
          <w:lang w:val="en-US" w:eastAsia="zh-CN"/>
        </w:rPr>
        <w:t>，这</w:t>
      </w:r>
      <w:r>
        <w:rPr>
          <w:rFonts w:hint="default" w:ascii="仿宋" w:hAnsi="仿宋" w:eastAsia="仿宋" w:cs="仿宋"/>
          <w:b w:val="0"/>
          <w:bCs w:val="0"/>
          <w:sz w:val="32"/>
          <w:szCs w:val="32"/>
          <w:highlight w:val="none"/>
          <w:lang w:val="en-US" w:eastAsia="zh-CN"/>
        </w:rPr>
        <w:t>是关键一环，用于衡量资金是否达到预期效果。缺失这一环，整个管理链条就不完整。在审计监督中属于典型问题：从各地审计报告看，“未按规定开展绩效自评”或“绩效评价工作不到位”是财政部门及预算单位被审计发现的常见问题之一。例如，有地区审计发现“县财政局指导督促不到位，预算单位未按规定开展2024年度绩效自评”。绩效评价结果是预算安排的重要依据。缺乏效益总结，会导致财政无法科学评估项目成效，可能直接影响单位下一年度同类项目（如乡村振兴资金）的预算申请和审批。</w:t>
      </w:r>
    </w:p>
    <w:p w14:paraId="324490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default" w:ascii="仿宋" w:hAnsi="仿宋" w:eastAsia="仿宋" w:cs="仿宋"/>
          <w:b w:val="0"/>
          <w:bCs w:val="0"/>
          <w:sz w:val="32"/>
          <w:szCs w:val="32"/>
          <w:highlight w:val="none"/>
          <w:lang w:val="en-US" w:eastAsia="zh-CN"/>
        </w:rPr>
      </w:pPr>
      <w:r>
        <w:rPr>
          <w:rFonts w:hint="default" w:ascii="仿宋" w:hAnsi="仿宋" w:eastAsia="仿宋" w:cs="仿宋"/>
          <w:b/>
          <w:bCs/>
          <w:sz w:val="32"/>
          <w:szCs w:val="32"/>
          <w:highlight w:val="none"/>
          <w:lang w:val="en-US" w:eastAsia="zh-CN"/>
        </w:rPr>
        <w:t>建议</w:t>
      </w:r>
      <w:r>
        <w:rPr>
          <w:rFonts w:hint="eastAsia" w:ascii="仿宋" w:hAnsi="仿宋" w:eastAsia="仿宋" w:cs="仿宋"/>
          <w:b/>
          <w:bCs/>
          <w:sz w:val="32"/>
          <w:szCs w:val="32"/>
          <w:highlight w:val="none"/>
          <w:lang w:val="en-US" w:eastAsia="zh-CN"/>
        </w:rPr>
        <w:t>：一是及时</w:t>
      </w:r>
      <w:r>
        <w:rPr>
          <w:rFonts w:hint="default" w:ascii="仿宋" w:hAnsi="仿宋" w:eastAsia="仿宋" w:cs="仿宋"/>
          <w:b/>
          <w:bCs/>
          <w:sz w:val="32"/>
          <w:szCs w:val="32"/>
          <w:highlight w:val="none"/>
          <w:lang w:val="en-US" w:eastAsia="zh-CN"/>
        </w:rPr>
        <w:t>启动补充评价与报告</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补做自评：</w:t>
      </w:r>
      <w:r>
        <w:rPr>
          <w:rFonts w:hint="default" w:ascii="仿宋" w:hAnsi="仿宋" w:eastAsia="仿宋" w:cs="仿宋"/>
          <w:b w:val="0"/>
          <w:bCs w:val="0"/>
          <w:sz w:val="32"/>
          <w:szCs w:val="32"/>
          <w:highlight w:val="none"/>
          <w:lang w:val="en-US" w:eastAsia="zh-CN"/>
        </w:rPr>
        <w:t>对工作经费和乡村振兴资金两个项目，对照最初申报预算时设定的绩效目标，补充开展绩效自评。自评需采用科学方法，对资金的产出、效果、满意度等进行量化或定性分析。</w:t>
      </w:r>
      <w:r>
        <w:rPr>
          <w:rFonts w:hint="default" w:ascii="仿宋" w:hAnsi="仿宋" w:eastAsia="仿宋" w:cs="仿宋"/>
          <w:b/>
          <w:bCs/>
          <w:sz w:val="32"/>
          <w:szCs w:val="32"/>
          <w:highlight w:val="none"/>
          <w:lang w:val="en-US" w:eastAsia="zh-CN"/>
        </w:rPr>
        <w:t>撰写报告：</w:t>
      </w:r>
      <w:r>
        <w:rPr>
          <w:rFonts w:hint="default" w:ascii="仿宋" w:hAnsi="仿宋" w:eastAsia="仿宋" w:cs="仿宋"/>
          <w:b w:val="0"/>
          <w:bCs w:val="0"/>
          <w:sz w:val="32"/>
          <w:szCs w:val="32"/>
          <w:highlight w:val="none"/>
          <w:lang w:val="en-US" w:eastAsia="zh-CN"/>
        </w:rPr>
        <w:t>按照规范的《项目支出绩效自评表》格式，形成书面自评报告。报告需如实反映目标完成情况、发现问题及改进措施。</w:t>
      </w:r>
      <w:r>
        <w:rPr>
          <w:rFonts w:hint="default" w:ascii="仿宋" w:hAnsi="仿宋" w:eastAsia="仿宋" w:cs="仿宋"/>
          <w:b/>
          <w:bCs/>
          <w:sz w:val="32"/>
          <w:szCs w:val="32"/>
          <w:highlight w:val="none"/>
          <w:lang w:val="en-US" w:eastAsia="zh-CN"/>
        </w:rPr>
        <w:t>及时报送：</w:t>
      </w:r>
      <w:r>
        <w:rPr>
          <w:rFonts w:hint="default" w:ascii="仿宋" w:hAnsi="仿宋" w:eastAsia="仿宋" w:cs="仿宋"/>
          <w:b w:val="0"/>
          <w:bCs w:val="0"/>
          <w:sz w:val="32"/>
          <w:szCs w:val="32"/>
          <w:highlight w:val="none"/>
          <w:lang w:val="en-US" w:eastAsia="zh-CN"/>
        </w:rPr>
        <w:t>将补充完成的绩效自评报告，正式行文报送至主管财政局的绩效管理部门，说明情况并提交材料。</w:t>
      </w:r>
      <w:r>
        <w:rPr>
          <w:rFonts w:hint="eastAsia" w:ascii="仿宋" w:hAnsi="仿宋" w:eastAsia="仿宋" w:cs="仿宋"/>
          <w:b/>
          <w:bCs/>
          <w:sz w:val="32"/>
          <w:szCs w:val="32"/>
          <w:highlight w:val="none"/>
          <w:lang w:val="en-US" w:eastAsia="zh-CN"/>
        </w:rPr>
        <w:t>二是</w:t>
      </w:r>
      <w:r>
        <w:rPr>
          <w:rFonts w:hint="default" w:ascii="仿宋" w:hAnsi="仿宋" w:eastAsia="仿宋" w:cs="仿宋"/>
          <w:b/>
          <w:bCs/>
          <w:sz w:val="32"/>
          <w:szCs w:val="32"/>
          <w:highlight w:val="none"/>
          <w:lang w:val="en-US" w:eastAsia="zh-CN"/>
        </w:rPr>
        <w:t>将绩效管理内化为常规工作</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“花钱必问效、无效必问责”</w:t>
      </w:r>
      <w:r>
        <w:rPr>
          <w:rFonts w:hint="default" w:ascii="仿宋" w:hAnsi="仿宋" w:eastAsia="仿宋" w:cs="仿宋"/>
          <w:b w:val="0"/>
          <w:bCs w:val="0"/>
          <w:sz w:val="32"/>
          <w:szCs w:val="32"/>
          <w:highlight w:val="none"/>
          <w:lang w:val="en-US" w:eastAsia="zh-CN"/>
        </w:rPr>
        <w:t>是当前预算管理的基本要求。从流程上进行规范</w:t>
      </w:r>
      <w:r>
        <w:rPr>
          <w:rFonts w:hint="eastAsia" w:ascii="仿宋" w:hAnsi="仿宋" w:eastAsia="仿宋" w:cs="仿宋"/>
          <w:b w:val="0"/>
          <w:bCs w:val="0"/>
          <w:sz w:val="32"/>
          <w:szCs w:val="32"/>
          <w:highlight w:val="none"/>
          <w:lang w:val="en-US" w:eastAsia="zh-CN"/>
        </w:rPr>
        <w:t>。</w:t>
      </w:r>
      <w:r>
        <w:rPr>
          <w:rFonts w:hint="default" w:ascii="仿宋" w:hAnsi="仿宋" w:eastAsia="仿宋" w:cs="仿宋"/>
          <w:b/>
          <w:bCs/>
          <w:sz w:val="32"/>
          <w:szCs w:val="32"/>
          <w:highlight w:val="none"/>
          <w:lang w:val="en-US" w:eastAsia="zh-CN"/>
        </w:rPr>
        <w:t>事前设定目标：</w:t>
      </w:r>
      <w:r>
        <w:rPr>
          <w:rFonts w:hint="default" w:ascii="仿宋" w:hAnsi="仿宋" w:eastAsia="仿宋" w:cs="仿宋"/>
          <w:b w:val="0"/>
          <w:bCs w:val="0"/>
          <w:sz w:val="32"/>
          <w:szCs w:val="32"/>
          <w:highlight w:val="none"/>
          <w:lang w:val="en-US" w:eastAsia="zh-CN"/>
        </w:rPr>
        <w:t>未来所有项目在申请预算时，就必须同步设置清晰、量化、可考核的绩效目标。这是后续评价的依据。</w:t>
      </w:r>
      <w:r>
        <w:rPr>
          <w:rFonts w:hint="default" w:ascii="仿宋" w:hAnsi="仿宋" w:eastAsia="仿宋" w:cs="仿宋"/>
          <w:b/>
          <w:bCs/>
          <w:sz w:val="32"/>
          <w:szCs w:val="32"/>
          <w:highlight w:val="none"/>
          <w:lang w:val="en-US" w:eastAsia="zh-CN"/>
        </w:rPr>
        <w:t>事中动态监控：</w:t>
      </w:r>
      <w:r>
        <w:rPr>
          <w:rFonts w:hint="default" w:ascii="仿宋" w:hAnsi="仿宋" w:eastAsia="仿宋" w:cs="仿宋"/>
          <w:b w:val="0"/>
          <w:bCs w:val="0"/>
          <w:sz w:val="32"/>
          <w:szCs w:val="32"/>
          <w:highlight w:val="none"/>
          <w:lang w:val="en-US" w:eastAsia="zh-CN"/>
        </w:rPr>
        <w:t>在预算执行过程中，定期对绩效目标实现程度和预算执行进度进行“双监控”，发现偏差及时纠正。</w:t>
      </w:r>
      <w:r>
        <w:rPr>
          <w:rFonts w:hint="default" w:ascii="仿宋" w:hAnsi="仿宋" w:eastAsia="仿宋" w:cs="仿宋"/>
          <w:b/>
          <w:bCs/>
          <w:sz w:val="32"/>
          <w:szCs w:val="32"/>
          <w:highlight w:val="none"/>
          <w:lang w:val="en-US" w:eastAsia="zh-CN"/>
        </w:rPr>
        <w:t>事后及时评价：</w:t>
      </w:r>
      <w:r>
        <w:rPr>
          <w:rFonts w:hint="default" w:ascii="仿宋" w:hAnsi="仿宋" w:eastAsia="仿宋" w:cs="仿宋"/>
          <w:b w:val="0"/>
          <w:bCs w:val="0"/>
          <w:sz w:val="32"/>
          <w:szCs w:val="32"/>
          <w:highlight w:val="none"/>
          <w:lang w:val="en-US" w:eastAsia="zh-CN"/>
        </w:rPr>
        <w:t>在预算年度结束后或项目完成后，及时、主动开展绩效自评，形成评价报告，并按规定时间和格式要求报送。</w:t>
      </w:r>
      <w:r>
        <w:rPr>
          <w:rFonts w:hint="default" w:ascii="仿宋" w:hAnsi="仿宋" w:eastAsia="仿宋" w:cs="仿宋"/>
          <w:b/>
          <w:bCs/>
          <w:sz w:val="32"/>
          <w:szCs w:val="32"/>
          <w:highlight w:val="none"/>
          <w:lang w:val="en-US" w:eastAsia="zh-CN"/>
        </w:rPr>
        <w:t>强化结果应用：</w:t>
      </w:r>
      <w:r>
        <w:rPr>
          <w:rFonts w:hint="default" w:ascii="仿宋" w:hAnsi="仿宋" w:eastAsia="仿宋" w:cs="仿宋"/>
          <w:b w:val="0"/>
          <w:bCs w:val="0"/>
          <w:sz w:val="32"/>
          <w:szCs w:val="32"/>
          <w:highlight w:val="none"/>
          <w:lang w:val="en-US" w:eastAsia="zh-CN"/>
        </w:rPr>
        <w:t>主动将自评结果用于内部改进工作。同时，财政部门和人大也会将评价结果作为未来预算安排和调整政策的重要参考。</w:t>
      </w:r>
      <w:r>
        <w:rPr>
          <w:rFonts w:hint="eastAsia" w:ascii="仿宋" w:hAnsi="仿宋" w:eastAsia="仿宋" w:cs="仿宋"/>
          <w:b/>
          <w:bCs/>
          <w:sz w:val="32"/>
          <w:szCs w:val="32"/>
          <w:highlight w:val="none"/>
          <w:lang w:val="en-US" w:eastAsia="zh-CN"/>
        </w:rPr>
        <w:t>三是</w:t>
      </w:r>
      <w:r>
        <w:rPr>
          <w:rFonts w:hint="default" w:ascii="仿宋" w:hAnsi="仿宋" w:eastAsia="仿宋" w:cs="仿宋"/>
          <w:b/>
          <w:bCs/>
          <w:sz w:val="32"/>
          <w:szCs w:val="32"/>
          <w:highlight w:val="none"/>
          <w:lang w:val="en-US" w:eastAsia="zh-CN"/>
        </w:rPr>
        <w:t>关注潜在影响并积极沟通</w:t>
      </w:r>
      <w:r>
        <w:rPr>
          <w:rFonts w:hint="eastAsia" w:ascii="仿宋" w:hAnsi="仿宋" w:eastAsia="仿宋" w:cs="仿宋"/>
          <w:b/>
          <w:bCs/>
          <w:sz w:val="32"/>
          <w:szCs w:val="32"/>
          <w:highlight w:val="none"/>
          <w:lang w:val="en-US" w:eastAsia="zh-CN"/>
        </w:rPr>
        <w:t>。</w:t>
      </w:r>
      <w:r>
        <w:rPr>
          <w:rFonts w:hint="default" w:ascii="仿宋" w:hAnsi="仿宋" w:eastAsia="仿宋" w:cs="仿宋"/>
          <w:b/>
          <w:bCs/>
          <w:sz w:val="32"/>
          <w:szCs w:val="32"/>
          <w:highlight w:val="none"/>
          <w:lang w:val="en-US" w:eastAsia="zh-CN"/>
        </w:rPr>
        <w:t>接受考核：</w:t>
      </w:r>
      <w:r>
        <w:rPr>
          <w:rFonts w:hint="default" w:ascii="仿宋" w:hAnsi="仿宋" w:eastAsia="仿宋" w:cs="仿宋"/>
          <w:b w:val="0"/>
          <w:bCs w:val="0"/>
          <w:sz w:val="32"/>
          <w:szCs w:val="32"/>
          <w:highlight w:val="none"/>
          <w:lang w:val="en-US" w:eastAsia="zh-CN"/>
        </w:rPr>
        <w:t>预算绩效管理工作情况是财政部门对预算单位考核的内容之一。</w:t>
      </w:r>
      <w:r>
        <w:rPr>
          <w:rFonts w:hint="default" w:ascii="仿宋" w:hAnsi="仿宋" w:eastAsia="仿宋" w:cs="仿宋"/>
          <w:b/>
          <w:bCs/>
          <w:sz w:val="32"/>
          <w:szCs w:val="32"/>
          <w:highlight w:val="none"/>
          <w:lang w:val="en-US" w:eastAsia="zh-CN"/>
        </w:rPr>
        <w:t>配合检查：</w:t>
      </w:r>
      <w:r>
        <w:rPr>
          <w:rFonts w:hint="default" w:ascii="仿宋" w:hAnsi="仿宋" w:eastAsia="仿宋" w:cs="仿宋"/>
          <w:b w:val="0"/>
          <w:bCs w:val="0"/>
          <w:sz w:val="32"/>
          <w:szCs w:val="32"/>
          <w:highlight w:val="none"/>
          <w:lang w:val="en-US" w:eastAsia="zh-CN"/>
        </w:rPr>
        <w:t>审计部门依法对预算绩效管理情况有审计监督权。未来审计时，可能会对此进行关注，请准备好相关补充材料和情况说明。</w:t>
      </w:r>
      <w:r>
        <w:rPr>
          <w:rFonts w:hint="default" w:ascii="仿宋" w:hAnsi="仿宋" w:eastAsia="仿宋" w:cs="仿宋"/>
          <w:b/>
          <w:bCs/>
          <w:sz w:val="32"/>
          <w:szCs w:val="32"/>
          <w:highlight w:val="none"/>
          <w:lang w:val="en-US" w:eastAsia="zh-CN"/>
        </w:rPr>
        <w:t>预算挂钩：</w:t>
      </w:r>
      <w:r>
        <w:rPr>
          <w:rFonts w:hint="default" w:ascii="仿宋" w:hAnsi="仿宋" w:eastAsia="仿宋" w:cs="仿宋"/>
          <w:b w:val="0"/>
          <w:bCs w:val="0"/>
          <w:sz w:val="32"/>
          <w:szCs w:val="32"/>
          <w:highlight w:val="none"/>
          <w:lang w:val="en-US" w:eastAsia="zh-CN"/>
        </w:rPr>
        <w:t>需认识到，绩效评价结果会与未来预算安排挂钩。积极主动地完善绩效管理工作，是保障单位履职和项目资金需求的长远之计。</w:t>
      </w:r>
    </w:p>
    <w:p w14:paraId="488567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none"/>
          <w:lang w:val="en-US" w:eastAsia="zh-CN"/>
        </w:rPr>
      </w:pPr>
    </w:p>
    <w:p w14:paraId="4BAA31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none"/>
          <w:lang w:val="en-US" w:eastAsia="zh-CN"/>
        </w:rPr>
      </w:pPr>
    </w:p>
    <w:p w14:paraId="00E16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none"/>
          <w:lang w:val="en-US" w:eastAsia="zh-CN"/>
        </w:rPr>
      </w:pPr>
    </w:p>
    <w:p w14:paraId="48717A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none"/>
          <w:lang w:val="en-US" w:eastAsia="zh-CN"/>
        </w:rPr>
      </w:pPr>
    </w:p>
    <w:p w14:paraId="01F37C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highlight w:val="none"/>
          <w:lang w:val="en-US" w:eastAsia="zh-CN"/>
        </w:rPr>
      </w:pPr>
    </w:p>
    <w:tbl>
      <w:tblPr>
        <w:tblStyle w:val="14"/>
        <w:tblpPr w:leftFromText="180" w:rightFromText="180" w:vertAnchor="text" w:horzAnchor="page" w:tblpXSpec="center" w:tblpY="952"/>
        <w:tblOverlap w:val="never"/>
        <w:tblW w:w="8799" w:type="dxa"/>
        <w:jc w:val="center"/>
        <w:tblLayout w:type="fixed"/>
        <w:tblCellMar>
          <w:top w:w="0" w:type="dxa"/>
          <w:left w:w="108" w:type="dxa"/>
          <w:bottom w:w="0" w:type="dxa"/>
          <w:right w:w="108" w:type="dxa"/>
        </w:tblCellMar>
      </w:tblPr>
      <w:tblGrid>
        <w:gridCol w:w="4525"/>
        <w:gridCol w:w="4274"/>
      </w:tblGrid>
      <w:tr w14:paraId="06E76196">
        <w:tblPrEx>
          <w:tblCellMar>
            <w:top w:w="0" w:type="dxa"/>
            <w:left w:w="108" w:type="dxa"/>
            <w:bottom w:w="0" w:type="dxa"/>
            <w:right w:w="108" w:type="dxa"/>
          </w:tblCellMar>
        </w:tblPrEx>
        <w:trPr>
          <w:trHeight w:val="623" w:hRule="atLeast"/>
          <w:jc w:val="center"/>
        </w:trPr>
        <w:tc>
          <w:tcPr>
            <w:tcW w:w="4525" w:type="dxa"/>
            <w:noWrap w:val="0"/>
            <w:vAlign w:val="top"/>
          </w:tcPr>
          <w:p w14:paraId="471D80C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湖南浩元会计师事务所</w:t>
            </w:r>
          </w:p>
        </w:tc>
        <w:tc>
          <w:tcPr>
            <w:tcW w:w="4274" w:type="dxa"/>
            <w:noWrap w:val="0"/>
            <w:vAlign w:val="top"/>
          </w:tcPr>
          <w:p w14:paraId="3920D3B7">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tc>
      </w:tr>
      <w:tr w14:paraId="1E050D63">
        <w:tblPrEx>
          <w:tblCellMar>
            <w:top w:w="0" w:type="dxa"/>
            <w:left w:w="108" w:type="dxa"/>
            <w:bottom w:w="0" w:type="dxa"/>
            <w:right w:w="108" w:type="dxa"/>
          </w:tblCellMar>
        </w:tblPrEx>
        <w:trPr>
          <w:trHeight w:val="1267" w:hRule="atLeast"/>
          <w:jc w:val="center"/>
        </w:trPr>
        <w:tc>
          <w:tcPr>
            <w:tcW w:w="4525" w:type="dxa"/>
            <w:noWrap w:val="0"/>
            <w:vAlign w:val="top"/>
          </w:tcPr>
          <w:p w14:paraId="0E52F46D">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（普通合伙）</w:t>
            </w:r>
          </w:p>
        </w:tc>
        <w:tc>
          <w:tcPr>
            <w:tcW w:w="4274" w:type="dxa"/>
            <w:noWrap w:val="0"/>
            <w:vAlign w:val="top"/>
          </w:tcPr>
          <w:p w14:paraId="37EC44E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20C5DF22">
        <w:tblPrEx>
          <w:tblCellMar>
            <w:top w:w="0" w:type="dxa"/>
            <w:left w:w="108" w:type="dxa"/>
            <w:bottom w:w="0" w:type="dxa"/>
            <w:right w:w="108" w:type="dxa"/>
          </w:tblCellMar>
        </w:tblPrEx>
        <w:trPr>
          <w:trHeight w:val="1247" w:hRule="atLeast"/>
          <w:jc w:val="center"/>
        </w:trPr>
        <w:tc>
          <w:tcPr>
            <w:tcW w:w="4525" w:type="dxa"/>
            <w:noWrap w:val="0"/>
            <w:vAlign w:val="top"/>
          </w:tcPr>
          <w:p w14:paraId="0EFF90BA">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c>
          <w:tcPr>
            <w:tcW w:w="4274" w:type="dxa"/>
            <w:noWrap w:val="0"/>
            <w:vAlign w:val="top"/>
          </w:tcPr>
          <w:p w14:paraId="59CBFD9F">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中国注册会计师：</w:t>
            </w:r>
          </w:p>
          <w:p w14:paraId="3CBA56F0">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p>
        </w:tc>
      </w:tr>
      <w:tr w14:paraId="616B1357">
        <w:tblPrEx>
          <w:tblCellMar>
            <w:top w:w="0" w:type="dxa"/>
            <w:left w:w="108" w:type="dxa"/>
            <w:bottom w:w="0" w:type="dxa"/>
            <w:right w:w="108" w:type="dxa"/>
          </w:tblCellMar>
        </w:tblPrEx>
        <w:trPr>
          <w:trHeight w:val="623" w:hRule="atLeast"/>
          <w:jc w:val="center"/>
        </w:trPr>
        <w:tc>
          <w:tcPr>
            <w:tcW w:w="4525" w:type="dxa"/>
            <w:noWrap w:val="0"/>
            <w:vAlign w:val="top"/>
          </w:tcPr>
          <w:p w14:paraId="5993052B">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中 国·长 沙</w:t>
            </w:r>
          </w:p>
        </w:tc>
        <w:tc>
          <w:tcPr>
            <w:tcW w:w="4274" w:type="dxa"/>
            <w:noWrap w:val="0"/>
            <w:vAlign w:val="top"/>
          </w:tcPr>
          <w:p w14:paraId="23472842">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firstLine="0" w:firstLineChars="0"/>
              <w:jc w:val="center"/>
              <w:textAlignment w:val="auto"/>
              <w:rPr>
                <w:rFonts w:hint="eastAsia" w:ascii="仿宋" w:hAnsi="仿宋" w:eastAsia="仿宋" w:cs="仿宋"/>
                <w:b w:val="0"/>
                <w:bCs w:val="0"/>
                <w:i w:val="0"/>
                <w:iCs w:val="0"/>
                <w:caps w:val="0"/>
                <w:color w:val="000000"/>
                <w:spacing w:val="0"/>
                <w:sz w:val="32"/>
                <w:szCs w:val="32"/>
                <w:u w:val="none"/>
                <w:shd w:val="clear" w:fill="FFFFFF"/>
                <w:lang w:val="en-US" w:eastAsia="zh-CN"/>
              </w:rPr>
            </w:pPr>
            <w:r>
              <w:rPr>
                <w:rFonts w:hint="eastAsia" w:ascii="仿宋" w:hAnsi="仿宋" w:eastAsia="仿宋" w:cs="仿宋"/>
                <w:b w:val="0"/>
                <w:bCs w:val="0"/>
                <w:i w:val="0"/>
                <w:iCs w:val="0"/>
                <w:caps w:val="0"/>
                <w:color w:val="000000"/>
                <w:spacing w:val="0"/>
                <w:sz w:val="32"/>
                <w:szCs w:val="32"/>
                <w:u w:val="none"/>
                <w:shd w:val="clear" w:fill="FFFFFF"/>
                <w:lang w:val="en-US" w:eastAsia="zh-CN"/>
              </w:rPr>
              <w:t>2025年12月15日</w:t>
            </w:r>
          </w:p>
        </w:tc>
      </w:tr>
    </w:tbl>
    <w:p w14:paraId="402C98B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highlight w:val="none"/>
          <w:lang w:val="en-US" w:eastAsia="zh-CN"/>
        </w:rPr>
      </w:pPr>
    </w:p>
    <w:p w14:paraId="6DDBF7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highlight w:val="none"/>
          <w:lang w:val="en-US" w:eastAsia="zh-CN"/>
        </w:rPr>
      </w:pPr>
    </w:p>
    <w:p w14:paraId="4840BB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b w:val="0"/>
          <w:bCs w:val="0"/>
          <w:sz w:val="32"/>
          <w:szCs w:val="32"/>
          <w:highlight w:val="none"/>
          <w:lang w:val="en-US" w:eastAsia="zh-CN"/>
        </w:rPr>
      </w:pPr>
    </w:p>
    <w:sectPr>
      <w:pgSz w:w="11906" w:h="16838"/>
      <w:pgMar w:top="1157" w:right="1803" w:bottom="1440" w:left="1803"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altName w:val="宋体"/>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C557">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477AC19B">
                    <w:pP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湖南浩元会计师事务所（普通合伙）</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50B68">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48C09C">
                    <w:pPr>
                      <w:pStyle w:val="8"/>
                      <w:rPr>
                        <w:b/>
                        <w:bCs/>
                      </w:rPr>
                    </w:pPr>
                    <w:r>
                      <w:rPr>
                        <w:b/>
                        <w:bCs/>
                      </w:rPr>
                      <w:t xml:space="preserve">第 </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 xml:space="preserve"> 页</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237CA635">
                    <w:pPr>
                      <w:rPr>
                        <w:rFonts w:hint="eastAsia" w:ascii="仿宋" w:hAnsi="仿宋" w:eastAsia="仿宋" w:cs="仿宋"/>
                        <w:b/>
                        <w:bCs/>
                        <w:color w:val="auto"/>
                        <w:sz w:val="21"/>
                        <w:szCs w:val="21"/>
                        <w:u w:val="none"/>
                        <w:lang w:val="en-US" w:eastAsia="zh-CN"/>
                      </w:rPr>
                    </w:pPr>
                    <w:r>
                      <w:rPr>
                        <w:rFonts w:hint="eastAsia" w:ascii="仿宋" w:hAnsi="仿宋" w:eastAsia="仿宋" w:cs="仿宋"/>
                        <w:b/>
                        <w:bCs/>
                        <w:color w:val="auto"/>
                        <w:sz w:val="21"/>
                        <w:szCs w:val="21"/>
                        <w:u w:val="none"/>
                        <w:lang w:val="en-US" w:eastAsia="zh-CN"/>
                      </w:rPr>
                      <w:t>湖南浩元会计师事务所（普通合伙）</w:t>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312759">
    <w:pPr>
      <w:pStyle w:val="9"/>
      <w:rPr>
        <w:rFonts w:hint="default" w:ascii="仿宋" w:hAnsi="仿宋" w:eastAsia="仿宋" w:cs="仿宋"/>
        <w:sz w:val="21"/>
        <w:szCs w:val="21"/>
        <w:u w:val="single"/>
        <w:lang w:val="en-US" w:eastAsia="zh-CN"/>
      </w:rPr>
    </w:pPr>
    <w:r>
      <w:rPr>
        <w:rFonts w:hint="eastAsia" w:ascii="仿宋" w:hAnsi="仿宋" w:eastAsia="仿宋" w:cs="仿宋"/>
        <w:b/>
        <w:bCs/>
        <w:sz w:val="21"/>
        <w:szCs w:val="21"/>
        <w:u w:val="single"/>
        <w:lang w:val="en-US" w:eastAsia="zh-CN"/>
      </w:rPr>
      <w:t>2024年中共雁峰区委办公室整体支出绩效评价报告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EFD67"/>
    <w:multiLevelType w:val="singleLevel"/>
    <w:tmpl w:val="950EFD67"/>
    <w:lvl w:ilvl="0" w:tentative="0">
      <w:start w:val="2"/>
      <w:numFmt w:val="chineseCounting"/>
      <w:suff w:val="nothing"/>
      <w:lvlText w:val="（%1）"/>
      <w:lvlJc w:val="left"/>
      <w:rPr>
        <w:rFonts w:hint="eastAsia" w:ascii="楷体" w:hAnsi="楷体" w:eastAsia="楷体" w:cs="楷体"/>
        <w:b/>
        <w:bCs/>
        <w:sz w:val="32"/>
        <w:szCs w:val="32"/>
      </w:rPr>
    </w:lvl>
  </w:abstractNum>
  <w:abstractNum w:abstractNumId="1">
    <w:nsid w:val="993ED9D6"/>
    <w:multiLevelType w:val="singleLevel"/>
    <w:tmpl w:val="993ED9D6"/>
    <w:lvl w:ilvl="0" w:tentative="0">
      <w:start w:val="1"/>
      <w:numFmt w:val="decimal"/>
      <w:suff w:val="nothing"/>
      <w:lvlText w:val="（%1）"/>
      <w:lvlJc w:val="left"/>
    </w:lvl>
  </w:abstractNum>
  <w:abstractNum w:abstractNumId="2">
    <w:nsid w:val="AFCFB45B"/>
    <w:multiLevelType w:val="singleLevel"/>
    <w:tmpl w:val="AFCFB45B"/>
    <w:lvl w:ilvl="0" w:tentative="0">
      <w:start w:val="2"/>
      <w:numFmt w:val="chineseCounting"/>
      <w:suff w:val="nothing"/>
      <w:lvlText w:val="%1、"/>
      <w:lvlJc w:val="left"/>
      <w:rPr>
        <w:rFonts w:hint="eastAsia"/>
      </w:rPr>
    </w:lvl>
  </w:abstractNum>
  <w:abstractNum w:abstractNumId="3">
    <w:nsid w:val="C86B9F76"/>
    <w:multiLevelType w:val="singleLevel"/>
    <w:tmpl w:val="C86B9F76"/>
    <w:lvl w:ilvl="0" w:tentative="0">
      <w:start w:val="6"/>
      <w:numFmt w:val="chineseCounting"/>
      <w:suff w:val="nothing"/>
      <w:lvlText w:val="%1、"/>
      <w:lvlJc w:val="left"/>
      <w:rPr>
        <w:rFonts w:hint="eastAsia"/>
      </w:rPr>
    </w:lvl>
  </w:abstractNum>
  <w:abstractNum w:abstractNumId="4">
    <w:nsid w:val="D84C4568"/>
    <w:multiLevelType w:val="singleLevel"/>
    <w:tmpl w:val="D84C4568"/>
    <w:lvl w:ilvl="0" w:tentative="0">
      <w:start w:val="1"/>
      <w:numFmt w:val="chineseCounting"/>
      <w:suff w:val="nothing"/>
      <w:lvlText w:val="（%1）"/>
      <w:lvlJc w:val="left"/>
      <w:rPr>
        <w:rFonts w:hint="eastAsia"/>
      </w:rPr>
    </w:lvl>
  </w:abstractNum>
  <w:abstractNum w:abstractNumId="5">
    <w:nsid w:val="EBF7B6E1"/>
    <w:multiLevelType w:val="singleLevel"/>
    <w:tmpl w:val="EBF7B6E1"/>
    <w:lvl w:ilvl="0" w:tentative="0">
      <w:start w:val="1"/>
      <w:numFmt w:val="chineseCounting"/>
      <w:suff w:val="nothing"/>
      <w:lvlText w:val="（%1）"/>
      <w:lvlJc w:val="left"/>
      <w:rPr>
        <w:rFonts w:hint="eastAsia"/>
      </w:rPr>
    </w:lvl>
  </w:abstractNum>
  <w:abstractNum w:abstractNumId="6">
    <w:nsid w:val="22845DC4"/>
    <w:multiLevelType w:val="singleLevel"/>
    <w:tmpl w:val="22845DC4"/>
    <w:lvl w:ilvl="0" w:tentative="0">
      <w:start w:val="4"/>
      <w:numFmt w:val="chineseCounting"/>
      <w:suff w:val="nothing"/>
      <w:lvlText w:val="（%1）"/>
      <w:lvlJc w:val="left"/>
      <w:rPr>
        <w:rFonts w:hint="eastAsia"/>
      </w:rPr>
    </w:lvl>
  </w:abstractNum>
  <w:num w:numId="1">
    <w:abstractNumId w:val="2"/>
  </w:num>
  <w:num w:numId="2">
    <w:abstractNumId w:val="4"/>
  </w:num>
  <w:num w:numId="3">
    <w:abstractNumId w:val="6"/>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1ZWVjYTFmYWM4NGIxZThlMmI0MzQ1Mzg3NWI3ZjkifQ=="/>
  </w:docVars>
  <w:rsids>
    <w:rsidRoot w:val="00172A27"/>
    <w:rsid w:val="00053C27"/>
    <w:rsid w:val="001B237B"/>
    <w:rsid w:val="002238E0"/>
    <w:rsid w:val="003440E5"/>
    <w:rsid w:val="00347465"/>
    <w:rsid w:val="003675EE"/>
    <w:rsid w:val="00392EA7"/>
    <w:rsid w:val="00396CDA"/>
    <w:rsid w:val="00440AFC"/>
    <w:rsid w:val="00441793"/>
    <w:rsid w:val="0046375D"/>
    <w:rsid w:val="004E616D"/>
    <w:rsid w:val="00543B5B"/>
    <w:rsid w:val="006710BF"/>
    <w:rsid w:val="006C4A5C"/>
    <w:rsid w:val="0075235C"/>
    <w:rsid w:val="008C4773"/>
    <w:rsid w:val="008F5F8D"/>
    <w:rsid w:val="00957601"/>
    <w:rsid w:val="00AC7437"/>
    <w:rsid w:val="00B42740"/>
    <w:rsid w:val="00BC7757"/>
    <w:rsid w:val="00BE48D0"/>
    <w:rsid w:val="00C322FE"/>
    <w:rsid w:val="00CE50BF"/>
    <w:rsid w:val="00CE5BE0"/>
    <w:rsid w:val="00DC574A"/>
    <w:rsid w:val="00E65178"/>
    <w:rsid w:val="00ED1E2A"/>
    <w:rsid w:val="00F02299"/>
    <w:rsid w:val="00F114F5"/>
    <w:rsid w:val="00F663A1"/>
    <w:rsid w:val="00F96DAA"/>
    <w:rsid w:val="00FE0086"/>
    <w:rsid w:val="01017684"/>
    <w:rsid w:val="010D6479"/>
    <w:rsid w:val="0112244E"/>
    <w:rsid w:val="01142B69"/>
    <w:rsid w:val="011655D4"/>
    <w:rsid w:val="011C07DF"/>
    <w:rsid w:val="01211959"/>
    <w:rsid w:val="013B2B96"/>
    <w:rsid w:val="013F2781"/>
    <w:rsid w:val="014519A3"/>
    <w:rsid w:val="014F34AC"/>
    <w:rsid w:val="01543F37"/>
    <w:rsid w:val="015E034F"/>
    <w:rsid w:val="016F699D"/>
    <w:rsid w:val="018A7679"/>
    <w:rsid w:val="018E2466"/>
    <w:rsid w:val="0196601E"/>
    <w:rsid w:val="01967D5E"/>
    <w:rsid w:val="019755DD"/>
    <w:rsid w:val="019D092B"/>
    <w:rsid w:val="019D115B"/>
    <w:rsid w:val="019E58B5"/>
    <w:rsid w:val="019F1377"/>
    <w:rsid w:val="01B374F8"/>
    <w:rsid w:val="01CB7507"/>
    <w:rsid w:val="01D846CD"/>
    <w:rsid w:val="01EE7C08"/>
    <w:rsid w:val="021E5540"/>
    <w:rsid w:val="022D1BCE"/>
    <w:rsid w:val="023A109F"/>
    <w:rsid w:val="023F2351"/>
    <w:rsid w:val="024C492F"/>
    <w:rsid w:val="025739FF"/>
    <w:rsid w:val="0263637C"/>
    <w:rsid w:val="026774FC"/>
    <w:rsid w:val="02811C50"/>
    <w:rsid w:val="028C553E"/>
    <w:rsid w:val="028D5673"/>
    <w:rsid w:val="029370C7"/>
    <w:rsid w:val="029546DD"/>
    <w:rsid w:val="029D18A6"/>
    <w:rsid w:val="029F7154"/>
    <w:rsid w:val="02A1111E"/>
    <w:rsid w:val="02A815EB"/>
    <w:rsid w:val="02AD3FBE"/>
    <w:rsid w:val="02AE478C"/>
    <w:rsid w:val="02B50726"/>
    <w:rsid w:val="02B726F0"/>
    <w:rsid w:val="02BA21E0"/>
    <w:rsid w:val="02C443E7"/>
    <w:rsid w:val="02DB4285"/>
    <w:rsid w:val="02F859E5"/>
    <w:rsid w:val="02F94384"/>
    <w:rsid w:val="03074E87"/>
    <w:rsid w:val="03103BAE"/>
    <w:rsid w:val="03105CDF"/>
    <w:rsid w:val="031713E0"/>
    <w:rsid w:val="031763B2"/>
    <w:rsid w:val="03191EEE"/>
    <w:rsid w:val="031D6EFB"/>
    <w:rsid w:val="03267F2A"/>
    <w:rsid w:val="03295034"/>
    <w:rsid w:val="032A758D"/>
    <w:rsid w:val="03303491"/>
    <w:rsid w:val="034A1211"/>
    <w:rsid w:val="03754F19"/>
    <w:rsid w:val="03764359"/>
    <w:rsid w:val="03773C2D"/>
    <w:rsid w:val="0391431A"/>
    <w:rsid w:val="03A3304A"/>
    <w:rsid w:val="03A36FA0"/>
    <w:rsid w:val="03A47774"/>
    <w:rsid w:val="03A5079A"/>
    <w:rsid w:val="03AA1CFF"/>
    <w:rsid w:val="03BE7AAE"/>
    <w:rsid w:val="03C3438E"/>
    <w:rsid w:val="03C47923"/>
    <w:rsid w:val="03C6073D"/>
    <w:rsid w:val="03CE545F"/>
    <w:rsid w:val="03D25723"/>
    <w:rsid w:val="03E64831"/>
    <w:rsid w:val="04073203"/>
    <w:rsid w:val="040C7169"/>
    <w:rsid w:val="04125FCD"/>
    <w:rsid w:val="04160862"/>
    <w:rsid w:val="04220309"/>
    <w:rsid w:val="04245B63"/>
    <w:rsid w:val="042E3A1F"/>
    <w:rsid w:val="043229AE"/>
    <w:rsid w:val="04330D71"/>
    <w:rsid w:val="043E5100"/>
    <w:rsid w:val="04421B33"/>
    <w:rsid w:val="04460AFF"/>
    <w:rsid w:val="044A6798"/>
    <w:rsid w:val="047100E1"/>
    <w:rsid w:val="047C774D"/>
    <w:rsid w:val="047F1C73"/>
    <w:rsid w:val="04986613"/>
    <w:rsid w:val="04B61E91"/>
    <w:rsid w:val="04B62533"/>
    <w:rsid w:val="04B70785"/>
    <w:rsid w:val="04C133B2"/>
    <w:rsid w:val="04C1427B"/>
    <w:rsid w:val="04C218DA"/>
    <w:rsid w:val="04C6380B"/>
    <w:rsid w:val="04CD774D"/>
    <w:rsid w:val="04E57AC0"/>
    <w:rsid w:val="04ED064B"/>
    <w:rsid w:val="04FB6BAD"/>
    <w:rsid w:val="050723CE"/>
    <w:rsid w:val="05183F1A"/>
    <w:rsid w:val="052102F4"/>
    <w:rsid w:val="05281683"/>
    <w:rsid w:val="0528675E"/>
    <w:rsid w:val="05353DA0"/>
    <w:rsid w:val="053B68BC"/>
    <w:rsid w:val="05620FEB"/>
    <w:rsid w:val="05621DB4"/>
    <w:rsid w:val="056B5638"/>
    <w:rsid w:val="0571031E"/>
    <w:rsid w:val="057714C1"/>
    <w:rsid w:val="05791A70"/>
    <w:rsid w:val="058C131C"/>
    <w:rsid w:val="058C1C12"/>
    <w:rsid w:val="059C3F40"/>
    <w:rsid w:val="059E7B97"/>
    <w:rsid w:val="05A11BAC"/>
    <w:rsid w:val="05A3319B"/>
    <w:rsid w:val="05A50F26"/>
    <w:rsid w:val="05B42F17"/>
    <w:rsid w:val="05BA0D70"/>
    <w:rsid w:val="05CB200E"/>
    <w:rsid w:val="05DB66F5"/>
    <w:rsid w:val="05DE1D42"/>
    <w:rsid w:val="05E0766C"/>
    <w:rsid w:val="05E76E48"/>
    <w:rsid w:val="05F309FB"/>
    <w:rsid w:val="05F45A09"/>
    <w:rsid w:val="05F57389"/>
    <w:rsid w:val="05FA2A1A"/>
    <w:rsid w:val="05FF0279"/>
    <w:rsid w:val="06062574"/>
    <w:rsid w:val="06093E43"/>
    <w:rsid w:val="060E19D4"/>
    <w:rsid w:val="06106186"/>
    <w:rsid w:val="061B656D"/>
    <w:rsid w:val="061C5678"/>
    <w:rsid w:val="061E160E"/>
    <w:rsid w:val="06222576"/>
    <w:rsid w:val="062865D7"/>
    <w:rsid w:val="06316B63"/>
    <w:rsid w:val="06322AAB"/>
    <w:rsid w:val="06341813"/>
    <w:rsid w:val="06345BBB"/>
    <w:rsid w:val="064514DA"/>
    <w:rsid w:val="06462747"/>
    <w:rsid w:val="064A35D0"/>
    <w:rsid w:val="064B2827"/>
    <w:rsid w:val="065D6663"/>
    <w:rsid w:val="0660046B"/>
    <w:rsid w:val="066761DB"/>
    <w:rsid w:val="066A1F1E"/>
    <w:rsid w:val="06700636"/>
    <w:rsid w:val="067369FB"/>
    <w:rsid w:val="0683733C"/>
    <w:rsid w:val="06875F36"/>
    <w:rsid w:val="068D0A84"/>
    <w:rsid w:val="069112CA"/>
    <w:rsid w:val="06930D7E"/>
    <w:rsid w:val="06952ADA"/>
    <w:rsid w:val="06B069BA"/>
    <w:rsid w:val="06C30126"/>
    <w:rsid w:val="06C57799"/>
    <w:rsid w:val="06C92D5A"/>
    <w:rsid w:val="06CC0578"/>
    <w:rsid w:val="06D86978"/>
    <w:rsid w:val="06DF5D71"/>
    <w:rsid w:val="070337A4"/>
    <w:rsid w:val="07097643"/>
    <w:rsid w:val="07143785"/>
    <w:rsid w:val="071E67C4"/>
    <w:rsid w:val="07200C9D"/>
    <w:rsid w:val="072639A0"/>
    <w:rsid w:val="072801E2"/>
    <w:rsid w:val="073F4A62"/>
    <w:rsid w:val="074D53D1"/>
    <w:rsid w:val="0756191C"/>
    <w:rsid w:val="076A180B"/>
    <w:rsid w:val="076C47A9"/>
    <w:rsid w:val="077376CB"/>
    <w:rsid w:val="07760BAA"/>
    <w:rsid w:val="078D3874"/>
    <w:rsid w:val="079468F0"/>
    <w:rsid w:val="079B120C"/>
    <w:rsid w:val="07A7684E"/>
    <w:rsid w:val="07AC013B"/>
    <w:rsid w:val="07BA10F5"/>
    <w:rsid w:val="07BB6140"/>
    <w:rsid w:val="07BB67DE"/>
    <w:rsid w:val="07BE4341"/>
    <w:rsid w:val="07D442F0"/>
    <w:rsid w:val="07E00C9C"/>
    <w:rsid w:val="07E22674"/>
    <w:rsid w:val="07ED2710"/>
    <w:rsid w:val="07F9321E"/>
    <w:rsid w:val="07FA71D0"/>
    <w:rsid w:val="07FF1CDD"/>
    <w:rsid w:val="08231F8B"/>
    <w:rsid w:val="08253FEF"/>
    <w:rsid w:val="0828120C"/>
    <w:rsid w:val="08313B80"/>
    <w:rsid w:val="083B791F"/>
    <w:rsid w:val="083E11BD"/>
    <w:rsid w:val="084542FA"/>
    <w:rsid w:val="085821DB"/>
    <w:rsid w:val="085B544F"/>
    <w:rsid w:val="085E70A3"/>
    <w:rsid w:val="08647852"/>
    <w:rsid w:val="086A0236"/>
    <w:rsid w:val="086A6018"/>
    <w:rsid w:val="087921F6"/>
    <w:rsid w:val="088210AA"/>
    <w:rsid w:val="08A53B3F"/>
    <w:rsid w:val="08BB245F"/>
    <w:rsid w:val="08BE2639"/>
    <w:rsid w:val="08C12927"/>
    <w:rsid w:val="08C14499"/>
    <w:rsid w:val="08C8551C"/>
    <w:rsid w:val="08CD7790"/>
    <w:rsid w:val="08D33389"/>
    <w:rsid w:val="08FE31BB"/>
    <w:rsid w:val="091E489D"/>
    <w:rsid w:val="09214A58"/>
    <w:rsid w:val="09322AD0"/>
    <w:rsid w:val="09436EC0"/>
    <w:rsid w:val="0949606C"/>
    <w:rsid w:val="094F2CD3"/>
    <w:rsid w:val="096B15C8"/>
    <w:rsid w:val="097C031F"/>
    <w:rsid w:val="097F0956"/>
    <w:rsid w:val="098026A7"/>
    <w:rsid w:val="098244A7"/>
    <w:rsid w:val="098368C3"/>
    <w:rsid w:val="09904F74"/>
    <w:rsid w:val="09931095"/>
    <w:rsid w:val="09964F9A"/>
    <w:rsid w:val="099A08B5"/>
    <w:rsid w:val="099B68C7"/>
    <w:rsid w:val="09A5179F"/>
    <w:rsid w:val="09B90AFC"/>
    <w:rsid w:val="09BF0001"/>
    <w:rsid w:val="09BF1E8A"/>
    <w:rsid w:val="09C01FBF"/>
    <w:rsid w:val="09D41DD9"/>
    <w:rsid w:val="09D70DA6"/>
    <w:rsid w:val="09E024BB"/>
    <w:rsid w:val="09F67AC4"/>
    <w:rsid w:val="0A0F3905"/>
    <w:rsid w:val="0A355EA0"/>
    <w:rsid w:val="0A3D472E"/>
    <w:rsid w:val="0A4106A1"/>
    <w:rsid w:val="0A550432"/>
    <w:rsid w:val="0A5F7F8F"/>
    <w:rsid w:val="0A653918"/>
    <w:rsid w:val="0A6E2124"/>
    <w:rsid w:val="0A863B1E"/>
    <w:rsid w:val="0A8777EC"/>
    <w:rsid w:val="0A891C20"/>
    <w:rsid w:val="0AA364AD"/>
    <w:rsid w:val="0AAC0F25"/>
    <w:rsid w:val="0AB74823"/>
    <w:rsid w:val="0ABB08A3"/>
    <w:rsid w:val="0AC21A36"/>
    <w:rsid w:val="0AC55D37"/>
    <w:rsid w:val="0AD876A7"/>
    <w:rsid w:val="0ADF27E4"/>
    <w:rsid w:val="0AF44688"/>
    <w:rsid w:val="0AF66391"/>
    <w:rsid w:val="0B0D610C"/>
    <w:rsid w:val="0B1A34E5"/>
    <w:rsid w:val="0B1A65E0"/>
    <w:rsid w:val="0B42710B"/>
    <w:rsid w:val="0B553428"/>
    <w:rsid w:val="0B6131F9"/>
    <w:rsid w:val="0B7A4561"/>
    <w:rsid w:val="0B7E1DF4"/>
    <w:rsid w:val="0BAB2B32"/>
    <w:rsid w:val="0BAD643E"/>
    <w:rsid w:val="0BB72F3C"/>
    <w:rsid w:val="0BC419DA"/>
    <w:rsid w:val="0BD452F2"/>
    <w:rsid w:val="0BE45812"/>
    <w:rsid w:val="0BE71C3D"/>
    <w:rsid w:val="0BFD6EF6"/>
    <w:rsid w:val="0BFE0100"/>
    <w:rsid w:val="0C030754"/>
    <w:rsid w:val="0C0753B5"/>
    <w:rsid w:val="0C250048"/>
    <w:rsid w:val="0C254F7A"/>
    <w:rsid w:val="0C2B3573"/>
    <w:rsid w:val="0C3A7178"/>
    <w:rsid w:val="0C460641"/>
    <w:rsid w:val="0C476893"/>
    <w:rsid w:val="0C5267C3"/>
    <w:rsid w:val="0C5517B2"/>
    <w:rsid w:val="0C5556CA"/>
    <w:rsid w:val="0C5965C6"/>
    <w:rsid w:val="0C7476C0"/>
    <w:rsid w:val="0C7B2664"/>
    <w:rsid w:val="0C925AC4"/>
    <w:rsid w:val="0C9772B7"/>
    <w:rsid w:val="0C9E401A"/>
    <w:rsid w:val="0CA350DD"/>
    <w:rsid w:val="0CAC044E"/>
    <w:rsid w:val="0CAF0502"/>
    <w:rsid w:val="0CB841CC"/>
    <w:rsid w:val="0CBC3E25"/>
    <w:rsid w:val="0CBF0132"/>
    <w:rsid w:val="0CC06645"/>
    <w:rsid w:val="0CC852E6"/>
    <w:rsid w:val="0CCA1272"/>
    <w:rsid w:val="0CCF6888"/>
    <w:rsid w:val="0CD56D9C"/>
    <w:rsid w:val="0CDB0A03"/>
    <w:rsid w:val="0CDE0CC6"/>
    <w:rsid w:val="0CE25880"/>
    <w:rsid w:val="0CE27DCE"/>
    <w:rsid w:val="0CE5798A"/>
    <w:rsid w:val="0CEE69E3"/>
    <w:rsid w:val="0CF462EF"/>
    <w:rsid w:val="0CFF0F1B"/>
    <w:rsid w:val="0CFF338E"/>
    <w:rsid w:val="0D0201EA"/>
    <w:rsid w:val="0D02609B"/>
    <w:rsid w:val="0D0332A3"/>
    <w:rsid w:val="0D0A5F71"/>
    <w:rsid w:val="0D1C2595"/>
    <w:rsid w:val="0D1C43CC"/>
    <w:rsid w:val="0D22141A"/>
    <w:rsid w:val="0D35644A"/>
    <w:rsid w:val="0D483858"/>
    <w:rsid w:val="0D597375"/>
    <w:rsid w:val="0D5C5D7C"/>
    <w:rsid w:val="0D6B7889"/>
    <w:rsid w:val="0D705608"/>
    <w:rsid w:val="0D81478E"/>
    <w:rsid w:val="0D862FC8"/>
    <w:rsid w:val="0D8A2FED"/>
    <w:rsid w:val="0D940C01"/>
    <w:rsid w:val="0D9E6986"/>
    <w:rsid w:val="0DA4187D"/>
    <w:rsid w:val="0DAB4CA3"/>
    <w:rsid w:val="0DAC2D80"/>
    <w:rsid w:val="0DAC6DFF"/>
    <w:rsid w:val="0DB55A7E"/>
    <w:rsid w:val="0DBA6115"/>
    <w:rsid w:val="0DBB7938"/>
    <w:rsid w:val="0DC01F09"/>
    <w:rsid w:val="0DC24E06"/>
    <w:rsid w:val="0DC64126"/>
    <w:rsid w:val="0DCA29A0"/>
    <w:rsid w:val="0DD208F0"/>
    <w:rsid w:val="0DD66235"/>
    <w:rsid w:val="0DDC7AB4"/>
    <w:rsid w:val="0DE16873"/>
    <w:rsid w:val="0DE73F9D"/>
    <w:rsid w:val="0DF14288"/>
    <w:rsid w:val="0DF522C3"/>
    <w:rsid w:val="0E0E0ABB"/>
    <w:rsid w:val="0E122ED0"/>
    <w:rsid w:val="0E156855"/>
    <w:rsid w:val="0E180AFA"/>
    <w:rsid w:val="0E1E1689"/>
    <w:rsid w:val="0E355A5F"/>
    <w:rsid w:val="0E434CA2"/>
    <w:rsid w:val="0E452056"/>
    <w:rsid w:val="0E4A60A8"/>
    <w:rsid w:val="0E664FCA"/>
    <w:rsid w:val="0E7159E2"/>
    <w:rsid w:val="0E90419B"/>
    <w:rsid w:val="0E906868"/>
    <w:rsid w:val="0E950D62"/>
    <w:rsid w:val="0E962D13"/>
    <w:rsid w:val="0E9F40E6"/>
    <w:rsid w:val="0EAA7A46"/>
    <w:rsid w:val="0EAB349F"/>
    <w:rsid w:val="0EB151DA"/>
    <w:rsid w:val="0EB8122F"/>
    <w:rsid w:val="0EB86F32"/>
    <w:rsid w:val="0EBA1FBA"/>
    <w:rsid w:val="0EBD5965"/>
    <w:rsid w:val="0EC40B28"/>
    <w:rsid w:val="0ECE67F4"/>
    <w:rsid w:val="0ED270CE"/>
    <w:rsid w:val="0EE30765"/>
    <w:rsid w:val="0EE875CA"/>
    <w:rsid w:val="0EEF3211"/>
    <w:rsid w:val="0EFA4090"/>
    <w:rsid w:val="0F03308E"/>
    <w:rsid w:val="0F033BBE"/>
    <w:rsid w:val="0F0B71C2"/>
    <w:rsid w:val="0F16254C"/>
    <w:rsid w:val="0F162B4E"/>
    <w:rsid w:val="0F1F58A5"/>
    <w:rsid w:val="0F2904D1"/>
    <w:rsid w:val="0F2E527C"/>
    <w:rsid w:val="0F333973"/>
    <w:rsid w:val="0F36499C"/>
    <w:rsid w:val="0F53554E"/>
    <w:rsid w:val="0F61365E"/>
    <w:rsid w:val="0F6C03BE"/>
    <w:rsid w:val="0F775D3E"/>
    <w:rsid w:val="0F7811AE"/>
    <w:rsid w:val="0F891808"/>
    <w:rsid w:val="0F8B17F6"/>
    <w:rsid w:val="0F9C62AB"/>
    <w:rsid w:val="0F9E175C"/>
    <w:rsid w:val="0FA270B4"/>
    <w:rsid w:val="0FA4224E"/>
    <w:rsid w:val="0FAB006A"/>
    <w:rsid w:val="0FAC7F39"/>
    <w:rsid w:val="0FB10A42"/>
    <w:rsid w:val="0FDA17CC"/>
    <w:rsid w:val="0FE53F92"/>
    <w:rsid w:val="0FE90290"/>
    <w:rsid w:val="0FED59A3"/>
    <w:rsid w:val="0FF67C3E"/>
    <w:rsid w:val="0FFC7697"/>
    <w:rsid w:val="10023466"/>
    <w:rsid w:val="100F5919"/>
    <w:rsid w:val="101E7BF6"/>
    <w:rsid w:val="10246EEB"/>
    <w:rsid w:val="10345524"/>
    <w:rsid w:val="10362DC0"/>
    <w:rsid w:val="103750DB"/>
    <w:rsid w:val="103A6D61"/>
    <w:rsid w:val="105656D9"/>
    <w:rsid w:val="105B5D71"/>
    <w:rsid w:val="106612B1"/>
    <w:rsid w:val="10661AAC"/>
    <w:rsid w:val="10663775"/>
    <w:rsid w:val="107069BA"/>
    <w:rsid w:val="10762B40"/>
    <w:rsid w:val="10810372"/>
    <w:rsid w:val="1099323E"/>
    <w:rsid w:val="109B53FF"/>
    <w:rsid w:val="109E60F6"/>
    <w:rsid w:val="10AA3894"/>
    <w:rsid w:val="10AD4E1F"/>
    <w:rsid w:val="10AE5B85"/>
    <w:rsid w:val="10B2256F"/>
    <w:rsid w:val="10B723C9"/>
    <w:rsid w:val="10BC1F12"/>
    <w:rsid w:val="10C8771B"/>
    <w:rsid w:val="10E2584A"/>
    <w:rsid w:val="10F770B9"/>
    <w:rsid w:val="10F9096F"/>
    <w:rsid w:val="1102232E"/>
    <w:rsid w:val="11045EE1"/>
    <w:rsid w:val="110C12EC"/>
    <w:rsid w:val="11186A50"/>
    <w:rsid w:val="11275806"/>
    <w:rsid w:val="112847B9"/>
    <w:rsid w:val="11456666"/>
    <w:rsid w:val="1152799A"/>
    <w:rsid w:val="11553800"/>
    <w:rsid w:val="115820C3"/>
    <w:rsid w:val="116210BA"/>
    <w:rsid w:val="116339D1"/>
    <w:rsid w:val="1165571B"/>
    <w:rsid w:val="1167461D"/>
    <w:rsid w:val="116972AB"/>
    <w:rsid w:val="1170063A"/>
    <w:rsid w:val="117A5014"/>
    <w:rsid w:val="1186377A"/>
    <w:rsid w:val="118925D3"/>
    <w:rsid w:val="11910B2A"/>
    <w:rsid w:val="11B60016"/>
    <w:rsid w:val="11BD1BAD"/>
    <w:rsid w:val="11C22644"/>
    <w:rsid w:val="11C73FD2"/>
    <w:rsid w:val="11C90F52"/>
    <w:rsid w:val="11CA68BF"/>
    <w:rsid w:val="11D53180"/>
    <w:rsid w:val="11DB182B"/>
    <w:rsid w:val="11DB47CB"/>
    <w:rsid w:val="11E52CB6"/>
    <w:rsid w:val="11EA5F58"/>
    <w:rsid w:val="11F254F3"/>
    <w:rsid w:val="11F84BB9"/>
    <w:rsid w:val="11FA7E4C"/>
    <w:rsid w:val="12144AEB"/>
    <w:rsid w:val="12185560"/>
    <w:rsid w:val="121B783C"/>
    <w:rsid w:val="12213A4B"/>
    <w:rsid w:val="12255CD4"/>
    <w:rsid w:val="12266F4A"/>
    <w:rsid w:val="122968D9"/>
    <w:rsid w:val="122E4051"/>
    <w:rsid w:val="1246013E"/>
    <w:rsid w:val="125A4E46"/>
    <w:rsid w:val="125B775D"/>
    <w:rsid w:val="12656690"/>
    <w:rsid w:val="126D4B79"/>
    <w:rsid w:val="126F08F1"/>
    <w:rsid w:val="12712954"/>
    <w:rsid w:val="127D5172"/>
    <w:rsid w:val="127E3DE4"/>
    <w:rsid w:val="12843C71"/>
    <w:rsid w:val="12872C68"/>
    <w:rsid w:val="1288550F"/>
    <w:rsid w:val="129C457B"/>
    <w:rsid w:val="12A01767"/>
    <w:rsid w:val="12A41E2E"/>
    <w:rsid w:val="12C5502F"/>
    <w:rsid w:val="12CE0BB5"/>
    <w:rsid w:val="12D47F8E"/>
    <w:rsid w:val="12DE2F04"/>
    <w:rsid w:val="12E52E35"/>
    <w:rsid w:val="12E6250F"/>
    <w:rsid w:val="12EF1689"/>
    <w:rsid w:val="12F80CC7"/>
    <w:rsid w:val="12FE1C75"/>
    <w:rsid w:val="13001549"/>
    <w:rsid w:val="130A1D43"/>
    <w:rsid w:val="1311486C"/>
    <w:rsid w:val="13123A12"/>
    <w:rsid w:val="13134ACB"/>
    <w:rsid w:val="13257202"/>
    <w:rsid w:val="132C67E2"/>
    <w:rsid w:val="133308DE"/>
    <w:rsid w:val="13367661"/>
    <w:rsid w:val="133B6A25"/>
    <w:rsid w:val="133E24DD"/>
    <w:rsid w:val="133E63BF"/>
    <w:rsid w:val="135E5661"/>
    <w:rsid w:val="136C36A0"/>
    <w:rsid w:val="13853604"/>
    <w:rsid w:val="138949F9"/>
    <w:rsid w:val="139F4E30"/>
    <w:rsid w:val="139F5206"/>
    <w:rsid w:val="13AC7923"/>
    <w:rsid w:val="13E011BA"/>
    <w:rsid w:val="13F15336"/>
    <w:rsid w:val="13FC4407"/>
    <w:rsid w:val="140275A9"/>
    <w:rsid w:val="14076BA8"/>
    <w:rsid w:val="140C37B9"/>
    <w:rsid w:val="140E16A8"/>
    <w:rsid w:val="14182A2A"/>
    <w:rsid w:val="141F1EA3"/>
    <w:rsid w:val="142A5125"/>
    <w:rsid w:val="142E6F34"/>
    <w:rsid w:val="14304FFA"/>
    <w:rsid w:val="143376FC"/>
    <w:rsid w:val="143F0CC5"/>
    <w:rsid w:val="145558C5"/>
    <w:rsid w:val="145E6E6F"/>
    <w:rsid w:val="147D4F92"/>
    <w:rsid w:val="14897C91"/>
    <w:rsid w:val="148A2C9A"/>
    <w:rsid w:val="14962256"/>
    <w:rsid w:val="14AB450A"/>
    <w:rsid w:val="14AC0B76"/>
    <w:rsid w:val="14B35F82"/>
    <w:rsid w:val="14B8240A"/>
    <w:rsid w:val="14BA1BA8"/>
    <w:rsid w:val="14BC1DE8"/>
    <w:rsid w:val="14BF2D3F"/>
    <w:rsid w:val="14C21E3B"/>
    <w:rsid w:val="14C67AFB"/>
    <w:rsid w:val="14D7452C"/>
    <w:rsid w:val="14E530ED"/>
    <w:rsid w:val="14ED01F3"/>
    <w:rsid w:val="14ED484E"/>
    <w:rsid w:val="14ED5843"/>
    <w:rsid w:val="14F70FF5"/>
    <w:rsid w:val="15032920"/>
    <w:rsid w:val="151439D2"/>
    <w:rsid w:val="151A411A"/>
    <w:rsid w:val="151B65FC"/>
    <w:rsid w:val="151C1DCA"/>
    <w:rsid w:val="152A4FA3"/>
    <w:rsid w:val="152E409F"/>
    <w:rsid w:val="15314652"/>
    <w:rsid w:val="153328BD"/>
    <w:rsid w:val="153E5E21"/>
    <w:rsid w:val="153F568C"/>
    <w:rsid w:val="15542020"/>
    <w:rsid w:val="156E1ACB"/>
    <w:rsid w:val="15701BB9"/>
    <w:rsid w:val="157035C4"/>
    <w:rsid w:val="15712BD2"/>
    <w:rsid w:val="15760409"/>
    <w:rsid w:val="1582093B"/>
    <w:rsid w:val="158703BA"/>
    <w:rsid w:val="15894CE1"/>
    <w:rsid w:val="158E5532"/>
    <w:rsid w:val="158F3058"/>
    <w:rsid w:val="1595558F"/>
    <w:rsid w:val="1597787A"/>
    <w:rsid w:val="159863B3"/>
    <w:rsid w:val="159A4C5C"/>
    <w:rsid w:val="159D39C7"/>
    <w:rsid w:val="15CB1E48"/>
    <w:rsid w:val="15D95D65"/>
    <w:rsid w:val="15DE5A70"/>
    <w:rsid w:val="15E51B78"/>
    <w:rsid w:val="15E93E01"/>
    <w:rsid w:val="15F66544"/>
    <w:rsid w:val="16004B79"/>
    <w:rsid w:val="160C46A9"/>
    <w:rsid w:val="16296B24"/>
    <w:rsid w:val="162E461F"/>
    <w:rsid w:val="162E75CC"/>
    <w:rsid w:val="16306774"/>
    <w:rsid w:val="16314110"/>
    <w:rsid w:val="163C4C29"/>
    <w:rsid w:val="1646419B"/>
    <w:rsid w:val="16465E0D"/>
    <w:rsid w:val="164E6A70"/>
    <w:rsid w:val="165764A9"/>
    <w:rsid w:val="165A3F0C"/>
    <w:rsid w:val="165D428C"/>
    <w:rsid w:val="16714EDD"/>
    <w:rsid w:val="16716242"/>
    <w:rsid w:val="1674502D"/>
    <w:rsid w:val="167D3682"/>
    <w:rsid w:val="167D6C24"/>
    <w:rsid w:val="167E22F8"/>
    <w:rsid w:val="1682657E"/>
    <w:rsid w:val="16827510"/>
    <w:rsid w:val="168C6E8D"/>
    <w:rsid w:val="168F7E12"/>
    <w:rsid w:val="16931292"/>
    <w:rsid w:val="169C0F78"/>
    <w:rsid w:val="16AD3CCD"/>
    <w:rsid w:val="16AF043B"/>
    <w:rsid w:val="16BB3429"/>
    <w:rsid w:val="16C54A69"/>
    <w:rsid w:val="16D725CF"/>
    <w:rsid w:val="16D74A36"/>
    <w:rsid w:val="16E573D4"/>
    <w:rsid w:val="16EF70D4"/>
    <w:rsid w:val="16F13FCB"/>
    <w:rsid w:val="16F97785"/>
    <w:rsid w:val="17000058"/>
    <w:rsid w:val="1700420E"/>
    <w:rsid w:val="170A3ED8"/>
    <w:rsid w:val="170D5CC4"/>
    <w:rsid w:val="17215F32"/>
    <w:rsid w:val="172D2B29"/>
    <w:rsid w:val="173E0892"/>
    <w:rsid w:val="17430EB3"/>
    <w:rsid w:val="17527FA4"/>
    <w:rsid w:val="175761FF"/>
    <w:rsid w:val="175A569D"/>
    <w:rsid w:val="175C045F"/>
    <w:rsid w:val="177C42CE"/>
    <w:rsid w:val="17956A47"/>
    <w:rsid w:val="1798391D"/>
    <w:rsid w:val="17A42169"/>
    <w:rsid w:val="17B62B1E"/>
    <w:rsid w:val="17C52AFB"/>
    <w:rsid w:val="17CB3F96"/>
    <w:rsid w:val="17CC0594"/>
    <w:rsid w:val="17E603C4"/>
    <w:rsid w:val="17EC02EE"/>
    <w:rsid w:val="17F12F10"/>
    <w:rsid w:val="17FB2C27"/>
    <w:rsid w:val="17FE4AAC"/>
    <w:rsid w:val="181109B7"/>
    <w:rsid w:val="18145A0D"/>
    <w:rsid w:val="18185587"/>
    <w:rsid w:val="182B30B6"/>
    <w:rsid w:val="183766D4"/>
    <w:rsid w:val="183C0DD2"/>
    <w:rsid w:val="1862727E"/>
    <w:rsid w:val="18930AC2"/>
    <w:rsid w:val="18B232E6"/>
    <w:rsid w:val="18B31317"/>
    <w:rsid w:val="18CA2B7F"/>
    <w:rsid w:val="18D05E62"/>
    <w:rsid w:val="18D33CA4"/>
    <w:rsid w:val="19000E9A"/>
    <w:rsid w:val="19103042"/>
    <w:rsid w:val="19173A91"/>
    <w:rsid w:val="192166BD"/>
    <w:rsid w:val="192E3215"/>
    <w:rsid w:val="193B229C"/>
    <w:rsid w:val="193F3921"/>
    <w:rsid w:val="19412BFE"/>
    <w:rsid w:val="1948000B"/>
    <w:rsid w:val="194F7996"/>
    <w:rsid w:val="1960649E"/>
    <w:rsid w:val="196A3BC0"/>
    <w:rsid w:val="196B6713"/>
    <w:rsid w:val="196C36C2"/>
    <w:rsid w:val="196C5B8A"/>
    <w:rsid w:val="19721E8A"/>
    <w:rsid w:val="197472D5"/>
    <w:rsid w:val="19831DCC"/>
    <w:rsid w:val="198A065A"/>
    <w:rsid w:val="198D27BE"/>
    <w:rsid w:val="199B6790"/>
    <w:rsid w:val="19A364CF"/>
    <w:rsid w:val="19B4308D"/>
    <w:rsid w:val="19C31523"/>
    <w:rsid w:val="19C33487"/>
    <w:rsid w:val="19C94420"/>
    <w:rsid w:val="19CA0467"/>
    <w:rsid w:val="19DA2BE1"/>
    <w:rsid w:val="19E05346"/>
    <w:rsid w:val="19EB0E49"/>
    <w:rsid w:val="19F41671"/>
    <w:rsid w:val="19FD105D"/>
    <w:rsid w:val="1A02204B"/>
    <w:rsid w:val="1A0A00C9"/>
    <w:rsid w:val="1A0C111B"/>
    <w:rsid w:val="1A1136AE"/>
    <w:rsid w:val="1A116732"/>
    <w:rsid w:val="1A1520AE"/>
    <w:rsid w:val="1A275223"/>
    <w:rsid w:val="1A2771D6"/>
    <w:rsid w:val="1A331C30"/>
    <w:rsid w:val="1A336C1E"/>
    <w:rsid w:val="1A367F46"/>
    <w:rsid w:val="1A4E5A90"/>
    <w:rsid w:val="1A512FED"/>
    <w:rsid w:val="1A570B02"/>
    <w:rsid w:val="1A5C123E"/>
    <w:rsid w:val="1A607DD7"/>
    <w:rsid w:val="1A6774E6"/>
    <w:rsid w:val="1A6D284D"/>
    <w:rsid w:val="1A80358B"/>
    <w:rsid w:val="1A8667BD"/>
    <w:rsid w:val="1A8B200C"/>
    <w:rsid w:val="1A956CF1"/>
    <w:rsid w:val="1A9941E3"/>
    <w:rsid w:val="1A9E31DD"/>
    <w:rsid w:val="1A9E44A3"/>
    <w:rsid w:val="1AA06ED8"/>
    <w:rsid w:val="1AA141FF"/>
    <w:rsid w:val="1AA17AB6"/>
    <w:rsid w:val="1AA42D85"/>
    <w:rsid w:val="1AAC69B5"/>
    <w:rsid w:val="1AAE7B07"/>
    <w:rsid w:val="1AAF7C6D"/>
    <w:rsid w:val="1ABE0417"/>
    <w:rsid w:val="1AC436A6"/>
    <w:rsid w:val="1ACC581E"/>
    <w:rsid w:val="1AD3193F"/>
    <w:rsid w:val="1AD627EF"/>
    <w:rsid w:val="1AD86238"/>
    <w:rsid w:val="1AE479A2"/>
    <w:rsid w:val="1AF5570C"/>
    <w:rsid w:val="1AFA6A9C"/>
    <w:rsid w:val="1AFD2812"/>
    <w:rsid w:val="1B131612"/>
    <w:rsid w:val="1B317B00"/>
    <w:rsid w:val="1B495A57"/>
    <w:rsid w:val="1B4D7C5F"/>
    <w:rsid w:val="1B707488"/>
    <w:rsid w:val="1B7A0AA9"/>
    <w:rsid w:val="1B7E1411"/>
    <w:rsid w:val="1B8F4A8D"/>
    <w:rsid w:val="1B9E3FF5"/>
    <w:rsid w:val="1BA553F0"/>
    <w:rsid w:val="1BAA299A"/>
    <w:rsid w:val="1BAD2058"/>
    <w:rsid w:val="1BB65A6F"/>
    <w:rsid w:val="1BC82E20"/>
    <w:rsid w:val="1BD815BE"/>
    <w:rsid w:val="1BE83F4F"/>
    <w:rsid w:val="1BEA4D5B"/>
    <w:rsid w:val="1C0302FC"/>
    <w:rsid w:val="1C142509"/>
    <w:rsid w:val="1C1F16EE"/>
    <w:rsid w:val="1C1F6B10"/>
    <w:rsid w:val="1C221F2A"/>
    <w:rsid w:val="1C2344FA"/>
    <w:rsid w:val="1C246E2F"/>
    <w:rsid w:val="1C286643"/>
    <w:rsid w:val="1C5B32F3"/>
    <w:rsid w:val="1C69492B"/>
    <w:rsid w:val="1C7A7B16"/>
    <w:rsid w:val="1C7B644A"/>
    <w:rsid w:val="1C7F10E3"/>
    <w:rsid w:val="1C837694"/>
    <w:rsid w:val="1C927A29"/>
    <w:rsid w:val="1C9F39A1"/>
    <w:rsid w:val="1C9F475A"/>
    <w:rsid w:val="1CA308FE"/>
    <w:rsid w:val="1CAC44F0"/>
    <w:rsid w:val="1CCD27DE"/>
    <w:rsid w:val="1CD06430"/>
    <w:rsid w:val="1CD25DDB"/>
    <w:rsid w:val="1CD81161"/>
    <w:rsid w:val="1CDD0B4D"/>
    <w:rsid w:val="1CE855C9"/>
    <w:rsid w:val="1CE974F2"/>
    <w:rsid w:val="1D061B33"/>
    <w:rsid w:val="1D0924B1"/>
    <w:rsid w:val="1D0B425E"/>
    <w:rsid w:val="1D245888"/>
    <w:rsid w:val="1D320CC5"/>
    <w:rsid w:val="1D3A00CA"/>
    <w:rsid w:val="1D3A5FA0"/>
    <w:rsid w:val="1D3F35B6"/>
    <w:rsid w:val="1D4110DC"/>
    <w:rsid w:val="1D444728"/>
    <w:rsid w:val="1D4961E3"/>
    <w:rsid w:val="1D4A3A19"/>
    <w:rsid w:val="1D4A5B59"/>
    <w:rsid w:val="1D50131F"/>
    <w:rsid w:val="1D6645D6"/>
    <w:rsid w:val="1D7023BC"/>
    <w:rsid w:val="1D7F2BF3"/>
    <w:rsid w:val="1D8315F9"/>
    <w:rsid w:val="1D845CE8"/>
    <w:rsid w:val="1D89551A"/>
    <w:rsid w:val="1D8B67FB"/>
    <w:rsid w:val="1DA1442D"/>
    <w:rsid w:val="1DA23326"/>
    <w:rsid w:val="1DAB37E2"/>
    <w:rsid w:val="1DAC4D52"/>
    <w:rsid w:val="1DB573D4"/>
    <w:rsid w:val="1DBB1717"/>
    <w:rsid w:val="1DCB2F5B"/>
    <w:rsid w:val="1DD67A76"/>
    <w:rsid w:val="1DDC7057"/>
    <w:rsid w:val="1DE32918"/>
    <w:rsid w:val="1DEB7D24"/>
    <w:rsid w:val="1E0565AE"/>
    <w:rsid w:val="1E1124CF"/>
    <w:rsid w:val="1E192DF2"/>
    <w:rsid w:val="1E1C5753"/>
    <w:rsid w:val="1E1E31CB"/>
    <w:rsid w:val="1E221057"/>
    <w:rsid w:val="1E23318F"/>
    <w:rsid w:val="1E2D4F19"/>
    <w:rsid w:val="1E3C6829"/>
    <w:rsid w:val="1E3F1E9B"/>
    <w:rsid w:val="1E407A47"/>
    <w:rsid w:val="1E450758"/>
    <w:rsid w:val="1E490AF9"/>
    <w:rsid w:val="1E4918BD"/>
    <w:rsid w:val="1E5872AA"/>
    <w:rsid w:val="1E5D5BA1"/>
    <w:rsid w:val="1E606CD7"/>
    <w:rsid w:val="1E625188"/>
    <w:rsid w:val="1E635A1F"/>
    <w:rsid w:val="1E6B7566"/>
    <w:rsid w:val="1E711282"/>
    <w:rsid w:val="1E783EF3"/>
    <w:rsid w:val="1E8223CA"/>
    <w:rsid w:val="1E82375A"/>
    <w:rsid w:val="1E8528CF"/>
    <w:rsid w:val="1E890F8D"/>
    <w:rsid w:val="1E8A0C48"/>
    <w:rsid w:val="1E8B5577"/>
    <w:rsid w:val="1E903CEC"/>
    <w:rsid w:val="1E91399D"/>
    <w:rsid w:val="1E9439C2"/>
    <w:rsid w:val="1E957931"/>
    <w:rsid w:val="1E9F0ACC"/>
    <w:rsid w:val="1EA37B56"/>
    <w:rsid w:val="1ECE699F"/>
    <w:rsid w:val="1ECE79DD"/>
    <w:rsid w:val="1ED94129"/>
    <w:rsid w:val="1EDE2574"/>
    <w:rsid w:val="1EE700E8"/>
    <w:rsid w:val="1EE77A61"/>
    <w:rsid w:val="1EF36C23"/>
    <w:rsid w:val="1EFA20E0"/>
    <w:rsid w:val="1EFD2393"/>
    <w:rsid w:val="1EFF124F"/>
    <w:rsid w:val="1F065EF2"/>
    <w:rsid w:val="1F0D11B3"/>
    <w:rsid w:val="1F110314"/>
    <w:rsid w:val="1F170F70"/>
    <w:rsid w:val="1F2C36C6"/>
    <w:rsid w:val="1F2E64B0"/>
    <w:rsid w:val="1F331BA6"/>
    <w:rsid w:val="1F3360E0"/>
    <w:rsid w:val="1F38206B"/>
    <w:rsid w:val="1F3B1407"/>
    <w:rsid w:val="1F404DD2"/>
    <w:rsid w:val="1F500E1F"/>
    <w:rsid w:val="1F5A7246"/>
    <w:rsid w:val="1F5C21FD"/>
    <w:rsid w:val="1F5F5356"/>
    <w:rsid w:val="1F6B6B09"/>
    <w:rsid w:val="1F6F3700"/>
    <w:rsid w:val="1F78274B"/>
    <w:rsid w:val="1F7D3F22"/>
    <w:rsid w:val="1F7E38EF"/>
    <w:rsid w:val="1F8B663F"/>
    <w:rsid w:val="1F937D4E"/>
    <w:rsid w:val="1F9B1C69"/>
    <w:rsid w:val="1FC72E8E"/>
    <w:rsid w:val="1FD03E69"/>
    <w:rsid w:val="1FD06EA3"/>
    <w:rsid w:val="1FE461F5"/>
    <w:rsid w:val="1FEE56C8"/>
    <w:rsid w:val="1FF044EA"/>
    <w:rsid w:val="1FF57654"/>
    <w:rsid w:val="1FF74D8F"/>
    <w:rsid w:val="1FFA7A84"/>
    <w:rsid w:val="200308CB"/>
    <w:rsid w:val="2011123A"/>
    <w:rsid w:val="20142AD8"/>
    <w:rsid w:val="201527B3"/>
    <w:rsid w:val="201B7F11"/>
    <w:rsid w:val="202B4E35"/>
    <w:rsid w:val="2040567B"/>
    <w:rsid w:val="2043516B"/>
    <w:rsid w:val="204F1D62"/>
    <w:rsid w:val="204F50E3"/>
    <w:rsid w:val="20531831"/>
    <w:rsid w:val="206B09C9"/>
    <w:rsid w:val="20740615"/>
    <w:rsid w:val="20791657"/>
    <w:rsid w:val="207C2DD4"/>
    <w:rsid w:val="207E61A3"/>
    <w:rsid w:val="20884A6F"/>
    <w:rsid w:val="208C266E"/>
    <w:rsid w:val="208C3A33"/>
    <w:rsid w:val="20A7394C"/>
    <w:rsid w:val="20A96358"/>
    <w:rsid w:val="20B028B9"/>
    <w:rsid w:val="20B82C45"/>
    <w:rsid w:val="20B83463"/>
    <w:rsid w:val="20C130C2"/>
    <w:rsid w:val="20CC30EE"/>
    <w:rsid w:val="20CD49BD"/>
    <w:rsid w:val="20D47DCE"/>
    <w:rsid w:val="20D51E07"/>
    <w:rsid w:val="20D9164A"/>
    <w:rsid w:val="20DA5073"/>
    <w:rsid w:val="20DA5ACF"/>
    <w:rsid w:val="20E22BD6"/>
    <w:rsid w:val="20F82C6C"/>
    <w:rsid w:val="20FA0A99"/>
    <w:rsid w:val="20FE18B0"/>
    <w:rsid w:val="2107361C"/>
    <w:rsid w:val="210D6AF8"/>
    <w:rsid w:val="210E6EDF"/>
    <w:rsid w:val="211C60E8"/>
    <w:rsid w:val="21283337"/>
    <w:rsid w:val="212925B3"/>
    <w:rsid w:val="212A1E87"/>
    <w:rsid w:val="212E1977"/>
    <w:rsid w:val="213673FE"/>
    <w:rsid w:val="214E5B76"/>
    <w:rsid w:val="215267DE"/>
    <w:rsid w:val="215313DE"/>
    <w:rsid w:val="215B0293"/>
    <w:rsid w:val="21676E41"/>
    <w:rsid w:val="216D0BA0"/>
    <w:rsid w:val="217537B9"/>
    <w:rsid w:val="2188552B"/>
    <w:rsid w:val="21902632"/>
    <w:rsid w:val="21924322"/>
    <w:rsid w:val="21964C43"/>
    <w:rsid w:val="219E4D4F"/>
    <w:rsid w:val="21A13B19"/>
    <w:rsid w:val="21A57AC0"/>
    <w:rsid w:val="21AF0D0A"/>
    <w:rsid w:val="21CC6CC6"/>
    <w:rsid w:val="21D0786F"/>
    <w:rsid w:val="21DF2D22"/>
    <w:rsid w:val="21E408A9"/>
    <w:rsid w:val="21EA6F2F"/>
    <w:rsid w:val="21EC1864"/>
    <w:rsid w:val="21EF3EC7"/>
    <w:rsid w:val="21F204F5"/>
    <w:rsid w:val="21F430C2"/>
    <w:rsid w:val="21FF50C2"/>
    <w:rsid w:val="220041D9"/>
    <w:rsid w:val="220A5F40"/>
    <w:rsid w:val="220B1D86"/>
    <w:rsid w:val="220B3CA8"/>
    <w:rsid w:val="22123047"/>
    <w:rsid w:val="2219330B"/>
    <w:rsid w:val="221C2118"/>
    <w:rsid w:val="22286A32"/>
    <w:rsid w:val="22361059"/>
    <w:rsid w:val="2238523E"/>
    <w:rsid w:val="22435553"/>
    <w:rsid w:val="225455D2"/>
    <w:rsid w:val="227331B1"/>
    <w:rsid w:val="22775899"/>
    <w:rsid w:val="227D2BB6"/>
    <w:rsid w:val="229B41DA"/>
    <w:rsid w:val="22A53EBB"/>
    <w:rsid w:val="22B57049"/>
    <w:rsid w:val="22F46501"/>
    <w:rsid w:val="22FD7EBA"/>
    <w:rsid w:val="230633CA"/>
    <w:rsid w:val="230C1041"/>
    <w:rsid w:val="230F0CBA"/>
    <w:rsid w:val="23163D80"/>
    <w:rsid w:val="231D7E1D"/>
    <w:rsid w:val="232667AF"/>
    <w:rsid w:val="232C1EE7"/>
    <w:rsid w:val="23305E7B"/>
    <w:rsid w:val="234207E5"/>
    <w:rsid w:val="23474AD7"/>
    <w:rsid w:val="23494ECF"/>
    <w:rsid w:val="234B3BF9"/>
    <w:rsid w:val="234E4979"/>
    <w:rsid w:val="2352435A"/>
    <w:rsid w:val="23542AC1"/>
    <w:rsid w:val="236203FB"/>
    <w:rsid w:val="23645B24"/>
    <w:rsid w:val="236D42CA"/>
    <w:rsid w:val="2374336A"/>
    <w:rsid w:val="237613B4"/>
    <w:rsid w:val="238910E7"/>
    <w:rsid w:val="239A1546"/>
    <w:rsid w:val="23B1211E"/>
    <w:rsid w:val="23C81659"/>
    <w:rsid w:val="23D039F6"/>
    <w:rsid w:val="23D20CE0"/>
    <w:rsid w:val="23D51059"/>
    <w:rsid w:val="23DB4530"/>
    <w:rsid w:val="23EB7FF4"/>
    <w:rsid w:val="23ED78C8"/>
    <w:rsid w:val="23F43032"/>
    <w:rsid w:val="23FA133C"/>
    <w:rsid w:val="240B5FA0"/>
    <w:rsid w:val="24100849"/>
    <w:rsid w:val="24116CB2"/>
    <w:rsid w:val="24122984"/>
    <w:rsid w:val="24194B61"/>
    <w:rsid w:val="242F6132"/>
    <w:rsid w:val="24336E73"/>
    <w:rsid w:val="243B6690"/>
    <w:rsid w:val="24430826"/>
    <w:rsid w:val="24477478"/>
    <w:rsid w:val="244839EA"/>
    <w:rsid w:val="244C4E24"/>
    <w:rsid w:val="245C4A4D"/>
    <w:rsid w:val="24635A19"/>
    <w:rsid w:val="246C4A50"/>
    <w:rsid w:val="24780534"/>
    <w:rsid w:val="247F3A70"/>
    <w:rsid w:val="2480073C"/>
    <w:rsid w:val="24850BE6"/>
    <w:rsid w:val="24B16B47"/>
    <w:rsid w:val="24C778B4"/>
    <w:rsid w:val="24D25EE9"/>
    <w:rsid w:val="24D32F62"/>
    <w:rsid w:val="24D40A88"/>
    <w:rsid w:val="24D61CD0"/>
    <w:rsid w:val="24DC16EA"/>
    <w:rsid w:val="24E64719"/>
    <w:rsid w:val="24EE3D24"/>
    <w:rsid w:val="24F030F2"/>
    <w:rsid w:val="24F14CA9"/>
    <w:rsid w:val="2503311B"/>
    <w:rsid w:val="250467D9"/>
    <w:rsid w:val="250A44A9"/>
    <w:rsid w:val="250A5253"/>
    <w:rsid w:val="25122D5D"/>
    <w:rsid w:val="251D3FC0"/>
    <w:rsid w:val="25254322"/>
    <w:rsid w:val="25261647"/>
    <w:rsid w:val="25275183"/>
    <w:rsid w:val="252E4B0E"/>
    <w:rsid w:val="25357D1C"/>
    <w:rsid w:val="25381CE0"/>
    <w:rsid w:val="253B0B07"/>
    <w:rsid w:val="253D2630"/>
    <w:rsid w:val="25467197"/>
    <w:rsid w:val="254774AC"/>
    <w:rsid w:val="25513E86"/>
    <w:rsid w:val="25560250"/>
    <w:rsid w:val="255761C5"/>
    <w:rsid w:val="2563762C"/>
    <w:rsid w:val="257007B0"/>
    <w:rsid w:val="257D2ECD"/>
    <w:rsid w:val="257E5B91"/>
    <w:rsid w:val="25821466"/>
    <w:rsid w:val="25842805"/>
    <w:rsid w:val="25870A1F"/>
    <w:rsid w:val="25873D4C"/>
    <w:rsid w:val="259322B4"/>
    <w:rsid w:val="25965391"/>
    <w:rsid w:val="25A53853"/>
    <w:rsid w:val="25A6572B"/>
    <w:rsid w:val="25AE3087"/>
    <w:rsid w:val="25AF5988"/>
    <w:rsid w:val="25BC6855"/>
    <w:rsid w:val="25BE30F8"/>
    <w:rsid w:val="25C52C92"/>
    <w:rsid w:val="25D06895"/>
    <w:rsid w:val="25DA526E"/>
    <w:rsid w:val="25EC2454"/>
    <w:rsid w:val="25EE5B79"/>
    <w:rsid w:val="26197F8E"/>
    <w:rsid w:val="261E6BA2"/>
    <w:rsid w:val="262F7F34"/>
    <w:rsid w:val="263712CE"/>
    <w:rsid w:val="26385E8A"/>
    <w:rsid w:val="263A60C4"/>
    <w:rsid w:val="263E265D"/>
    <w:rsid w:val="26607A60"/>
    <w:rsid w:val="266D4CF0"/>
    <w:rsid w:val="26773DC1"/>
    <w:rsid w:val="268931AA"/>
    <w:rsid w:val="269F41B3"/>
    <w:rsid w:val="26A175D1"/>
    <w:rsid w:val="26B90BBD"/>
    <w:rsid w:val="26BB452E"/>
    <w:rsid w:val="26C443E1"/>
    <w:rsid w:val="26CD1C32"/>
    <w:rsid w:val="26D0702D"/>
    <w:rsid w:val="26DB30B5"/>
    <w:rsid w:val="26DD00C8"/>
    <w:rsid w:val="26DF742E"/>
    <w:rsid w:val="26F074B1"/>
    <w:rsid w:val="270A253F"/>
    <w:rsid w:val="270C4FC5"/>
    <w:rsid w:val="27127645"/>
    <w:rsid w:val="272301A4"/>
    <w:rsid w:val="27244E5A"/>
    <w:rsid w:val="273121F9"/>
    <w:rsid w:val="27354EC1"/>
    <w:rsid w:val="273B34AE"/>
    <w:rsid w:val="274C735D"/>
    <w:rsid w:val="274E0EEF"/>
    <w:rsid w:val="2755492F"/>
    <w:rsid w:val="27555BC1"/>
    <w:rsid w:val="27565140"/>
    <w:rsid w:val="276B5663"/>
    <w:rsid w:val="276F5D75"/>
    <w:rsid w:val="276F6846"/>
    <w:rsid w:val="278D3D61"/>
    <w:rsid w:val="2791112C"/>
    <w:rsid w:val="279679E3"/>
    <w:rsid w:val="27B33C90"/>
    <w:rsid w:val="27BA131D"/>
    <w:rsid w:val="27BD1CA7"/>
    <w:rsid w:val="27BD3EC2"/>
    <w:rsid w:val="27C313CD"/>
    <w:rsid w:val="27C61578"/>
    <w:rsid w:val="27CB7F20"/>
    <w:rsid w:val="27DB6949"/>
    <w:rsid w:val="27DD762A"/>
    <w:rsid w:val="27ED7B74"/>
    <w:rsid w:val="27F22FBA"/>
    <w:rsid w:val="27F92A22"/>
    <w:rsid w:val="27FB46DA"/>
    <w:rsid w:val="28044637"/>
    <w:rsid w:val="28275AF0"/>
    <w:rsid w:val="283D6944"/>
    <w:rsid w:val="28427C92"/>
    <w:rsid w:val="28475108"/>
    <w:rsid w:val="284B3726"/>
    <w:rsid w:val="284F17D4"/>
    <w:rsid w:val="284F1B04"/>
    <w:rsid w:val="28575047"/>
    <w:rsid w:val="28745BEF"/>
    <w:rsid w:val="2880617F"/>
    <w:rsid w:val="28817483"/>
    <w:rsid w:val="288307FB"/>
    <w:rsid w:val="288376B0"/>
    <w:rsid w:val="288D5494"/>
    <w:rsid w:val="288E20B9"/>
    <w:rsid w:val="28AB23FE"/>
    <w:rsid w:val="28B62261"/>
    <w:rsid w:val="28B975DD"/>
    <w:rsid w:val="28C76B60"/>
    <w:rsid w:val="28CE372B"/>
    <w:rsid w:val="28D5368A"/>
    <w:rsid w:val="28E61013"/>
    <w:rsid w:val="28F12CF2"/>
    <w:rsid w:val="28F827CB"/>
    <w:rsid w:val="28F90ABD"/>
    <w:rsid w:val="28FB2A87"/>
    <w:rsid w:val="290F7FEC"/>
    <w:rsid w:val="29143B49"/>
    <w:rsid w:val="291753F8"/>
    <w:rsid w:val="29290B96"/>
    <w:rsid w:val="292B0388"/>
    <w:rsid w:val="292E2EDE"/>
    <w:rsid w:val="293F5790"/>
    <w:rsid w:val="294A10CA"/>
    <w:rsid w:val="294F725A"/>
    <w:rsid w:val="29512576"/>
    <w:rsid w:val="29514455"/>
    <w:rsid w:val="29591B52"/>
    <w:rsid w:val="29593727"/>
    <w:rsid w:val="296070AC"/>
    <w:rsid w:val="29696464"/>
    <w:rsid w:val="297445E7"/>
    <w:rsid w:val="297F67EF"/>
    <w:rsid w:val="298C36DF"/>
    <w:rsid w:val="299010C2"/>
    <w:rsid w:val="299041AF"/>
    <w:rsid w:val="29997556"/>
    <w:rsid w:val="29AD4EDD"/>
    <w:rsid w:val="29CC761E"/>
    <w:rsid w:val="29DE0E87"/>
    <w:rsid w:val="29E05449"/>
    <w:rsid w:val="29E24ED4"/>
    <w:rsid w:val="29EE3795"/>
    <w:rsid w:val="29F13DA9"/>
    <w:rsid w:val="29FE4E85"/>
    <w:rsid w:val="2A056A4F"/>
    <w:rsid w:val="2A390B59"/>
    <w:rsid w:val="2A3E73D9"/>
    <w:rsid w:val="2A502A30"/>
    <w:rsid w:val="2A502FEB"/>
    <w:rsid w:val="2A596352"/>
    <w:rsid w:val="2A6D1172"/>
    <w:rsid w:val="2A71692E"/>
    <w:rsid w:val="2A83594F"/>
    <w:rsid w:val="2A8A2271"/>
    <w:rsid w:val="2A8B37C2"/>
    <w:rsid w:val="2AB71864"/>
    <w:rsid w:val="2ABA427C"/>
    <w:rsid w:val="2AC633CF"/>
    <w:rsid w:val="2AD551AF"/>
    <w:rsid w:val="2AD9612A"/>
    <w:rsid w:val="2AE24705"/>
    <w:rsid w:val="2AF23A16"/>
    <w:rsid w:val="2AF75AE0"/>
    <w:rsid w:val="2AF91248"/>
    <w:rsid w:val="2B0100FD"/>
    <w:rsid w:val="2B081734"/>
    <w:rsid w:val="2B09317D"/>
    <w:rsid w:val="2B116592"/>
    <w:rsid w:val="2B181536"/>
    <w:rsid w:val="2B2C6BA2"/>
    <w:rsid w:val="2B341EF0"/>
    <w:rsid w:val="2B3D4992"/>
    <w:rsid w:val="2B3D7387"/>
    <w:rsid w:val="2B4F631D"/>
    <w:rsid w:val="2B544339"/>
    <w:rsid w:val="2B5B15BB"/>
    <w:rsid w:val="2B634FBD"/>
    <w:rsid w:val="2B764647"/>
    <w:rsid w:val="2B830CED"/>
    <w:rsid w:val="2B842931"/>
    <w:rsid w:val="2B842DE8"/>
    <w:rsid w:val="2B8815F9"/>
    <w:rsid w:val="2B8F1669"/>
    <w:rsid w:val="2B960AC3"/>
    <w:rsid w:val="2B9C3BC7"/>
    <w:rsid w:val="2BA75E7D"/>
    <w:rsid w:val="2BAE2033"/>
    <w:rsid w:val="2BBD4024"/>
    <w:rsid w:val="2BCA6741"/>
    <w:rsid w:val="2BDD1F05"/>
    <w:rsid w:val="2BDF043E"/>
    <w:rsid w:val="2BE772F2"/>
    <w:rsid w:val="2BEE68D3"/>
    <w:rsid w:val="2BFB4ED7"/>
    <w:rsid w:val="2C091017"/>
    <w:rsid w:val="2C093EC7"/>
    <w:rsid w:val="2C181352"/>
    <w:rsid w:val="2C1D1E6D"/>
    <w:rsid w:val="2C2045B2"/>
    <w:rsid w:val="2C210A56"/>
    <w:rsid w:val="2C22657D"/>
    <w:rsid w:val="2C2E0D4E"/>
    <w:rsid w:val="2C2E1BA9"/>
    <w:rsid w:val="2C31056E"/>
    <w:rsid w:val="2C493B09"/>
    <w:rsid w:val="2C5156A9"/>
    <w:rsid w:val="2C5A7AC4"/>
    <w:rsid w:val="2C66290D"/>
    <w:rsid w:val="2C703257"/>
    <w:rsid w:val="2C710EE2"/>
    <w:rsid w:val="2C797E8C"/>
    <w:rsid w:val="2C8248C9"/>
    <w:rsid w:val="2C895EB5"/>
    <w:rsid w:val="2C981092"/>
    <w:rsid w:val="2C9D3A89"/>
    <w:rsid w:val="2CAC0E9E"/>
    <w:rsid w:val="2CB2345D"/>
    <w:rsid w:val="2CB92402"/>
    <w:rsid w:val="2CC2337F"/>
    <w:rsid w:val="2CC3566A"/>
    <w:rsid w:val="2CE77338"/>
    <w:rsid w:val="2CEC5E40"/>
    <w:rsid w:val="2CF70E34"/>
    <w:rsid w:val="2D080F36"/>
    <w:rsid w:val="2D0B6A5D"/>
    <w:rsid w:val="2D11433C"/>
    <w:rsid w:val="2D123224"/>
    <w:rsid w:val="2D2154E0"/>
    <w:rsid w:val="2D2D1B91"/>
    <w:rsid w:val="2D3043FB"/>
    <w:rsid w:val="2D455999"/>
    <w:rsid w:val="2D4C0AA8"/>
    <w:rsid w:val="2D560DCD"/>
    <w:rsid w:val="2D8A7EAC"/>
    <w:rsid w:val="2D960361"/>
    <w:rsid w:val="2DA326E8"/>
    <w:rsid w:val="2DBB27E5"/>
    <w:rsid w:val="2DC02F4C"/>
    <w:rsid w:val="2DC1265E"/>
    <w:rsid w:val="2DCC46A5"/>
    <w:rsid w:val="2DD60AAE"/>
    <w:rsid w:val="2DEA3ADD"/>
    <w:rsid w:val="2DEC6E42"/>
    <w:rsid w:val="2E060D0E"/>
    <w:rsid w:val="2E0C4DEE"/>
    <w:rsid w:val="2E144526"/>
    <w:rsid w:val="2E1562CD"/>
    <w:rsid w:val="2E2111E7"/>
    <w:rsid w:val="2E230AA6"/>
    <w:rsid w:val="2E2312BE"/>
    <w:rsid w:val="2E262354"/>
    <w:rsid w:val="2E2843FB"/>
    <w:rsid w:val="2E294772"/>
    <w:rsid w:val="2E2E799A"/>
    <w:rsid w:val="2E3063D5"/>
    <w:rsid w:val="2E336C50"/>
    <w:rsid w:val="2E400F3C"/>
    <w:rsid w:val="2E4B2482"/>
    <w:rsid w:val="2E57625B"/>
    <w:rsid w:val="2E5B0E2E"/>
    <w:rsid w:val="2E6279C6"/>
    <w:rsid w:val="2E635A59"/>
    <w:rsid w:val="2E890A2A"/>
    <w:rsid w:val="2EAA5F11"/>
    <w:rsid w:val="2EB72AA3"/>
    <w:rsid w:val="2EB775B3"/>
    <w:rsid w:val="2EC600FF"/>
    <w:rsid w:val="2EC639EA"/>
    <w:rsid w:val="2EC733AD"/>
    <w:rsid w:val="2ECB4CA9"/>
    <w:rsid w:val="2ED27DE6"/>
    <w:rsid w:val="2EE44AA2"/>
    <w:rsid w:val="2EE45D6B"/>
    <w:rsid w:val="2EEE2BA1"/>
    <w:rsid w:val="2EF16F7E"/>
    <w:rsid w:val="2EF17594"/>
    <w:rsid w:val="2EFB6DA3"/>
    <w:rsid w:val="2EFE507F"/>
    <w:rsid w:val="2EFF2BA5"/>
    <w:rsid w:val="2F0C4C23"/>
    <w:rsid w:val="2F1C5505"/>
    <w:rsid w:val="2F261EE0"/>
    <w:rsid w:val="2F394689"/>
    <w:rsid w:val="2F3B0811"/>
    <w:rsid w:val="2F594288"/>
    <w:rsid w:val="2F5E761D"/>
    <w:rsid w:val="2F6110DD"/>
    <w:rsid w:val="2F62059B"/>
    <w:rsid w:val="2F66436B"/>
    <w:rsid w:val="2F6856D6"/>
    <w:rsid w:val="2F75131F"/>
    <w:rsid w:val="2F806FFC"/>
    <w:rsid w:val="2F843AFF"/>
    <w:rsid w:val="2F8512FC"/>
    <w:rsid w:val="2F856F8B"/>
    <w:rsid w:val="2F987F32"/>
    <w:rsid w:val="2FA86D99"/>
    <w:rsid w:val="2FAD5F0B"/>
    <w:rsid w:val="2FB120F1"/>
    <w:rsid w:val="2FBA5EDC"/>
    <w:rsid w:val="2FBE78D3"/>
    <w:rsid w:val="2FC736C3"/>
    <w:rsid w:val="2FCD3757"/>
    <w:rsid w:val="2FCF25FE"/>
    <w:rsid w:val="2FD609D6"/>
    <w:rsid w:val="2FDB0F1C"/>
    <w:rsid w:val="2FDE27BA"/>
    <w:rsid w:val="2FE74BAE"/>
    <w:rsid w:val="2FF540FA"/>
    <w:rsid w:val="2FF54C06"/>
    <w:rsid w:val="2FFE2E5D"/>
    <w:rsid w:val="30003A4C"/>
    <w:rsid w:val="30030473"/>
    <w:rsid w:val="30040A11"/>
    <w:rsid w:val="30146793"/>
    <w:rsid w:val="30147BBD"/>
    <w:rsid w:val="301B7CA8"/>
    <w:rsid w:val="30466CDD"/>
    <w:rsid w:val="305731A1"/>
    <w:rsid w:val="306164E3"/>
    <w:rsid w:val="306F0A59"/>
    <w:rsid w:val="3082680F"/>
    <w:rsid w:val="30894E1C"/>
    <w:rsid w:val="309243C0"/>
    <w:rsid w:val="309E140D"/>
    <w:rsid w:val="30A457B2"/>
    <w:rsid w:val="30AD45FE"/>
    <w:rsid w:val="30B52A83"/>
    <w:rsid w:val="30B755D1"/>
    <w:rsid w:val="30C9346B"/>
    <w:rsid w:val="30C95EA8"/>
    <w:rsid w:val="30E7256B"/>
    <w:rsid w:val="30F073BE"/>
    <w:rsid w:val="31012C04"/>
    <w:rsid w:val="310668FC"/>
    <w:rsid w:val="310E70CF"/>
    <w:rsid w:val="311C4090"/>
    <w:rsid w:val="31327262"/>
    <w:rsid w:val="31375948"/>
    <w:rsid w:val="31381BD0"/>
    <w:rsid w:val="313F4FFA"/>
    <w:rsid w:val="31402948"/>
    <w:rsid w:val="314760EE"/>
    <w:rsid w:val="315076E8"/>
    <w:rsid w:val="315A745C"/>
    <w:rsid w:val="315B61CA"/>
    <w:rsid w:val="31634B42"/>
    <w:rsid w:val="317319DE"/>
    <w:rsid w:val="319A665C"/>
    <w:rsid w:val="31A72A29"/>
    <w:rsid w:val="31AD2471"/>
    <w:rsid w:val="31AD7BE9"/>
    <w:rsid w:val="31B50B0C"/>
    <w:rsid w:val="31B859A2"/>
    <w:rsid w:val="31C07AE8"/>
    <w:rsid w:val="31C75008"/>
    <w:rsid w:val="31D50D66"/>
    <w:rsid w:val="31DA4405"/>
    <w:rsid w:val="31DB16A7"/>
    <w:rsid w:val="31F2450F"/>
    <w:rsid w:val="32087FC3"/>
    <w:rsid w:val="32143204"/>
    <w:rsid w:val="32186458"/>
    <w:rsid w:val="321E77E6"/>
    <w:rsid w:val="321F3CD8"/>
    <w:rsid w:val="32236288"/>
    <w:rsid w:val="322D1335"/>
    <w:rsid w:val="324C2981"/>
    <w:rsid w:val="32544FB6"/>
    <w:rsid w:val="3260443B"/>
    <w:rsid w:val="32672F3B"/>
    <w:rsid w:val="32676A97"/>
    <w:rsid w:val="32751B8C"/>
    <w:rsid w:val="327A1535"/>
    <w:rsid w:val="327F76D8"/>
    <w:rsid w:val="32851613"/>
    <w:rsid w:val="328714F2"/>
    <w:rsid w:val="3288246C"/>
    <w:rsid w:val="32926B0B"/>
    <w:rsid w:val="329454D3"/>
    <w:rsid w:val="32A63A63"/>
    <w:rsid w:val="32A95302"/>
    <w:rsid w:val="32AF0265"/>
    <w:rsid w:val="32B77AC3"/>
    <w:rsid w:val="32BE5501"/>
    <w:rsid w:val="32D47F84"/>
    <w:rsid w:val="32D87995"/>
    <w:rsid w:val="32D92259"/>
    <w:rsid w:val="32D92CDB"/>
    <w:rsid w:val="32DA6D7E"/>
    <w:rsid w:val="32DB1C5F"/>
    <w:rsid w:val="32EA681C"/>
    <w:rsid w:val="32EC5C70"/>
    <w:rsid w:val="32EE1841"/>
    <w:rsid w:val="32FF4F22"/>
    <w:rsid w:val="33014A95"/>
    <w:rsid w:val="33022C64"/>
    <w:rsid w:val="3308789D"/>
    <w:rsid w:val="33095DA0"/>
    <w:rsid w:val="331462D9"/>
    <w:rsid w:val="331A61FF"/>
    <w:rsid w:val="331D2CEA"/>
    <w:rsid w:val="332B3F69"/>
    <w:rsid w:val="332C69B5"/>
    <w:rsid w:val="3341340F"/>
    <w:rsid w:val="33460345"/>
    <w:rsid w:val="334D3EDF"/>
    <w:rsid w:val="33514C1C"/>
    <w:rsid w:val="33580FD6"/>
    <w:rsid w:val="335C57D6"/>
    <w:rsid w:val="337B4EF0"/>
    <w:rsid w:val="33812D41"/>
    <w:rsid w:val="33835B53"/>
    <w:rsid w:val="33941B0E"/>
    <w:rsid w:val="33B3190A"/>
    <w:rsid w:val="33B51A84"/>
    <w:rsid w:val="33B55D30"/>
    <w:rsid w:val="33C42EFC"/>
    <w:rsid w:val="33C61EE3"/>
    <w:rsid w:val="33CC5059"/>
    <w:rsid w:val="33D068BE"/>
    <w:rsid w:val="33D72BA4"/>
    <w:rsid w:val="33E915F3"/>
    <w:rsid w:val="33F14E3F"/>
    <w:rsid w:val="33F43719"/>
    <w:rsid w:val="33FE6037"/>
    <w:rsid w:val="34002C60"/>
    <w:rsid w:val="34224B16"/>
    <w:rsid w:val="343017E0"/>
    <w:rsid w:val="34355D35"/>
    <w:rsid w:val="344057F2"/>
    <w:rsid w:val="344175CA"/>
    <w:rsid w:val="34470F4D"/>
    <w:rsid w:val="344D7F0F"/>
    <w:rsid w:val="3458039D"/>
    <w:rsid w:val="34593FB8"/>
    <w:rsid w:val="345A3198"/>
    <w:rsid w:val="34757B91"/>
    <w:rsid w:val="34790259"/>
    <w:rsid w:val="347D07F4"/>
    <w:rsid w:val="347E1FD2"/>
    <w:rsid w:val="34833825"/>
    <w:rsid w:val="348558FB"/>
    <w:rsid w:val="348E2A01"/>
    <w:rsid w:val="3490711A"/>
    <w:rsid w:val="34A246FE"/>
    <w:rsid w:val="34A843EE"/>
    <w:rsid w:val="34AE2A73"/>
    <w:rsid w:val="34BD32E6"/>
    <w:rsid w:val="34C3033B"/>
    <w:rsid w:val="34C40D15"/>
    <w:rsid w:val="34C617CF"/>
    <w:rsid w:val="34CD748C"/>
    <w:rsid w:val="34DB5183"/>
    <w:rsid w:val="34DC3ECC"/>
    <w:rsid w:val="34E24AFB"/>
    <w:rsid w:val="34E54528"/>
    <w:rsid w:val="34EB675E"/>
    <w:rsid w:val="34F307F6"/>
    <w:rsid w:val="350411D9"/>
    <w:rsid w:val="350902DA"/>
    <w:rsid w:val="35132F06"/>
    <w:rsid w:val="35144DC0"/>
    <w:rsid w:val="3518051D"/>
    <w:rsid w:val="352132DA"/>
    <w:rsid w:val="35284C04"/>
    <w:rsid w:val="35310C1F"/>
    <w:rsid w:val="35397B62"/>
    <w:rsid w:val="353A4937"/>
    <w:rsid w:val="354567EF"/>
    <w:rsid w:val="354D5B85"/>
    <w:rsid w:val="35703BE5"/>
    <w:rsid w:val="35707279"/>
    <w:rsid w:val="35717B19"/>
    <w:rsid w:val="3578720D"/>
    <w:rsid w:val="357D4824"/>
    <w:rsid w:val="358160C2"/>
    <w:rsid w:val="35902DB7"/>
    <w:rsid w:val="35A27F45"/>
    <w:rsid w:val="35A623D8"/>
    <w:rsid w:val="35AD1CD3"/>
    <w:rsid w:val="35AF0108"/>
    <w:rsid w:val="35B12CA3"/>
    <w:rsid w:val="35C169CA"/>
    <w:rsid w:val="35CA69B5"/>
    <w:rsid w:val="35D346B8"/>
    <w:rsid w:val="35E421F9"/>
    <w:rsid w:val="35F13CF7"/>
    <w:rsid w:val="35F26C21"/>
    <w:rsid w:val="35FC0F9C"/>
    <w:rsid w:val="36120683"/>
    <w:rsid w:val="361909F0"/>
    <w:rsid w:val="36262C62"/>
    <w:rsid w:val="36294A38"/>
    <w:rsid w:val="362A49AB"/>
    <w:rsid w:val="362B3081"/>
    <w:rsid w:val="36326BC5"/>
    <w:rsid w:val="36402219"/>
    <w:rsid w:val="36407D2B"/>
    <w:rsid w:val="3649562D"/>
    <w:rsid w:val="36631BE4"/>
    <w:rsid w:val="36726A24"/>
    <w:rsid w:val="36747A1D"/>
    <w:rsid w:val="36792EB9"/>
    <w:rsid w:val="367D0F7F"/>
    <w:rsid w:val="368A5F83"/>
    <w:rsid w:val="368D6C58"/>
    <w:rsid w:val="368E703A"/>
    <w:rsid w:val="369F292C"/>
    <w:rsid w:val="36A97957"/>
    <w:rsid w:val="36C4095C"/>
    <w:rsid w:val="36D64360"/>
    <w:rsid w:val="36E20E99"/>
    <w:rsid w:val="36E515F1"/>
    <w:rsid w:val="36E763F9"/>
    <w:rsid w:val="36E82F71"/>
    <w:rsid w:val="36E903C3"/>
    <w:rsid w:val="36FB1EA4"/>
    <w:rsid w:val="370944C7"/>
    <w:rsid w:val="370C7B03"/>
    <w:rsid w:val="37214898"/>
    <w:rsid w:val="37255FFD"/>
    <w:rsid w:val="37323B03"/>
    <w:rsid w:val="37384EAB"/>
    <w:rsid w:val="374019EB"/>
    <w:rsid w:val="3747333B"/>
    <w:rsid w:val="37494B6F"/>
    <w:rsid w:val="374A4436"/>
    <w:rsid w:val="374A6F7B"/>
    <w:rsid w:val="374C6AA7"/>
    <w:rsid w:val="374E2388"/>
    <w:rsid w:val="375430B6"/>
    <w:rsid w:val="37697507"/>
    <w:rsid w:val="377048B9"/>
    <w:rsid w:val="3776710C"/>
    <w:rsid w:val="379540A7"/>
    <w:rsid w:val="379C34DB"/>
    <w:rsid w:val="37A662B4"/>
    <w:rsid w:val="37AC319E"/>
    <w:rsid w:val="37B501E5"/>
    <w:rsid w:val="37C96CE5"/>
    <w:rsid w:val="37CA566B"/>
    <w:rsid w:val="37D2672A"/>
    <w:rsid w:val="37D3697D"/>
    <w:rsid w:val="37E172EC"/>
    <w:rsid w:val="37E623B5"/>
    <w:rsid w:val="37E82428"/>
    <w:rsid w:val="37E87724"/>
    <w:rsid w:val="37F222D9"/>
    <w:rsid w:val="37FA50C2"/>
    <w:rsid w:val="38003798"/>
    <w:rsid w:val="380803DD"/>
    <w:rsid w:val="38080D1C"/>
    <w:rsid w:val="380D40C9"/>
    <w:rsid w:val="380E46BF"/>
    <w:rsid w:val="38170F5F"/>
    <w:rsid w:val="38194CD8"/>
    <w:rsid w:val="38234CA6"/>
    <w:rsid w:val="38241F15"/>
    <w:rsid w:val="38292433"/>
    <w:rsid w:val="382F0AB9"/>
    <w:rsid w:val="38313807"/>
    <w:rsid w:val="383832E4"/>
    <w:rsid w:val="38412DA1"/>
    <w:rsid w:val="384A512D"/>
    <w:rsid w:val="3853724F"/>
    <w:rsid w:val="385623AC"/>
    <w:rsid w:val="386341A5"/>
    <w:rsid w:val="387A2D4D"/>
    <w:rsid w:val="388163D9"/>
    <w:rsid w:val="389A08FE"/>
    <w:rsid w:val="389D14F6"/>
    <w:rsid w:val="38A241A6"/>
    <w:rsid w:val="38A464F9"/>
    <w:rsid w:val="38A528A2"/>
    <w:rsid w:val="38A677FE"/>
    <w:rsid w:val="38AA5930"/>
    <w:rsid w:val="38AE268C"/>
    <w:rsid w:val="38B14F10"/>
    <w:rsid w:val="38D4441C"/>
    <w:rsid w:val="38E52E0C"/>
    <w:rsid w:val="38FA30DF"/>
    <w:rsid w:val="39046EC4"/>
    <w:rsid w:val="390908A8"/>
    <w:rsid w:val="391060DB"/>
    <w:rsid w:val="391B25BA"/>
    <w:rsid w:val="39224E45"/>
    <w:rsid w:val="393206E7"/>
    <w:rsid w:val="393950DD"/>
    <w:rsid w:val="393B2A2C"/>
    <w:rsid w:val="39462F2A"/>
    <w:rsid w:val="394F0285"/>
    <w:rsid w:val="3954386D"/>
    <w:rsid w:val="3955411F"/>
    <w:rsid w:val="39564958"/>
    <w:rsid w:val="395A201B"/>
    <w:rsid w:val="395D6E46"/>
    <w:rsid w:val="3963654E"/>
    <w:rsid w:val="3965419E"/>
    <w:rsid w:val="396C150B"/>
    <w:rsid w:val="39730417"/>
    <w:rsid w:val="399034BF"/>
    <w:rsid w:val="399D7242"/>
    <w:rsid w:val="39A15CD6"/>
    <w:rsid w:val="39A60AF6"/>
    <w:rsid w:val="39AF6EAD"/>
    <w:rsid w:val="39B17496"/>
    <w:rsid w:val="39B506F2"/>
    <w:rsid w:val="39C03197"/>
    <w:rsid w:val="39C66799"/>
    <w:rsid w:val="39E03482"/>
    <w:rsid w:val="39F107F1"/>
    <w:rsid w:val="3A021CB9"/>
    <w:rsid w:val="3A082F84"/>
    <w:rsid w:val="3A083BC2"/>
    <w:rsid w:val="3A234D7B"/>
    <w:rsid w:val="3A3A1AE8"/>
    <w:rsid w:val="3A3B7187"/>
    <w:rsid w:val="3A3C71BF"/>
    <w:rsid w:val="3A4A73CA"/>
    <w:rsid w:val="3A4F1DB8"/>
    <w:rsid w:val="3A663F72"/>
    <w:rsid w:val="3A667F7C"/>
    <w:rsid w:val="3A6C475E"/>
    <w:rsid w:val="3A6F38E4"/>
    <w:rsid w:val="3A726921"/>
    <w:rsid w:val="3A7D53E1"/>
    <w:rsid w:val="3A87079F"/>
    <w:rsid w:val="3A8E29D3"/>
    <w:rsid w:val="3A903883"/>
    <w:rsid w:val="3A9779BB"/>
    <w:rsid w:val="3A9E3272"/>
    <w:rsid w:val="3AA50161"/>
    <w:rsid w:val="3AC0143A"/>
    <w:rsid w:val="3AD249E7"/>
    <w:rsid w:val="3AD53316"/>
    <w:rsid w:val="3ADF3C25"/>
    <w:rsid w:val="3AE11DE1"/>
    <w:rsid w:val="3AE16E49"/>
    <w:rsid w:val="3AF120B3"/>
    <w:rsid w:val="3AFA0DF0"/>
    <w:rsid w:val="3AFD4854"/>
    <w:rsid w:val="3B0F5F1E"/>
    <w:rsid w:val="3B1039F4"/>
    <w:rsid w:val="3B217306"/>
    <w:rsid w:val="3B293484"/>
    <w:rsid w:val="3B2E0A9A"/>
    <w:rsid w:val="3B2F1426"/>
    <w:rsid w:val="3B381D4F"/>
    <w:rsid w:val="3B433CCB"/>
    <w:rsid w:val="3B4A3779"/>
    <w:rsid w:val="3B5953EB"/>
    <w:rsid w:val="3B5E518B"/>
    <w:rsid w:val="3B68667E"/>
    <w:rsid w:val="3B691AD2"/>
    <w:rsid w:val="3B69348E"/>
    <w:rsid w:val="3B6E698C"/>
    <w:rsid w:val="3B7874E6"/>
    <w:rsid w:val="3B7B4311"/>
    <w:rsid w:val="3B8E0546"/>
    <w:rsid w:val="3B9130CB"/>
    <w:rsid w:val="3B92543E"/>
    <w:rsid w:val="3B997AE8"/>
    <w:rsid w:val="3B9A4359"/>
    <w:rsid w:val="3B9D79CE"/>
    <w:rsid w:val="3BA96B71"/>
    <w:rsid w:val="3BAB20EB"/>
    <w:rsid w:val="3BAC1821"/>
    <w:rsid w:val="3BAC5E63"/>
    <w:rsid w:val="3BAC628D"/>
    <w:rsid w:val="3BB865B6"/>
    <w:rsid w:val="3BC02F3B"/>
    <w:rsid w:val="3BC60A9D"/>
    <w:rsid w:val="3BD11DBB"/>
    <w:rsid w:val="3BD81646"/>
    <w:rsid w:val="3BD83E3D"/>
    <w:rsid w:val="3BE164EA"/>
    <w:rsid w:val="3BE81FCD"/>
    <w:rsid w:val="3BEA0701"/>
    <w:rsid w:val="3BED055F"/>
    <w:rsid w:val="3BEE28FF"/>
    <w:rsid w:val="3BF61B6B"/>
    <w:rsid w:val="3BFC64A2"/>
    <w:rsid w:val="3C0B0DDB"/>
    <w:rsid w:val="3C3820ED"/>
    <w:rsid w:val="3C4877ED"/>
    <w:rsid w:val="3C4B1FA8"/>
    <w:rsid w:val="3C547B47"/>
    <w:rsid w:val="3C5A58BF"/>
    <w:rsid w:val="3C5B37E7"/>
    <w:rsid w:val="3C5C4417"/>
    <w:rsid w:val="3C6127A9"/>
    <w:rsid w:val="3C636171"/>
    <w:rsid w:val="3C664263"/>
    <w:rsid w:val="3C706B34"/>
    <w:rsid w:val="3C8674DF"/>
    <w:rsid w:val="3C911248"/>
    <w:rsid w:val="3C9A5CBB"/>
    <w:rsid w:val="3CA479E0"/>
    <w:rsid w:val="3CBD3289"/>
    <w:rsid w:val="3CC243E3"/>
    <w:rsid w:val="3CCC214C"/>
    <w:rsid w:val="3CD147A4"/>
    <w:rsid w:val="3CD155B4"/>
    <w:rsid w:val="3CD5706C"/>
    <w:rsid w:val="3CD66855"/>
    <w:rsid w:val="3CDA6FAE"/>
    <w:rsid w:val="3CDF60CE"/>
    <w:rsid w:val="3CE6634A"/>
    <w:rsid w:val="3CF85FDC"/>
    <w:rsid w:val="3CF93E6F"/>
    <w:rsid w:val="3D0329CE"/>
    <w:rsid w:val="3D134DE8"/>
    <w:rsid w:val="3D3A30E3"/>
    <w:rsid w:val="3D424389"/>
    <w:rsid w:val="3D461E16"/>
    <w:rsid w:val="3D482D9A"/>
    <w:rsid w:val="3D504798"/>
    <w:rsid w:val="3D54332A"/>
    <w:rsid w:val="3D5B0736"/>
    <w:rsid w:val="3D5C0760"/>
    <w:rsid w:val="3D5E3B4D"/>
    <w:rsid w:val="3D63018E"/>
    <w:rsid w:val="3D6407A3"/>
    <w:rsid w:val="3D712B8E"/>
    <w:rsid w:val="3D9C2824"/>
    <w:rsid w:val="3DAE5EC2"/>
    <w:rsid w:val="3DB95AEB"/>
    <w:rsid w:val="3DBC024A"/>
    <w:rsid w:val="3DCF659A"/>
    <w:rsid w:val="3DD96D0B"/>
    <w:rsid w:val="3DDF0D0F"/>
    <w:rsid w:val="3DE8123D"/>
    <w:rsid w:val="3DEC0798"/>
    <w:rsid w:val="3DEC564C"/>
    <w:rsid w:val="3DEE5BAB"/>
    <w:rsid w:val="3DFB0640"/>
    <w:rsid w:val="3DFD4AF1"/>
    <w:rsid w:val="3E104487"/>
    <w:rsid w:val="3E1D4AF4"/>
    <w:rsid w:val="3E1E6276"/>
    <w:rsid w:val="3E276F6E"/>
    <w:rsid w:val="3E317495"/>
    <w:rsid w:val="3E3A59A8"/>
    <w:rsid w:val="3E4B4094"/>
    <w:rsid w:val="3E4D4B98"/>
    <w:rsid w:val="3E636451"/>
    <w:rsid w:val="3E650719"/>
    <w:rsid w:val="3E69030B"/>
    <w:rsid w:val="3E6F5651"/>
    <w:rsid w:val="3E7013C9"/>
    <w:rsid w:val="3E8D3D29"/>
    <w:rsid w:val="3E95498C"/>
    <w:rsid w:val="3EA1684F"/>
    <w:rsid w:val="3EB219E2"/>
    <w:rsid w:val="3EB23790"/>
    <w:rsid w:val="3EBA2645"/>
    <w:rsid w:val="3ED63527"/>
    <w:rsid w:val="3ED67B55"/>
    <w:rsid w:val="3EDB1EAC"/>
    <w:rsid w:val="3EE00E12"/>
    <w:rsid w:val="3EE70C7C"/>
    <w:rsid w:val="3EEF6C51"/>
    <w:rsid w:val="3EF075F6"/>
    <w:rsid w:val="3EF74D33"/>
    <w:rsid w:val="3F0120EC"/>
    <w:rsid w:val="3F057D64"/>
    <w:rsid w:val="3F063FF5"/>
    <w:rsid w:val="3F075CC4"/>
    <w:rsid w:val="3F0D6C18"/>
    <w:rsid w:val="3F187CFD"/>
    <w:rsid w:val="3F21712E"/>
    <w:rsid w:val="3F275F2C"/>
    <w:rsid w:val="3F285DF0"/>
    <w:rsid w:val="3F2C29E1"/>
    <w:rsid w:val="3F300C1F"/>
    <w:rsid w:val="3F3276DC"/>
    <w:rsid w:val="3F384C10"/>
    <w:rsid w:val="3F410957"/>
    <w:rsid w:val="3F463D6D"/>
    <w:rsid w:val="3F586511"/>
    <w:rsid w:val="3F5A28C3"/>
    <w:rsid w:val="3F63308A"/>
    <w:rsid w:val="3F740A45"/>
    <w:rsid w:val="3F8E5733"/>
    <w:rsid w:val="3FA163F2"/>
    <w:rsid w:val="3FA4757D"/>
    <w:rsid w:val="3FA5067B"/>
    <w:rsid w:val="3FAA3C10"/>
    <w:rsid w:val="3FB43DF9"/>
    <w:rsid w:val="3FBF3118"/>
    <w:rsid w:val="3FD3204B"/>
    <w:rsid w:val="3FDB4706"/>
    <w:rsid w:val="3FE0175A"/>
    <w:rsid w:val="3FF51B86"/>
    <w:rsid w:val="3FFD6C8D"/>
    <w:rsid w:val="4010076E"/>
    <w:rsid w:val="40193A36"/>
    <w:rsid w:val="401B483B"/>
    <w:rsid w:val="40204729"/>
    <w:rsid w:val="402C3B0D"/>
    <w:rsid w:val="403D4072"/>
    <w:rsid w:val="404011A2"/>
    <w:rsid w:val="40402FA6"/>
    <w:rsid w:val="40543C97"/>
    <w:rsid w:val="40584539"/>
    <w:rsid w:val="405D1A2A"/>
    <w:rsid w:val="40612D9E"/>
    <w:rsid w:val="40635A95"/>
    <w:rsid w:val="40782251"/>
    <w:rsid w:val="408A2001"/>
    <w:rsid w:val="408E4D75"/>
    <w:rsid w:val="409075E8"/>
    <w:rsid w:val="40A23968"/>
    <w:rsid w:val="40A345AE"/>
    <w:rsid w:val="40AB2CDD"/>
    <w:rsid w:val="40B445FE"/>
    <w:rsid w:val="40B9799B"/>
    <w:rsid w:val="40BA4B7E"/>
    <w:rsid w:val="40C55EA8"/>
    <w:rsid w:val="40C61775"/>
    <w:rsid w:val="40CF687B"/>
    <w:rsid w:val="40DB409D"/>
    <w:rsid w:val="40E35B04"/>
    <w:rsid w:val="40E7450B"/>
    <w:rsid w:val="40E77E71"/>
    <w:rsid w:val="40E972DF"/>
    <w:rsid w:val="40ED136E"/>
    <w:rsid w:val="40F24F08"/>
    <w:rsid w:val="41076FBE"/>
    <w:rsid w:val="41126768"/>
    <w:rsid w:val="411E6EBB"/>
    <w:rsid w:val="412160C9"/>
    <w:rsid w:val="41250249"/>
    <w:rsid w:val="412D224A"/>
    <w:rsid w:val="412D5718"/>
    <w:rsid w:val="41480E16"/>
    <w:rsid w:val="414B08D8"/>
    <w:rsid w:val="414C2E08"/>
    <w:rsid w:val="414F3F68"/>
    <w:rsid w:val="4153163B"/>
    <w:rsid w:val="41582082"/>
    <w:rsid w:val="416D1BF0"/>
    <w:rsid w:val="41821212"/>
    <w:rsid w:val="41872CB2"/>
    <w:rsid w:val="41874A60"/>
    <w:rsid w:val="41982020"/>
    <w:rsid w:val="419A3FAE"/>
    <w:rsid w:val="41AE1418"/>
    <w:rsid w:val="41B24ED8"/>
    <w:rsid w:val="41BA6D64"/>
    <w:rsid w:val="41BD42ED"/>
    <w:rsid w:val="41BE544A"/>
    <w:rsid w:val="41C4132E"/>
    <w:rsid w:val="41D35EF7"/>
    <w:rsid w:val="41DA7286"/>
    <w:rsid w:val="41F465CF"/>
    <w:rsid w:val="41FD3677"/>
    <w:rsid w:val="41FD4053"/>
    <w:rsid w:val="42063A3A"/>
    <w:rsid w:val="42092064"/>
    <w:rsid w:val="4214405D"/>
    <w:rsid w:val="42171D70"/>
    <w:rsid w:val="42183589"/>
    <w:rsid w:val="4221770A"/>
    <w:rsid w:val="422A6DE4"/>
    <w:rsid w:val="42341E97"/>
    <w:rsid w:val="42376E3B"/>
    <w:rsid w:val="425659E6"/>
    <w:rsid w:val="42613503"/>
    <w:rsid w:val="42755200"/>
    <w:rsid w:val="427721CF"/>
    <w:rsid w:val="428627B5"/>
    <w:rsid w:val="429A0F55"/>
    <w:rsid w:val="42A31D6D"/>
    <w:rsid w:val="42AA3A13"/>
    <w:rsid w:val="42AC6B19"/>
    <w:rsid w:val="42B20202"/>
    <w:rsid w:val="42B67CE3"/>
    <w:rsid w:val="42BB7663"/>
    <w:rsid w:val="42C24431"/>
    <w:rsid w:val="42C700D1"/>
    <w:rsid w:val="42CB0D1B"/>
    <w:rsid w:val="42CB7EE2"/>
    <w:rsid w:val="42CD30A6"/>
    <w:rsid w:val="42F779C3"/>
    <w:rsid w:val="430420E0"/>
    <w:rsid w:val="430D110E"/>
    <w:rsid w:val="430D368B"/>
    <w:rsid w:val="431C167A"/>
    <w:rsid w:val="431E02ED"/>
    <w:rsid w:val="433E465F"/>
    <w:rsid w:val="433E55F2"/>
    <w:rsid w:val="4355293C"/>
    <w:rsid w:val="437B05F4"/>
    <w:rsid w:val="43827BD5"/>
    <w:rsid w:val="438356FB"/>
    <w:rsid w:val="438374A9"/>
    <w:rsid w:val="438C7FE1"/>
    <w:rsid w:val="43970571"/>
    <w:rsid w:val="43994DD7"/>
    <w:rsid w:val="439B2D87"/>
    <w:rsid w:val="43A53412"/>
    <w:rsid w:val="43AC3ED1"/>
    <w:rsid w:val="43BC275F"/>
    <w:rsid w:val="43BE41CB"/>
    <w:rsid w:val="43C42339"/>
    <w:rsid w:val="43D221C9"/>
    <w:rsid w:val="43F16B09"/>
    <w:rsid w:val="43F202D8"/>
    <w:rsid w:val="43F45BD0"/>
    <w:rsid w:val="43FB478E"/>
    <w:rsid w:val="43FC6D22"/>
    <w:rsid w:val="440873F8"/>
    <w:rsid w:val="441049B7"/>
    <w:rsid w:val="4411001F"/>
    <w:rsid w:val="44112439"/>
    <w:rsid w:val="44142073"/>
    <w:rsid w:val="44204C51"/>
    <w:rsid w:val="442177CB"/>
    <w:rsid w:val="44301B45"/>
    <w:rsid w:val="443C78D0"/>
    <w:rsid w:val="443F3F3E"/>
    <w:rsid w:val="443F49F2"/>
    <w:rsid w:val="44555450"/>
    <w:rsid w:val="445D7297"/>
    <w:rsid w:val="44633349"/>
    <w:rsid w:val="446403A9"/>
    <w:rsid w:val="44654E01"/>
    <w:rsid w:val="446A1915"/>
    <w:rsid w:val="446B5E6B"/>
    <w:rsid w:val="44790B63"/>
    <w:rsid w:val="448B2102"/>
    <w:rsid w:val="4491109A"/>
    <w:rsid w:val="4497001F"/>
    <w:rsid w:val="449C1238"/>
    <w:rsid w:val="449F0024"/>
    <w:rsid w:val="449F5E85"/>
    <w:rsid w:val="44A1052F"/>
    <w:rsid w:val="44AD5B3A"/>
    <w:rsid w:val="44B10EA1"/>
    <w:rsid w:val="44B53FC2"/>
    <w:rsid w:val="44B546FA"/>
    <w:rsid w:val="44BF2CE3"/>
    <w:rsid w:val="44C13F54"/>
    <w:rsid w:val="44C401EC"/>
    <w:rsid w:val="44D80E18"/>
    <w:rsid w:val="44D83825"/>
    <w:rsid w:val="44E14D9A"/>
    <w:rsid w:val="44E16B7D"/>
    <w:rsid w:val="44EA7277"/>
    <w:rsid w:val="44EC452F"/>
    <w:rsid w:val="44FC597B"/>
    <w:rsid w:val="451707F1"/>
    <w:rsid w:val="451A1577"/>
    <w:rsid w:val="451A6CEE"/>
    <w:rsid w:val="451E70F3"/>
    <w:rsid w:val="452901CE"/>
    <w:rsid w:val="452D580C"/>
    <w:rsid w:val="453E08E3"/>
    <w:rsid w:val="45412B2B"/>
    <w:rsid w:val="45500BC7"/>
    <w:rsid w:val="456078ED"/>
    <w:rsid w:val="456F753C"/>
    <w:rsid w:val="4570761C"/>
    <w:rsid w:val="457C5F26"/>
    <w:rsid w:val="457E2A70"/>
    <w:rsid w:val="45800055"/>
    <w:rsid w:val="45800D0C"/>
    <w:rsid w:val="458A4B1F"/>
    <w:rsid w:val="45975CBC"/>
    <w:rsid w:val="45996A3C"/>
    <w:rsid w:val="45AA3413"/>
    <w:rsid w:val="45AD6A5F"/>
    <w:rsid w:val="45C30031"/>
    <w:rsid w:val="45C53E45"/>
    <w:rsid w:val="45D43FEC"/>
    <w:rsid w:val="45D60368"/>
    <w:rsid w:val="45DD3306"/>
    <w:rsid w:val="45FC3821"/>
    <w:rsid w:val="46001285"/>
    <w:rsid w:val="46003033"/>
    <w:rsid w:val="46050649"/>
    <w:rsid w:val="462211FB"/>
    <w:rsid w:val="462417D4"/>
    <w:rsid w:val="462E5DF2"/>
    <w:rsid w:val="46302433"/>
    <w:rsid w:val="463A4797"/>
    <w:rsid w:val="463C5F52"/>
    <w:rsid w:val="463D4287"/>
    <w:rsid w:val="46431172"/>
    <w:rsid w:val="464521E7"/>
    <w:rsid w:val="46455732"/>
    <w:rsid w:val="46495120"/>
    <w:rsid w:val="465D66F5"/>
    <w:rsid w:val="466B19C4"/>
    <w:rsid w:val="467D4684"/>
    <w:rsid w:val="468269BA"/>
    <w:rsid w:val="46AB281B"/>
    <w:rsid w:val="46B53D11"/>
    <w:rsid w:val="46B67B95"/>
    <w:rsid w:val="46B868DE"/>
    <w:rsid w:val="46C329DE"/>
    <w:rsid w:val="46C97C75"/>
    <w:rsid w:val="46D00C57"/>
    <w:rsid w:val="46D6477E"/>
    <w:rsid w:val="46D851CA"/>
    <w:rsid w:val="46E14C12"/>
    <w:rsid w:val="46E3355B"/>
    <w:rsid w:val="46E94D27"/>
    <w:rsid w:val="46EF27ED"/>
    <w:rsid w:val="46EF355C"/>
    <w:rsid w:val="46F663C7"/>
    <w:rsid w:val="47060B1D"/>
    <w:rsid w:val="471139FB"/>
    <w:rsid w:val="471274C2"/>
    <w:rsid w:val="47195E2A"/>
    <w:rsid w:val="47233BB3"/>
    <w:rsid w:val="472657A6"/>
    <w:rsid w:val="47304C90"/>
    <w:rsid w:val="473110DC"/>
    <w:rsid w:val="47376F28"/>
    <w:rsid w:val="473F25F0"/>
    <w:rsid w:val="473F3908"/>
    <w:rsid w:val="47406A95"/>
    <w:rsid w:val="474B4023"/>
    <w:rsid w:val="474C71FC"/>
    <w:rsid w:val="474D5189"/>
    <w:rsid w:val="474D6260"/>
    <w:rsid w:val="4754581B"/>
    <w:rsid w:val="475A449F"/>
    <w:rsid w:val="475D1DCE"/>
    <w:rsid w:val="47625A6E"/>
    <w:rsid w:val="47644DAE"/>
    <w:rsid w:val="4779309D"/>
    <w:rsid w:val="477B5D50"/>
    <w:rsid w:val="477F442B"/>
    <w:rsid w:val="478A7058"/>
    <w:rsid w:val="478C6CF3"/>
    <w:rsid w:val="478F28C0"/>
    <w:rsid w:val="479202CF"/>
    <w:rsid w:val="47925F0D"/>
    <w:rsid w:val="47946129"/>
    <w:rsid w:val="47963FF7"/>
    <w:rsid w:val="47A3636C"/>
    <w:rsid w:val="47A80D71"/>
    <w:rsid w:val="47A85096"/>
    <w:rsid w:val="47AD0D2F"/>
    <w:rsid w:val="47AF44AD"/>
    <w:rsid w:val="47AF4D11"/>
    <w:rsid w:val="47B425AF"/>
    <w:rsid w:val="47C54534"/>
    <w:rsid w:val="47C75C4C"/>
    <w:rsid w:val="47CD0DEC"/>
    <w:rsid w:val="47CD5197"/>
    <w:rsid w:val="47D112E0"/>
    <w:rsid w:val="47F00E85"/>
    <w:rsid w:val="47F1579B"/>
    <w:rsid w:val="48041AAC"/>
    <w:rsid w:val="48066B36"/>
    <w:rsid w:val="480D3A23"/>
    <w:rsid w:val="481F394E"/>
    <w:rsid w:val="483A0C1F"/>
    <w:rsid w:val="4846741F"/>
    <w:rsid w:val="484D0086"/>
    <w:rsid w:val="484E4529"/>
    <w:rsid w:val="485C55E7"/>
    <w:rsid w:val="485C7379"/>
    <w:rsid w:val="487D4E0F"/>
    <w:rsid w:val="48816CAD"/>
    <w:rsid w:val="488E0B1A"/>
    <w:rsid w:val="48954542"/>
    <w:rsid w:val="489C48EF"/>
    <w:rsid w:val="48A977E9"/>
    <w:rsid w:val="48AB372A"/>
    <w:rsid w:val="48B06F92"/>
    <w:rsid w:val="48B956E0"/>
    <w:rsid w:val="48D72771"/>
    <w:rsid w:val="48D90193"/>
    <w:rsid w:val="48DA7B6B"/>
    <w:rsid w:val="48E54B66"/>
    <w:rsid w:val="48E70F1F"/>
    <w:rsid w:val="48F01FB9"/>
    <w:rsid w:val="49173469"/>
    <w:rsid w:val="49175151"/>
    <w:rsid w:val="49222CF6"/>
    <w:rsid w:val="492872E4"/>
    <w:rsid w:val="492A4964"/>
    <w:rsid w:val="493A64EB"/>
    <w:rsid w:val="4941303B"/>
    <w:rsid w:val="4941669C"/>
    <w:rsid w:val="4949284A"/>
    <w:rsid w:val="494B6C4D"/>
    <w:rsid w:val="4958156F"/>
    <w:rsid w:val="495D296B"/>
    <w:rsid w:val="49624874"/>
    <w:rsid w:val="496941FF"/>
    <w:rsid w:val="496C2214"/>
    <w:rsid w:val="496D5E51"/>
    <w:rsid w:val="496D6036"/>
    <w:rsid w:val="496D7ED3"/>
    <w:rsid w:val="49706721"/>
    <w:rsid w:val="49790663"/>
    <w:rsid w:val="49822BAA"/>
    <w:rsid w:val="49842401"/>
    <w:rsid w:val="49861160"/>
    <w:rsid w:val="49883A05"/>
    <w:rsid w:val="49933A5A"/>
    <w:rsid w:val="49A14359"/>
    <w:rsid w:val="49AF10F0"/>
    <w:rsid w:val="49B74940"/>
    <w:rsid w:val="49C03205"/>
    <w:rsid w:val="49C04C0E"/>
    <w:rsid w:val="49C11CF5"/>
    <w:rsid w:val="49C2084A"/>
    <w:rsid w:val="49C660D4"/>
    <w:rsid w:val="49D16BE6"/>
    <w:rsid w:val="49F044ED"/>
    <w:rsid w:val="49FD12F9"/>
    <w:rsid w:val="49FE5F91"/>
    <w:rsid w:val="4A026F25"/>
    <w:rsid w:val="4A0E4BFD"/>
    <w:rsid w:val="4A113742"/>
    <w:rsid w:val="4A1A5506"/>
    <w:rsid w:val="4A1C041F"/>
    <w:rsid w:val="4A2026B1"/>
    <w:rsid w:val="4A372155"/>
    <w:rsid w:val="4A3749D0"/>
    <w:rsid w:val="4A3D7280"/>
    <w:rsid w:val="4A553B36"/>
    <w:rsid w:val="4A5A2744"/>
    <w:rsid w:val="4A626327"/>
    <w:rsid w:val="4A6726BA"/>
    <w:rsid w:val="4A783AE0"/>
    <w:rsid w:val="4A8A6B0D"/>
    <w:rsid w:val="4A8E3F79"/>
    <w:rsid w:val="4A8F7AF1"/>
    <w:rsid w:val="4A946487"/>
    <w:rsid w:val="4A9D0A06"/>
    <w:rsid w:val="4AA448D5"/>
    <w:rsid w:val="4ACC7988"/>
    <w:rsid w:val="4ACF669A"/>
    <w:rsid w:val="4AD877C8"/>
    <w:rsid w:val="4ADA535A"/>
    <w:rsid w:val="4AE271AB"/>
    <w:rsid w:val="4AE65A17"/>
    <w:rsid w:val="4AEA67B3"/>
    <w:rsid w:val="4B20148E"/>
    <w:rsid w:val="4B2E0642"/>
    <w:rsid w:val="4B3734F6"/>
    <w:rsid w:val="4B3B7A64"/>
    <w:rsid w:val="4B4900AE"/>
    <w:rsid w:val="4B494ABD"/>
    <w:rsid w:val="4B6021EA"/>
    <w:rsid w:val="4B691746"/>
    <w:rsid w:val="4B6B0F4E"/>
    <w:rsid w:val="4B6F679E"/>
    <w:rsid w:val="4B83273C"/>
    <w:rsid w:val="4B840262"/>
    <w:rsid w:val="4B982DB1"/>
    <w:rsid w:val="4B990EC1"/>
    <w:rsid w:val="4BB5666E"/>
    <w:rsid w:val="4BB906DD"/>
    <w:rsid w:val="4BDC7009"/>
    <w:rsid w:val="4BEB6533"/>
    <w:rsid w:val="4BFB0C29"/>
    <w:rsid w:val="4BFF74B1"/>
    <w:rsid w:val="4C0263CE"/>
    <w:rsid w:val="4C0473C6"/>
    <w:rsid w:val="4C1A5CE7"/>
    <w:rsid w:val="4C2537F3"/>
    <w:rsid w:val="4C2555A1"/>
    <w:rsid w:val="4C266086"/>
    <w:rsid w:val="4C3618DB"/>
    <w:rsid w:val="4C3673D0"/>
    <w:rsid w:val="4C46728B"/>
    <w:rsid w:val="4C4F0AB3"/>
    <w:rsid w:val="4C531C47"/>
    <w:rsid w:val="4C586FC6"/>
    <w:rsid w:val="4C5D0796"/>
    <w:rsid w:val="4C6360FE"/>
    <w:rsid w:val="4C72455F"/>
    <w:rsid w:val="4C793B3F"/>
    <w:rsid w:val="4C8E75EA"/>
    <w:rsid w:val="4C99554F"/>
    <w:rsid w:val="4C9C194B"/>
    <w:rsid w:val="4CB42157"/>
    <w:rsid w:val="4CC01CF8"/>
    <w:rsid w:val="4CC15AE1"/>
    <w:rsid w:val="4CC35BEB"/>
    <w:rsid w:val="4CCF60BD"/>
    <w:rsid w:val="4CD02929"/>
    <w:rsid w:val="4CD370C7"/>
    <w:rsid w:val="4CDB0356"/>
    <w:rsid w:val="4CDE5035"/>
    <w:rsid w:val="4CE41265"/>
    <w:rsid w:val="4CED7344"/>
    <w:rsid w:val="4CEE4C2A"/>
    <w:rsid w:val="4D103667"/>
    <w:rsid w:val="4D144D0B"/>
    <w:rsid w:val="4D185106"/>
    <w:rsid w:val="4D1A59F9"/>
    <w:rsid w:val="4D363E53"/>
    <w:rsid w:val="4D3701CB"/>
    <w:rsid w:val="4D386DDA"/>
    <w:rsid w:val="4D4B7AFC"/>
    <w:rsid w:val="4D715F84"/>
    <w:rsid w:val="4D7851EB"/>
    <w:rsid w:val="4D7D31BB"/>
    <w:rsid w:val="4D8E361A"/>
    <w:rsid w:val="4D8F6A66"/>
    <w:rsid w:val="4D9229C5"/>
    <w:rsid w:val="4D930C30"/>
    <w:rsid w:val="4D953FDE"/>
    <w:rsid w:val="4D9B543E"/>
    <w:rsid w:val="4D9C7AE5"/>
    <w:rsid w:val="4D9E1AAF"/>
    <w:rsid w:val="4DA501AA"/>
    <w:rsid w:val="4DAA3EA7"/>
    <w:rsid w:val="4DB36BDD"/>
    <w:rsid w:val="4DB4344C"/>
    <w:rsid w:val="4DB51455"/>
    <w:rsid w:val="4DC62FE4"/>
    <w:rsid w:val="4DC8250B"/>
    <w:rsid w:val="4DE3710F"/>
    <w:rsid w:val="4DED4BFE"/>
    <w:rsid w:val="4DEE4F7E"/>
    <w:rsid w:val="4DEE61D1"/>
    <w:rsid w:val="4E0005F3"/>
    <w:rsid w:val="4E005F07"/>
    <w:rsid w:val="4E0B6496"/>
    <w:rsid w:val="4E0E6509"/>
    <w:rsid w:val="4E186966"/>
    <w:rsid w:val="4E3F2CAA"/>
    <w:rsid w:val="4E4854B2"/>
    <w:rsid w:val="4E4C6050"/>
    <w:rsid w:val="4E5263F6"/>
    <w:rsid w:val="4E6951D8"/>
    <w:rsid w:val="4E74636C"/>
    <w:rsid w:val="4E78439B"/>
    <w:rsid w:val="4E7B1363"/>
    <w:rsid w:val="4E8A3DE2"/>
    <w:rsid w:val="4EBB3930"/>
    <w:rsid w:val="4ED00D63"/>
    <w:rsid w:val="4ED65CB0"/>
    <w:rsid w:val="4EE84443"/>
    <w:rsid w:val="4EEC2B7B"/>
    <w:rsid w:val="4F0352F3"/>
    <w:rsid w:val="4F135B85"/>
    <w:rsid w:val="4F1B712F"/>
    <w:rsid w:val="4F2D30F6"/>
    <w:rsid w:val="4F2D4EEE"/>
    <w:rsid w:val="4F3F2683"/>
    <w:rsid w:val="4F431A16"/>
    <w:rsid w:val="4F4B3B01"/>
    <w:rsid w:val="4F58517B"/>
    <w:rsid w:val="4F5E5D57"/>
    <w:rsid w:val="4F5F526E"/>
    <w:rsid w:val="4F664600"/>
    <w:rsid w:val="4F6C109F"/>
    <w:rsid w:val="4F722CCD"/>
    <w:rsid w:val="4F7A20A8"/>
    <w:rsid w:val="4F846A83"/>
    <w:rsid w:val="4F8847C5"/>
    <w:rsid w:val="4F8D432D"/>
    <w:rsid w:val="4F90367A"/>
    <w:rsid w:val="4F98252E"/>
    <w:rsid w:val="4F993C1F"/>
    <w:rsid w:val="4F9A241D"/>
    <w:rsid w:val="4F9E6E48"/>
    <w:rsid w:val="4FA52839"/>
    <w:rsid w:val="4FA60096"/>
    <w:rsid w:val="4FA831D2"/>
    <w:rsid w:val="4FB6798D"/>
    <w:rsid w:val="4FBC575D"/>
    <w:rsid w:val="4FC1120E"/>
    <w:rsid w:val="4FCF5F48"/>
    <w:rsid w:val="4FD77F76"/>
    <w:rsid w:val="4FDC68BF"/>
    <w:rsid w:val="4FE21920"/>
    <w:rsid w:val="4FE72524"/>
    <w:rsid w:val="4FF44A0F"/>
    <w:rsid w:val="50093135"/>
    <w:rsid w:val="50100316"/>
    <w:rsid w:val="50107F18"/>
    <w:rsid w:val="50165391"/>
    <w:rsid w:val="501A73E7"/>
    <w:rsid w:val="501C4F0D"/>
    <w:rsid w:val="501D4EFB"/>
    <w:rsid w:val="50241A99"/>
    <w:rsid w:val="502D711A"/>
    <w:rsid w:val="503469BD"/>
    <w:rsid w:val="503844DC"/>
    <w:rsid w:val="50496D46"/>
    <w:rsid w:val="504E0E81"/>
    <w:rsid w:val="5057648D"/>
    <w:rsid w:val="505B18D4"/>
    <w:rsid w:val="50621059"/>
    <w:rsid w:val="507028FD"/>
    <w:rsid w:val="50831F00"/>
    <w:rsid w:val="508661BD"/>
    <w:rsid w:val="508A55B1"/>
    <w:rsid w:val="508A5DF4"/>
    <w:rsid w:val="50940F47"/>
    <w:rsid w:val="50970A38"/>
    <w:rsid w:val="509C1BAA"/>
    <w:rsid w:val="50A8054F"/>
    <w:rsid w:val="50A820D4"/>
    <w:rsid w:val="50AD422D"/>
    <w:rsid w:val="50AD4A4F"/>
    <w:rsid w:val="50C431DE"/>
    <w:rsid w:val="50C624B0"/>
    <w:rsid w:val="50D37CC2"/>
    <w:rsid w:val="50D42D06"/>
    <w:rsid w:val="50D47596"/>
    <w:rsid w:val="50D57015"/>
    <w:rsid w:val="50DB26D2"/>
    <w:rsid w:val="50DE63C8"/>
    <w:rsid w:val="50E84DEF"/>
    <w:rsid w:val="50F23CDB"/>
    <w:rsid w:val="50F56EA0"/>
    <w:rsid w:val="5107796B"/>
    <w:rsid w:val="5108607B"/>
    <w:rsid w:val="51171918"/>
    <w:rsid w:val="511901A2"/>
    <w:rsid w:val="511B41EA"/>
    <w:rsid w:val="51241F2C"/>
    <w:rsid w:val="512C73D2"/>
    <w:rsid w:val="512C7ED2"/>
    <w:rsid w:val="51450494"/>
    <w:rsid w:val="5148134E"/>
    <w:rsid w:val="51510BE7"/>
    <w:rsid w:val="5164091A"/>
    <w:rsid w:val="51677F27"/>
    <w:rsid w:val="518F170F"/>
    <w:rsid w:val="51A056CA"/>
    <w:rsid w:val="51A451BA"/>
    <w:rsid w:val="51B51D64"/>
    <w:rsid w:val="51B80BAA"/>
    <w:rsid w:val="51BF28E4"/>
    <w:rsid w:val="51C1288B"/>
    <w:rsid w:val="51C20B31"/>
    <w:rsid w:val="51DC2283"/>
    <w:rsid w:val="51E34ACA"/>
    <w:rsid w:val="51E657D3"/>
    <w:rsid w:val="51E732EF"/>
    <w:rsid w:val="51EA1F0C"/>
    <w:rsid w:val="51FB798D"/>
    <w:rsid w:val="51FC4FF6"/>
    <w:rsid w:val="5206251F"/>
    <w:rsid w:val="52081B54"/>
    <w:rsid w:val="520836B9"/>
    <w:rsid w:val="520B6FE7"/>
    <w:rsid w:val="522B58DB"/>
    <w:rsid w:val="52314BF0"/>
    <w:rsid w:val="52393E48"/>
    <w:rsid w:val="523957BE"/>
    <w:rsid w:val="52477F24"/>
    <w:rsid w:val="524B7D2C"/>
    <w:rsid w:val="52501DAB"/>
    <w:rsid w:val="5256651E"/>
    <w:rsid w:val="52691BE6"/>
    <w:rsid w:val="526B23B2"/>
    <w:rsid w:val="52730B44"/>
    <w:rsid w:val="52733A71"/>
    <w:rsid w:val="5277467D"/>
    <w:rsid w:val="52983DB8"/>
    <w:rsid w:val="529C0587"/>
    <w:rsid w:val="52A5743C"/>
    <w:rsid w:val="52AE4870"/>
    <w:rsid w:val="52B1623B"/>
    <w:rsid w:val="52B66E3F"/>
    <w:rsid w:val="52BD5936"/>
    <w:rsid w:val="52C378C2"/>
    <w:rsid w:val="52C7501B"/>
    <w:rsid w:val="52C8137C"/>
    <w:rsid w:val="52C86D86"/>
    <w:rsid w:val="52D27B05"/>
    <w:rsid w:val="52E53CDC"/>
    <w:rsid w:val="52E73435"/>
    <w:rsid w:val="52EF6909"/>
    <w:rsid w:val="52F56F98"/>
    <w:rsid w:val="53001ED7"/>
    <w:rsid w:val="531620E8"/>
    <w:rsid w:val="531E2D4A"/>
    <w:rsid w:val="53237473"/>
    <w:rsid w:val="53301E1E"/>
    <w:rsid w:val="533802B0"/>
    <w:rsid w:val="5349426B"/>
    <w:rsid w:val="53560736"/>
    <w:rsid w:val="53570DD0"/>
    <w:rsid w:val="535C7948"/>
    <w:rsid w:val="53605111"/>
    <w:rsid w:val="53626210"/>
    <w:rsid w:val="53676C63"/>
    <w:rsid w:val="536C61AC"/>
    <w:rsid w:val="53764934"/>
    <w:rsid w:val="5376752B"/>
    <w:rsid w:val="537979E1"/>
    <w:rsid w:val="53861A20"/>
    <w:rsid w:val="538816E0"/>
    <w:rsid w:val="53AE4137"/>
    <w:rsid w:val="53B50F60"/>
    <w:rsid w:val="53BD18F1"/>
    <w:rsid w:val="53D8114B"/>
    <w:rsid w:val="53E04DBD"/>
    <w:rsid w:val="53EF674A"/>
    <w:rsid w:val="53F669EB"/>
    <w:rsid w:val="54041F40"/>
    <w:rsid w:val="5414048A"/>
    <w:rsid w:val="54172B75"/>
    <w:rsid w:val="541A68A8"/>
    <w:rsid w:val="5420228D"/>
    <w:rsid w:val="54322F51"/>
    <w:rsid w:val="543D1818"/>
    <w:rsid w:val="544B3EE9"/>
    <w:rsid w:val="545D5EF6"/>
    <w:rsid w:val="546538BA"/>
    <w:rsid w:val="5468108F"/>
    <w:rsid w:val="5472334E"/>
    <w:rsid w:val="54756AF5"/>
    <w:rsid w:val="5483555B"/>
    <w:rsid w:val="5486504B"/>
    <w:rsid w:val="548825BE"/>
    <w:rsid w:val="548A4B3B"/>
    <w:rsid w:val="548B71EB"/>
    <w:rsid w:val="54964C34"/>
    <w:rsid w:val="549A6186"/>
    <w:rsid w:val="549F69EF"/>
    <w:rsid w:val="54CB0CB0"/>
    <w:rsid w:val="54D519C3"/>
    <w:rsid w:val="54DF51CB"/>
    <w:rsid w:val="54E0475B"/>
    <w:rsid w:val="54EA6C0E"/>
    <w:rsid w:val="54F1798D"/>
    <w:rsid w:val="54F372B3"/>
    <w:rsid w:val="5503044A"/>
    <w:rsid w:val="551D1C19"/>
    <w:rsid w:val="55201C9C"/>
    <w:rsid w:val="5523208A"/>
    <w:rsid w:val="552F56E3"/>
    <w:rsid w:val="55452810"/>
    <w:rsid w:val="5549554B"/>
    <w:rsid w:val="554D1A31"/>
    <w:rsid w:val="55684751"/>
    <w:rsid w:val="556E644F"/>
    <w:rsid w:val="55782BA3"/>
    <w:rsid w:val="55874F5B"/>
    <w:rsid w:val="558C4066"/>
    <w:rsid w:val="5592206E"/>
    <w:rsid w:val="559B1181"/>
    <w:rsid w:val="559C4684"/>
    <w:rsid w:val="55A27C63"/>
    <w:rsid w:val="55BB0D24"/>
    <w:rsid w:val="55C776C9"/>
    <w:rsid w:val="55DB2EFA"/>
    <w:rsid w:val="55DB79EC"/>
    <w:rsid w:val="55DD6540"/>
    <w:rsid w:val="55E737FF"/>
    <w:rsid w:val="55E93AE3"/>
    <w:rsid w:val="55EB238D"/>
    <w:rsid w:val="55ED4109"/>
    <w:rsid w:val="55F87E98"/>
    <w:rsid w:val="561B1CE0"/>
    <w:rsid w:val="562B4FD7"/>
    <w:rsid w:val="563A7E9B"/>
    <w:rsid w:val="56586573"/>
    <w:rsid w:val="56607C45"/>
    <w:rsid w:val="56725887"/>
    <w:rsid w:val="5685346F"/>
    <w:rsid w:val="568B419B"/>
    <w:rsid w:val="568E7490"/>
    <w:rsid w:val="569752EE"/>
    <w:rsid w:val="569F23F4"/>
    <w:rsid w:val="56AA5F28"/>
    <w:rsid w:val="56B506F1"/>
    <w:rsid w:val="56B7303F"/>
    <w:rsid w:val="56B934B6"/>
    <w:rsid w:val="56BC09FD"/>
    <w:rsid w:val="56D02B61"/>
    <w:rsid w:val="56D23425"/>
    <w:rsid w:val="56D71B8E"/>
    <w:rsid w:val="56DF6C95"/>
    <w:rsid w:val="57165E73"/>
    <w:rsid w:val="57305C46"/>
    <w:rsid w:val="57394A4D"/>
    <w:rsid w:val="57435475"/>
    <w:rsid w:val="57547004"/>
    <w:rsid w:val="5758495A"/>
    <w:rsid w:val="575C2093"/>
    <w:rsid w:val="57631EDC"/>
    <w:rsid w:val="57643792"/>
    <w:rsid w:val="576D3C31"/>
    <w:rsid w:val="576F0018"/>
    <w:rsid w:val="57725AAD"/>
    <w:rsid w:val="5774562F"/>
    <w:rsid w:val="577D639A"/>
    <w:rsid w:val="578F06BB"/>
    <w:rsid w:val="579857A6"/>
    <w:rsid w:val="579F74A6"/>
    <w:rsid w:val="57A2797B"/>
    <w:rsid w:val="57A36349"/>
    <w:rsid w:val="57A70D03"/>
    <w:rsid w:val="57AC4DC9"/>
    <w:rsid w:val="57AE108B"/>
    <w:rsid w:val="57B277DD"/>
    <w:rsid w:val="57B44CCE"/>
    <w:rsid w:val="57C514C8"/>
    <w:rsid w:val="57C65FAF"/>
    <w:rsid w:val="57C71C02"/>
    <w:rsid w:val="57D45CF1"/>
    <w:rsid w:val="57E74DAE"/>
    <w:rsid w:val="57F13854"/>
    <w:rsid w:val="57F66044"/>
    <w:rsid w:val="57F81DBC"/>
    <w:rsid w:val="57F8372C"/>
    <w:rsid w:val="580520C8"/>
    <w:rsid w:val="58095D77"/>
    <w:rsid w:val="580B3421"/>
    <w:rsid w:val="58187D01"/>
    <w:rsid w:val="581A249A"/>
    <w:rsid w:val="582610E3"/>
    <w:rsid w:val="584315C4"/>
    <w:rsid w:val="5846239B"/>
    <w:rsid w:val="586E207E"/>
    <w:rsid w:val="586E3461"/>
    <w:rsid w:val="586E7274"/>
    <w:rsid w:val="588A02D8"/>
    <w:rsid w:val="5891087F"/>
    <w:rsid w:val="589D0BB5"/>
    <w:rsid w:val="58B8581B"/>
    <w:rsid w:val="58BA45A1"/>
    <w:rsid w:val="58C12EE1"/>
    <w:rsid w:val="58C97BB5"/>
    <w:rsid w:val="58D864B6"/>
    <w:rsid w:val="58DA784C"/>
    <w:rsid w:val="58DD011A"/>
    <w:rsid w:val="58DE5456"/>
    <w:rsid w:val="58EB2245"/>
    <w:rsid w:val="590649AC"/>
    <w:rsid w:val="5912350D"/>
    <w:rsid w:val="59161F59"/>
    <w:rsid w:val="591744C4"/>
    <w:rsid w:val="592E0EF6"/>
    <w:rsid w:val="59337BDA"/>
    <w:rsid w:val="594204CF"/>
    <w:rsid w:val="594A2AEB"/>
    <w:rsid w:val="5951357A"/>
    <w:rsid w:val="59544BDF"/>
    <w:rsid w:val="59775A81"/>
    <w:rsid w:val="597B2CA5"/>
    <w:rsid w:val="598000C8"/>
    <w:rsid w:val="59811737"/>
    <w:rsid w:val="59854011"/>
    <w:rsid w:val="599223FD"/>
    <w:rsid w:val="59941601"/>
    <w:rsid w:val="599451FE"/>
    <w:rsid w:val="59951645"/>
    <w:rsid w:val="59965D30"/>
    <w:rsid w:val="59A117BD"/>
    <w:rsid w:val="59A9390D"/>
    <w:rsid w:val="59B03041"/>
    <w:rsid w:val="59BA45FA"/>
    <w:rsid w:val="59BB1BC6"/>
    <w:rsid w:val="59C33F06"/>
    <w:rsid w:val="59C962AE"/>
    <w:rsid w:val="59D10B16"/>
    <w:rsid w:val="59D625D1"/>
    <w:rsid w:val="5A04713E"/>
    <w:rsid w:val="5A055CBC"/>
    <w:rsid w:val="5A062F3F"/>
    <w:rsid w:val="5A0738B3"/>
    <w:rsid w:val="5A1223DE"/>
    <w:rsid w:val="5A126AC9"/>
    <w:rsid w:val="5A20479B"/>
    <w:rsid w:val="5A47527D"/>
    <w:rsid w:val="5A594B8D"/>
    <w:rsid w:val="5A5F212F"/>
    <w:rsid w:val="5A612F7B"/>
    <w:rsid w:val="5A690A9C"/>
    <w:rsid w:val="5A6A2C63"/>
    <w:rsid w:val="5A7B0A82"/>
    <w:rsid w:val="5A8E36CC"/>
    <w:rsid w:val="5A975FA5"/>
    <w:rsid w:val="5A9802AF"/>
    <w:rsid w:val="5AA31EC3"/>
    <w:rsid w:val="5AAB75B9"/>
    <w:rsid w:val="5AAC3332"/>
    <w:rsid w:val="5AAE5CD6"/>
    <w:rsid w:val="5ABF5916"/>
    <w:rsid w:val="5AC3781F"/>
    <w:rsid w:val="5AC90A7E"/>
    <w:rsid w:val="5AD71A00"/>
    <w:rsid w:val="5AD73617"/>
    <w:rsid w:val="5ADF1BC9"/>
    <w:rsid w:val="5AE03F27"/>
    <w:rsid w:val="5AE20B01"/>
    <w:rsid w:val="5AE76118"/>
    <w:rsid w:val="5AEF10C3"/>
    <w:rsid w:val="5AF276C4"/>
    <w:rsid w:val="5AF96577"/>
    <w:rsid w:val="5B1036BE"/>
    <w:rsid w:val="5B1B1714"/>
    <w:rsid w:val="5B242EC8"/>
    <w:rsid w:val="5B280C0A"/>
    <w:rsid w:val="5B2C65A4"/>
    <w:rsid w:val="5B3E6680"/>
    <w:rsid w:val="5B413A7A"/>
    <w:rsid w:val="5B4325A2"/>
    <w:rsid w:val="5B4672E2"/>
    <w:rsid w:val="5B4E481E"/>
    <w:rsid w:val="5B521285"/>
    <w:rsid w:val="5B601CC1"/>
    <w:rsid w:val="5B6234AA"/>
    <w:rsid w:val="5B6854AA"/>
    <w:rsid w:val="5B763EB7"/>
    <w:rsid w:val="5B813346"/>
    <w:rsid w:val="5B871DD5"/>
    <w:rsid w:val="5B9F6DE2"/>
    <w:rsid w:val="5BA265DE"/>
    <w:rsid w:val="5BA46CE2"/>
    <w:rsid w:val="5BB95E08"/>
    <w:rsid w:val="5BBA0393"/>
    <w:rsid w:val="5BBD57F6"/>
    <w:rsid w:val="5BCC4E29"/>
    <w:rsid w:val="5BCE7981"/>
    <w:rsid w:val="5BD0604E"/>
    <w:rsid w:val="5BD41136"/>
    <w:rsid w:val="5BD54692"/>
    <w:rsid w:val="5BD7618C"/>
    <w:rsid w:val="5BD92F2A"/>
    <w:rsid w:val="5BE32D83"/>
    <w:rsid w:val="5BEA4FCD"/>
    <w:rsid w:val="5BEC1C38"/>
    <w:rsid w:val="5BF84A80"/>
    <w:rsid w:val="5BFA4B6A"/>
    <w:rsid w:val="5C003935"/>
    <w:rsid w:val="5C043425"/>
    <w:rsid w:val="5C124BEB"/>
    <w:rsid w:val="5C1A29AA"/>
    <w:rsid w:val="5C1D44E7"/>
    <w:rsid w:val="5C1F498A"/>
    <w:rsid w:val="5C25339C"/>
    <w:rsid w:val="5C380531"/>
    <w:rsid w:val="5C465782"/>
    <w:rsid w:val="5C4B3416"/>
    <w:rsid w:val="5C4D0F4D"/>
    <w:rsid w:val="5C4F1B7F"/>
    <w:rsid w:val="5C4F21C6"/>
    <w:rsid w:val="5C504241"/>
    <w:rsid w:val="5C6550CC"/>
    <w:rsid w:val="5C7731D7"/>
    <w:rsid w:val="5C826B51"/>
    <w:rsid w:val="5C93136F"/>
    <w:rsid w:val="5C957AE8"/>
    <w:rsid w:val="5CA61CCA"/>
    <w:rsid w:val="5CA61FE4"/>
    <w:rsid w:val="5CA67A5D"/>
    <w:rsid w:val="5CA949CF"/>
    <w:rsid w:val="5CAA564F"/>
    <w:rsid w:val="5CAC7619"/>
    <w:rsid w:val="5CB526EE"/>
    <w:rsid w:val="5CB63FF4"/>
    <w:rsid w:val="5CC31B3E"/>
    <w:rsid w:val="5CC67A06"/>
    <w:rsid w:val="5CD718AB"/>
    <w:rsid w:val="5CDD125B"/>
    <w:rsid w:val="5CE42072"/>
    <w:rsid w:val="5CF039A9"/>
    <w:rsid w:val="5D131446"/>
    <w:rsid w:val="5D1551BE"/>
    <w:rsid w:val="5D17220F"/>
    <w:rsid w:val="5D213E13"/>
    <w:rsid w:val="5D301FF8"/>
    <w:rsid w:val="5D3543FB"/>
    <w:rsid w:val="5D3A69D3"/>
    <w:rsid w:val="5D3D7B55"/>
    <w:rsid w:val="5D49561A"/>
    <w:rsid w:val="5D4D4B67"/>
    <w:rsid w:val="5D5276A2"/>
    <w:rsid w:val="5D68760C"/>
    <w:rsid w:val="5D692B4A"/>
    <w:rsid w:val="5D6E1FD6"/>
    <w:rsid w:val="5D760DFE"/>
    <w:rsid w:val="5D8F4370"/>
    <w:rsid w:val="5D972077"/>
    <w:rsid w:val="5DA87DE0"/>
    <w:rsid w:val="5DAB1143"/>
    <w:rsid w:val="5DAF2A40"/>
    <w:rsid w:val="5DB17D02"/>
    <w:rsid w:val="5DB31446"/>
    <w:rsid w:val="5DC0337C"/>
    <w:rsid w:val="5DC866D4"/>
    <w:rsid w:val="5DCF2503"/>
    <w:rsid w:val="5DD43000"/>
    <w:rsid w:val="5DD619A0"/>
    <w:rsid w:val="5DD97B2E"/>
    <w:rsid w:val="5DE33377"/>
    <w:rsid w:val="5DE52DE2"/>
    <w:rsid w:val="5DFB598F"/>
    <w:rsid w:val="5E183CFF"/>
    <w:rsid w:val="5E1E394A"/>
    <w:rsid w:val="5E2B7EEF"/>
    <w:rsid w:val="5E2C0A11"/>
    <w:rsid w:val="5E2E1600"/>
    <w:rsid w:val="5E3774A1"/>
    <w:rsid w:val="5E416216"/>
    <w:rsid w:val="5E4C10B3"/>
    <w:rsid w:val="5E50072C"/>
    <w:rsid w:val="5E52616B"/>
    <w:rsid w:val="5E6623EB"/>
    <w:rsid w:val="5E664F76"/>
    <w:rsid w:val="5E67417C"/>
    <w:rsid w:val="5E6B1C04"/>
    <w:rsid w:val="5E6C3504"/>
    <w:rsid w:val="5E8048B9"/>
    <w:rsid w:val="5E912F6A"/>
    <w:rsid w:val="5E914D18"/>
    <w:rsid w:val="5E9268B6"/>
    <w:rsid w:val="5E9345EC"/>
    <w:rsid w:val="5E946DA5"/>
    <w:rsid w:val="5E961741"/>
    <w:rsid w:val="5E9B254F"/>
    <w:rsid w:val="5EA05BE0"/>
    <w:rsid w:val="5EA470C3"/>
    <w:rsid w:val="5EAE7678"/>
    <w:rsid w:val="5EBA601D"/>
    <w:rsid w:val="5ED94EE3"/>
    <w:rsid w:val="5EDC1A1D"/>
    <w:rsid w:val="5EE04437"/>
    <w:rsid w:val="5EE673AD"/>
    <w:rsid w:val="5EE906B0"/>
    <w:rsid w:val="5EF05EE3"/>
    <w:rsid w:val="5F0B4ACB"/>
    <w:rsid w:val="5F100333"/>
    <w:rsid w:val="5F1F40D2"/>
    <w:rsid w:val="5F3176B9"/>
    <w:rsid w:val="5F426012"/>
    <w:rsid w:val="5F4B7B56"/>
    <w:rsid w:val="5F4E650A"/>
    <w:rsid w:val="5F5046EA"/>
    <w:rsid w:val="5F5C2317"/>
    <w:rsid w:val="5F5F0972"/>
    <w:rsid w:val="5F6441ED"/>
    <w:rsid w:val="5F6661A5"/>
    <w:rsid w:val="5F6A0B17"/>
    <w:rsid w:val="5F6A6AC8"/>
    <w:rsid w:val="5F6F6A29"/>
    <w:rsid w:val="5F84250C"/>
    <w:rsid w:val="5F866EC2"/>
    <w:rsid w:val="5F875EC9"/>
    <w:rsid w:val="5F920EC8"/>
    <w:rsid w:val="5F9A5E4E"/>
    <w:rsid w:val="5F9E1348"/>
    <w:rsid w:val="5F9E398A"/>
    <w:rsid w:val="5FA12D39"/>
    <w:rsid w:val="5FA3544C"/>
    <w:rsid w:val="5FAA42E4"/>
    <w:rsid w:val="5FAC4886"/>
    <w:rsid w:val="5FAD00B5"/>
    <w:rsid w:val="5FB66D02"/>
    <w:rsid w:val="5FC058B5"/>
    <w:rsid w:val="5FC41398"/>
    <w:rsid w:val="5FE311ED"/>
    <w:rsid w:val="5FE42E7C"/>
    <w:rsid w:val="5FEC48FC"/>
    <w:rsid w:val="5FF2749D"/>
    <w:rsid w:val="5FF87C5D"/>
    <w:rsid w:val="600315B6"/>
    <w:rsid w:val="60071C9B"/>
    <w:rsid w:val="600E3B45"/>
    <w:rsid w:val="601B0D3D"/>
    <w:rsid w:val="601F7341"/>
    <w:rsid w:val="60273055"/>
    <w:rsid w:val="603242D9"/>
    <w:rsid w:val="60522285"/>
    <w:rsid w:val="605C5A30"/>
    <w:rsid w:val="60624676"/>
    <w:rsid w:val="607D63DF"/>
    <w:rsid w:val="60A3539C"/>
    <w:rsid w:val="60AE7E03"/>
    <w:rsid w:val="60B149D0"/>
    <w:rsid w:val="60B70030"/>
    <w:rsid w:val="60B97540"/>
    <w:rsid w:val="60BC0397"/>
    <w:rsid w:val="60C627BB"/>
    <w:rsid w:val="60C90799"/>
    <w:rsid w:val="60D443A1"/>
    <w:rsid w:val="60DC2CC3"/>
    <w:rsid w:val="60DD7D2A"/>
    <w:rsid w:val="60E21853"/>
    <w:rsid w:val="6118507C"/>
    <w:rsid w:val="611F2767"/>
    <w:rsid w:val="61343606"/>
    <w:rsid w:val="61366D54"/>
    <w:rsid w:val="613720DD"/>
    <w:rsid w:val="613979C7"/>
    <w:rsid w:val="61447E20"/>
    <w:rsid w:val="614A1A89"/>
    <w:rsid w:val="614E6EF1"/>
    <w:rsid w:val="614F763C"/>
    <w:rsid w:val="615755BD"/>
    <w:rsid w:val="615D2A65"/>
    <w:rsid w:val="61613BEB"/>
    <w:rsid w:val="61693D2A"/>
    <w:rsid w:val="61796574"/>
    <w:rsid w:val="618042CE"/>
    <w:rsid w:val="61880654"/>
    <w:rsid w:val="6189617B"/>
    <w:rsid w:val="61931421"/>
    <w:rsid w:val="61952D71"/>
    <w:rsid w:val="619E4563"/>
    <w:rsid w:val="619F63A8"/>
    <w:rsid w:val="61CD6067"/>
    <w:rsid w:val="61DD059C"/>
    <w:rsid w:val="61E06BEB"/>
    <w:rsid w:val="61FA38A4"/>
    <w:rsid w:val="61FB44F2"/>
    <w:rsid w:val="62026A91"/>
    <w:rsid w:val="62086C73"/>
    <w:rsid w:val="622B4E68"/>
    <w:rsid w:val="624060C2"/>
    <w:rsid w:val="625941A1"/>
    <w:rsid w:val="625C0D21"/>
    <w:rsid w:val="62671448"/>
    <w:rsid w:val="62726C0F"/>
    <w:rsid w:val="628110AA"/>
    <w:rsid w:val="62875A90"/>
    <w:rsid w:val="629047BC"/>
    <w:rsid w:val="629762BF"/>
    <w:rsid w:val="62A31A64"/>
    <w:rsid w:val="62AE4DDD"/>
    <w:rsid w:val="62B06376"/>
    <w:rsid w:val="62B13E15"/>
    <w:rsid w:val="62B56ACB"/>
    <w:rsid w:val="62C30852"/>
    <w:rsid w:val="62C50952"/>
    <w:rsid w:val="62E61DA2"/>
    <w:rsid w:val="62EC0759"/>
    <w:rsid w:val="62EC69C1"/>
    <w:rsid w:val="62FA0C93"/>
    <w:rsid w:val="62FD472A"/>
    <w:rsid w:val="63065CD5"/>
    <w:rsid w:val="63102F17"/>
    <w:rsid w:val="63102F38"/>
    <w:rsid w:val="631421D2"/>
    <w:rsid w:val="633012F7"/>
    <w:rsid w:val="6333416A"/>
    <w:rsid w:val="63387D47"/>
    <w:rsid w:val="63414F5F"/>
    <w:rsid w:val="634520A2"/>
    <w:rsid w:val="634C61F4"/>
    <w:rsid w:val="635B58F5"/>
    <w:rsid w:val="635D7C35"/>
    <w:rsid w:val="636C0637"/>
    <w:rsid w:val="63873AE1"/>
    <w:rsid w:val="639578ED"/>
    <w:rsid w:val="63AA7892"/>
    <w:rsid w:val="63AB062A"/>
    <w:rsid w:val="63AE2A15"/>
    <w:rsid w:val="63C65464"/>
    <w:rsid w:val="63CA40E4"/>
    <w:rsid w:val="63D11CD0"/>
    <w:rsid w:val="63D15554"/>
    <w:rsid w:val="63D60D6D"/>
    <w:rsid w:val="63DA0F0F"/>
    <w:rsid w:val="63DC4C88"/>
    <w:rsid w:val="63FE1B1D"/>
    <w:rsid w:val="64083EBA"/>
    <w:rsid w:val="640A6B8A"/>
    <w:rsid w:val="641B5F97"/>
    <w:rsid w:val="64243F39"/>
    <w:rsid w:val="64262637"/>
    <w:rsid w:val="64270A9F"/>
    <w:rsid w:val="643144B1"/>
    <w:rsid w:val="643423CE"/>
    <w:rsid w:val="64430863"/>
    <w:rsid w:val="64433A80"/>
    <w:rsid w:val="64441708"/>
    <w:rsid w:val="644B2E9F"/>
    <w:rsid w:val="64601415"/>
    <w:rsid w:val="646107A2"/>
    <w:rsid w:val="6469042C"/>
    <w:rsid w:val="646D1B4F"/>
    <w:rsid w:val="647944D1"/>
    <w:rsid w:val="647B624F"/>
    <w:rsid w:val="647D7FBC"/>
    <w:rsid w:val="64802D6E"/>
    <w:rsid w:val="64805613"/>
    <w:rsid w:val="648A0240"/>
    <w:rsid w:val="64AD2B0F"/>
    <w:rsid w:val="64B11C70"/>
    <w:rsid w:val="64BA1C4E"/>
    <w:rsid w:val="64BD5DA3"/>
    <w:rsid w:val="64C67161"/>
    <w:rsid w:val="64E42046"/>
    <w:rsid w:val="64EA5182"/>
    <w:rsid w:val="64EC297E"/>
    <w:rsid w:val="64F102BF"/>
    <w:rsid w:val="64FE364A"/>
    <w:rsid w:val="6507754E"/>
    <w:rsid w:val="650D2C1F"/>
    <w:rsid w:val="65123962"/>
    <w:rsid w:val="651C0C51"/>
    <w:rsid w:val="65337EC4"/>
    <w:rsid w:val="65434131"/>
    <w:rsid w:val="654B153D"/>
    <w:rsid w:val="654B7228"/>
    <w:rsid w:val="654D7C2E"/>
    <w:rsid w:val="65505F7C"/>
    <w:rsid w:val="657C5654"/>
    <w:rsid w:val="6593581A"/>
    <w:rsid w:val="65AF1C1C"/>
    <w:rsid w:val="65BC12ED"/>
    <w:rsid w:val="65C17EA5"/>
    <w:rsid w:val="65C200D8"/>
    <w:rsid w:val="65C41297"/>
    <w:rsid w:val="65C60E87"/>
    <w:rsid w:val="65CA788D"/>
    <w:rsid w:val="65CF5000"/>
    <w:rsid w:val="65D22501"/>
    <w:rsid w:val="65D969F1"/>
    <w:rsid w:val="65F468C3"/>
    <w:rsid w:val="660718F0"/>
    <w:rsid w:val="66081D64"/>
    <w:rsid w:val="660B53B0"/>
    <w:rsid w:val="661669E2"/>
    <w:rsid w:val="661B76D3"/>
    <w:rsid w:val="662B74D0"/>
    <w:rsid w:val="662D3578"/>
    <w:rsid w:val="663533F6"/>
    <w:rsid w:val="663F14FE"/>
    <w:rsid w:val="663F7253"/>
    <w:rsid w:val="66415147"/>
    <w:rsid w:val="664D7777"/>
    <w:rsid w:val="66506D16"/>
    <w:rsid w:val="665516BD"/>
    <w:rsid w:val="666E0E1B"/>
    <w:rsid w:val="667529CC"/>
    <w:rsid w:val="66763171"/>
    <w:rsid w:val="667D51BE"/>
    <w:rsid w:val="667E2883"/>
    <w:rsid w:val="667E6793"/>
    <w:rsid w:val="668313EA"/>
    <w:rsid w:val="66860EDB"/>
    <w:rsid w:val="669C0748"/>
    <w:rsid w:val="66A51361"/>
    <w:rsid w:val="66A80E51"/>
    <w:rsid w:val="66A8260B"/>
    <w:rsid w:val="66AB3962"/>
    <w:rsid w:val="66B454E8"/>
    <w:rsid w:val="66C12C09"/>
    <w:rsid w:val="66C15989"/>
    <w:rsid w:val="66C739CD"/>
    <w:rsid w:val="66C814F3"/>
    <w:rsid w:val="66DE6A20"/>
    <w:rsid w:val="66E6060C"/>
    <w:rsid w:val="66E9733E"/>
    <w:rsid w:val="66EB050D"/>
    <w:rsid w:val="67055E1B"/>
    <w:rsid w:val="672277D6"/>
    <w:rsid w:val="67290209"/>
    <w:rsid w:val="67290ACE"/>
    <w:rsid w:val="672F50CE"/>
    <w:rsid w:val="67307EB3"/>
    <w:rsid w:val="67355406"/>
    <w:rsid w:val="67371751"/>
    <w:rsid w:val="6739040E"/>
    <w:rsid w:val="674E60A1"/>
    <w:rsid w:val="67531912"/>
    <w:rsid w:val="675D60DF"/>
    <w:rsid w:val="676129D2"/>
    <w:rsid w:val="676378A7"/>
    <w:rsid w:val="67644C59"/>
    <w:rsid w:val="677B490E"/>
    <w:rsid w:val="677B7C35"/>
    <w:rsid w:val="6785559A"/>
    <w:rsid w:val="678673E4"/>
    <w:rsid w:val="678A6C8A"/>
    <w:rsid w:val="67955879"/>
    <w:rsid w:val="67A91917"/>
    <w:rsid w:val="67B5271A"/>
    <w:rsid w:val="67B57CC9"/>
    <w:rsid w:val="67C021CA"/>
    <w:rsid w:val="67C16637"/>
    <w:rsid w:val="67CD37DA"/>
    <w:rsid w:val="67D469E8"/>
    <w:rsid w:val="67DE49E8"/>
    <w:rsid w:val="67E916C6"/>
    <w:rsid w:val="67E934CF"/>
    <w:rsid w:val="67EC408F"/>
    <w:rsid w:val="67ED1140"/>
    <w:rsid w:val="67FC691C"/>
    <w:rsid w:val="67FE19E3"/>
    <w:rsid w:val="68071BA7"/>
    <w:rsid w:val="68076A48"/>
    <w:rsid w:val="68106CAE"/>
    <w:rsid w:val="68125890"/>
    <w:rsid w:val="681C67CF"/>
    <w:rsid w:val="682E5386"/>
    <w:rsid w:val="683A1C10"/>
    <w:rsid w:val="683B4874"/>
    <w:rsid w:val="683F7593"/>
    <w:rsid w:val="684352D5"/>
    <w:rsid w:val="684A6664"/>
    <w:rsid w:val="684F3C7A"/>
    <w:rsid w:val="68A67612"/>
    <w:rsid w:val="68AE414D"/>
    <w:rsid w:val="68BA59E1"/>
    <w:rsid w:val="68C6767F"/>
    <w:rsid w:val="68C81889"/>
    <w:rsid w:val="68E424F2"/>
    <w:rsid w:val="68EB171F"/>
    <w:rsid w:val="68F077D5"/>
    <w:rsid w:val="68F12C01"/>
    <w:rsid w:val="68FA6539"/>
    <w:rsid w:val="69045669"/>
    <w:rsid w:val="69061428"/>
    <w:rsid w:val="690F3409"/>
    <w:rsid w:val="6927078B"/>
    <w:rsid w:val="69286279"/>
    <w:rsid w:val="69393D31"/>
    <w:rsid w:val="693C1432"/>
    <w:rsid w:val="693F5EA4"/>
    <w:rsid w:val="69460607"/>
    <w:rsid w:val="694858F0"/>
    <w:rsid w:val="69550BFB"/>
    <w:rsid w:val="696A6B29"/>
    <w:rsid w:val="696E0A9A"/>
    <w:rsid w:val="69715E72"/>
    <w:rsid w:val="69750E21"/>
    <w:rsid w:val="697B001E"/>
    <w:rsid w:val="69842192"/>
    <w:rsid w:val="698450AA"/>
    <w:rsid w:val="6985687C"/>
    <w:rsid w:val="69934099"/>
    <w:rsid w:val="699851AD"/>
    <w:rsid w:val="69A048BD"/>
    <w:rsid w:val="69A71034"/>
    <w:rsid w:val="69A83492"/>
    <w:rsid w:val="69A9560C"/>
    <w:rsid w:val="69C27B02"/>
    <w:rsid w:val="69C91F97"/>
    <w:rsid w:val="69DB27B6"/>
    <w:rsid w:val="69E623BC"/>
    <w:rsid w:val="69ED6F02"/>
    <w:rsid w:val="69EE7223"/>
    <w:rsid w:val="69FD14B4"/>
    <w:rsid w:val="6A056DDC"/>
    <w:rsid w:val="6A057393"/>
    <w:rsid w:val="6A0E1913"/>
    <w:rsid w:val="6A143694"/>
    <w:rsid w:val="6A1C0949"/>
    <w:rsid w:val="6A1E0A41"/>
    <w:rsid w:val="6A2E3F76"/>
    <w:rsid w:val="6A2E73C3"/>
    <w:rsid w:val="6A2F5543"/>
    <w:rsid w:val="6A465FF0"/>
    <w:rsid w:val="6A472B4C"/>
    <w:rsid w:val="6A570A63"/>
    <w:rsid w:val="6A63210D"/>
    <w:rsid w:val="6A7670F5"/>
    <w:rsid w:val="6A8120E5"/>
    <w:rsid w:val="6A987C6F"/>
    <w:rsid w:val="6AAA1DFE"/>
    <w:rsid w:val="6AAF79FF"/>
    <w:rsid w:val="6AC00E5F"/>
    <w:rsid w:val="6AC306AA"/>
    <w:rsid w:val="6AC33F7B"/>
    <w:rsid w:val="6AC60616"/>
    <w:rsid w:val="6AC87871"/>
    <w:rsid w:val="6AD26369"/>
    <w:rsid w:val="6AD959DC"/>
    <w:rsid w:val="6AEB19C5"/>
    <w:rsid w:val="6AF40B09"/>
    <w:rsid w:val="6B0B1A2E"/>
    <w:rsid w:val="6B0F64B4"/>
    <w:rsid w:val="6B193F82"/>
    <w:rsid w:val="6B33736F"/>
    <w:rsid w:val="6B3453A9"/>
    <w:rsid w:val="6B39476E"/>
    <w:rsid w:val="6B450D39"/>
    <w:rsid w:val="6B4A1FF9"/>
    <w:rsid w:val="6B592AF9"/>
    <w:rsid w:val="6B5C2732"/>
    <w:rsid w:val="6B633598"/>
    <w:rsid w:val="6B7E44A8"/>
    <w:rsid w:val="6B802B7B"/>
    <w:rsid w:val="6B851761"/>
    <w:rsid w:val="6B9D2F4E"/>
    <w:rsid w:val="6BA22313"/>
    <w:rsid w:val="6BA30D72"/>
    <w:rsid w:val="6BAF67DE"/>
    <w:rsid w:val="6BB32772"/>
    <w:rsid w:val="6BB641D1"/>
    <w:rsid w:val="6BD61E2E"/>
    <w:rsid w:val="6BDD77EF"/>
    <w:rsid w:val="6BE75F78"/>
    <w:rsid w:val="6BEB1F0C"/>
    <w:rsid w:val="6BFB26B9"/>
    <w:rsid w:val="6C003F58"/>
    <w:rsid w:val="6C0510AF"/>
    <w:rsid w:val="6C0A12A0"/>
    <w:rsid w:val="6C131371"/>
    <w:rsid w:val="6C1E27FB"/>
    <w:rsid w:val="6C2125B9"/>
    <w:rsid w:val="6C45127D"/>
    <w:rsid w:val="6C465394"/>
    <w:rsid w:val="6C477A48"/>
    <w:rsid w:val="6C497C2B"/>
    <w:rsid w:val="6C4D6279"/>
    <w:rsid w:val="6C526EDC"/>
    <w:rsid w:val="6C691929"/>
    <w:rsid w:val="6C6B4DFB"/>
    <w:rsid w:val="6C7653EA"/>
    <w:rsid w:val="6C80161C"/>
    <w:rsid w:val="6C8346BA"/>
    <w:rsid w:val="6C8C7A1A"/>
    <w:rsid w:val="6C8E07EB"/>
    <w:rsid w:val="6C922387"/>
    <w:rsid w:val="6CAA1C24"/>
    <w:rsid w:val="6CC5763D"/>
    <w:rsid w:val="6CD7449F"/>
    <w:rsid w:val="6CDF186C"/>
    <w:rsid w:val="6CE64E0F"/>
    <w:rsid w:val="6CE90A98"/>
    <w:rsid w:val="6CEF50C6"/>
    <w:rsid w:val="6CF43A7A"/>
    <w:rsid w:val="6CF803B7"/>
    <w:rsid w:val="6CFC7A9E"/>
    <w:rsid w:val="6CFD633E"/>
    <w:rsid w:val="6D147240"/>
    <w:rsid w:val="6D1A3AF6"/>
    <w:rsid w:val="6D281E21"/>
    <w:rsid w:val="6D295F60"/>
    <w:rsid w:val="6D347596"/>
    <w:rsid w:val="6D596E90"/>
    <w:rsid w:val="6D68758C"/>
    <w:rsid w:val="6D7F1132"/>
    <w:rsid w:val="6D82064E"/>
    <w:rsid w:val="6D860032"/>
    <w:rsid w:val="6DA07862"/>
    <w:rsid w:val="6DA56BA6"/>
    <w:rsid w:val="6DAB5AB0"/>
    <w:rsid w:val="6DAE7C8E"/>
    <w:rsid w:val="6DC7004F"/>
    <w:rsid w:val="6DD864C0"/>
    <w:rsid w:val="6DE33684"/>
    <w:rsid w:val="6DE60B88"/>
    <w:rsid w:val="6DEB5D49"/>
    <w:rsid w:val="6DF33D76"/>
    <w:rsid w:val="6DF40A60"/>
    <w:rsid w:val="6DFD3487"/>
    <w:rsid w:val="6DFF1AAA"/>
    <w:rsid w:val="6E015BBB"/>
    <w:rsid w:val="6E061D25"/>
    <w:rsid w:val="6E085B93"/>
    <w:rsid w:val="6E0F7A08"/>
    <w:rsid w:val="6E16620A"/>
    <w:rsid w:val="6E182D60"/>
    <w:rsid w:val="6E217E67"/>
    <w:rsid w:val="6E2860C8"/>
    <w:rsid w:val="6E2900AC"/>
    <w:rsid w:val="6E2B7977"/>
    <w:rsid w:val="6E2E4063"/>
    <w:rsid w:val="6E3C285F"/>
    <w:rsid w:val="6E414A73"/>
    <w:rsid w:val="6E562AD8"/>
    <w:rsid w:val="6E5E6D9D"/>
    <w:rsid w:val="6E714591"/>
    <w:rsid w:val="6E743D04"/>
    <w:rsid w:val="6E772037"/>
    <w:rsid w:val="6E786804"/>
    <w:rsid w:val="6E8250F1"/>
    <w:rsid w:val="6E846A90"/>
    <w:rsid w:val="6E9D5013"/>
    <w:rsid w:val="6EAD16FA"/>
    <w:rsid w:val="6ECB3E6A"/>
    <w:rsid w:val="6ECB4CD8"/>
    <w:rsid w:val="6ECE1BA8"/>
    <w:rsid w:val="6ECF5D6D"/>
    <w:rsid w:val="6EDC418C"/>
    <w:rsid w:val="6EE15A63"/>
    <w:rsid w:val="6EE67590"/>
    <w:rsid w:val="6EEA69AD"/>
    <w:rsid w:val="6EEE6498"/>
    <w:rsid w:val="6EFD1D73"/>
    <w:rsid w:val="6EFD5AB2"/>
    <w:rsid w:val="6F013D03"/>
    <w:rsid w:val="6F053C43"/>
    <w:rsid w:val="6F075837"/>
    <w:rsid w:val="6F1B6067"/>
    <w:rsid w:val="6F256125"/>
    <w:rsid w:val="6F2620DC"/>
    <w:rsid w:val="6F28453E"/>
    <w:rsid w:val="6F333FFC"/>
    <w:rsid w:val="6F4656AB"/>
    <w:rsid w:val="6F49551F"/>
    <w:rsid w:val="6F540B15"/>
    <w:rsid w:val="6F54601A"/>
    <w:rsid w:val="6F555835"/>
    <w:rsid w:val="6F5837CB"/>
    <w:rsid w:val="6F597080"/>
    <w:rsid w:val="6F626E48"/>
    <w:rsid w:val="6F630BD6"/>
    <w:rsid w:val="6F812184"/>
    <w:rsid w:val="6F845B2B"/>
    <w:rsid w:val="6F8740FD"/>
    <w:rsid w:val="6F8D3F04"/>
    <w:rsid w:val="6F8D5088"/>
    <w:rsid w:val="6F970471"/>
    <w:rsid w:val="6F974654"/>
    <w:rsid w:val="6FA10C39"/>
    <w:rsid w:val="6FC51A41"/>
    <w:rsid w:val="6FC532F8"/>
    <w:rsid w:val="6FE32EFA"/>
    <w:rsid w:val="6FEC1DAE"/>
    <w:rsid w:val="6FF50B96"/>
    <w:rsid w:val="6FF8441E"/>
    <w:rsid w:val="70092D5A"/>
    <w:rsid w:val="700C3008"/>
    <w:rsid w:val="702E0D9C"/>
    <w:rsid w:val="70300C7F"/>
    <w:rsid w:val="70312EE4"/>
    <w:rsid w:val="70385739"/>
    <w:rsid w:val="703F7E7D"/>
    <w:rsid w:val="704020FA"/>
    <w:rsid w:val="70457711"/>
    <w:rsid w:val="704A5564"/>
    <w:rsid w:val="706978A3"/>
    <w:rsid w:val="706B41B2"/>
    <w:rsid w:val="70751679"/>
    <w:rsid w:val="708B47AA"/>
    <w:rsid w:val="709616C4"/>
    <w:rsid w:val="70981E9C"/>
    <w:rsid w:val="709F2104"/>
    <w:rsid w:val="70A47E6A"/>
    <w:rsid w:val="70B52D25"/>
    <w:rsid w:val="70C36F04"/>
    <w:rsid w:val="70C4348D"/>
    <w:rsid w:val="70C740E1"/>
    <w:rsid w:val="70D07EC3"/>
    <w:rsid w:val="70D319E7"/>
    <w:rsid w:val="70D75F53"/>
    <w:rsid w:val="70D80585"/>
    <w:rsid w:val="70E02DBE"/>
    <w:rsid w:val="70EC468E"/>
    <w:rsid w:val="70EE7DA8"/>
    <w:rsid w:val="70F33FDC"/>
    <w:rsid w:val="70FD71A6"/>
    <w:rsid w:val="71082AAC"/>
    <w:rsid w:val="711D6AEF"/>
    <w:rsid w:val="71202DBA"/>
    <w:rsid w:val="714E3E56"/>
    <w:rsid w:val="71614A1E"/>
    <w:rsid w:val="7176585C"/>
    <w:rsid w:val="718F38C4"/>
    <w:rsid w:val="71902BFF"/>
    <w:rsid w:val="719A5DCE"/>
    <w:rsid w:val="719B7F30"/>
    <w:rsid w:val="719E7F71"/>
    <w:rsid w:val="71A02309"/>
    <w:rsid w:val="71A12E7C"/>
    <w:rsid w:val="71A74762"/>
    <w:rsid w:val="71A93FA1"/>
    <w:rsid w:val="71BA28B0"/>
    <w:rsid w:val="71BD203C"/>
    <w:rsid w:val="71CC3CC0"/>
    <w:rsid w:val="71D76943"/>
    <w:rsid w:val="71EC41F4"/>
    <w:rsid w:val="71F009FC"/>
    <w:rsid w:val="72035AD5"/>
    <w:rsid w:val="720E21AB"/>
    <w:rsid w:val="72127AC6"/>
    <w:rsid w:val="72135D18"/>
    <w:rsid w:val="7215493B"/>
    <w:rsid w:val="72172DD6"/>
    <w:rsid w:val="72190E55"/>
    <w:rsid w:val="72201995"/>
    <w:rsid w:val="72231B12"/>
    <w:rsid w:val="723E4170"/>
    <w:rsid w:val="72422A05"/>
    <w:rsid w:val="724759C2"/>
    <w:rsid w:val="72516841"/>
    <w:rsid w:val="725716A5"/>
    <w:rsid w:val="726A16B0"/>
    <w:rsid w:val="726F7761"/>
    <w:rsid w:val="72780225"/>
    <w:rsid w:val="727C5F33"/>
    <w:rsid w:val="727F77F5"/>
    <w:rsid w:val="72816D82"/>
    <w:rsid w:val="7299539E"/>
    <w:rsid w:val="729C3F60"/>
    <w:rsid w:val="72B37534"/>
    <w:rsid w:val="72B70089"/>
    <w:rsid w:val="72B73C27"/>
    <w:rsid w:val="72C7009D"/>
    <w:rsid w:val="72D354A8"/>
    <w:rsid w:val="72D36A71"/>
    <w:rsid w:val="72DB0E40"/>
    <w:rsid w:val="72E4478C"/>
    <w:rsid w:val="72FD42D3"/>
    <w:rsid w:val="72FF004B"/>
    <w:rsid w:val="72FF2DB8"/>
    <w:rsid w:val="731352DC"/>
    <w:rsid w:val="731F249B"/>
    <w:rsid w:val="73237AF4"/>
    <w:rsid w:val="73253671"/>
    <w:rsid w:val="73306456"/>
    <w:rsid w:val="73317A27"/>
    <w:rsid w:val="73357E69"/>
    <w:rsid w:val="733817AF"/>
    <w:rsid w:val="7351733F"/>
    <w:rsid w:val="73593E7F"/>
    <w:rsid w:val="735B6DB7"/>
    <w:rsid w:val="735C2691"/>
    <w:rsid w:val="735D3FB1"/>
    <w:rsid w:val="736D7FD1"/>
    <w:rsid w:val="737353DE"/>
    <w:rsid w:val="73767F05"/>
    <w:rsid w:val="7379604F"/>
    <w:rsid w:val="73886292"/>
    <w:rsid w:val="73935567"/>
    <w:rsid w:val="73A62438"/>
    <w:rsid w:val="73AC0E24"/>
    <w:rsid w:val="73BA21C4"/>
    <w:rsid w:val="73BA3CC2"/>
    <w:rsid w:val="73BC5F3C"/>
    <w:rsid w:val="73BE02D8"/>
    <w:rsid w:val="73BF0CB3"/>
    <w:rsid w:val="73CF5C6F"/>
    <w:rsid w:val="73D50144"/>
    <w:rsid w:val="73E060CE"/>
    <w:rsid w:val="73EA1ABC"/>
    <w:rsid w:val="73F602AE"/>
    <w:rsid w:val="74034BE4"/>
    <w:rsid w:val="740D1EA9"/>
    <w:rsid w:val="74165E03"/>
    <w:rsid w:val="741E5489"/>
    <w:rsid w:val="741F7825"/>
    <w:rsid w:val="742779EC"/>
    <w:rsid w:val="742F7A23"/>
    <w:rsid w:val="74325266"/>
    <w:rsid w:val="74417576"/>
    <w:rsid w:val="7452064E"/>
    <w:rsid w:val="745443C6"/>
    <w:rsid w:val="74685677"/>
    <w:rsid w:val="746C0C97"/>
    <w:rsid w:val="74711570"/>
    <w:rsid w:val="74895730"/>
    <w:rsid w:val="74943E9C"/>
    <w:rsid w:val="749A50E1"/>
    <w:rsid w:val="749B1FF5"/>
    <w:rsid w:val="749F1AE5"/>
    <w:rsid w:val="74A0551B"/>
    <w:rsid w:val="74A30713"/>
    <w:rsid w:val="74B6122E"/>
    <w:rsid w:val="74C07CAE"/>
    <w:rsid w:val="74C54CA2"/>
    <w:rsid w:val="74CA6436"/>
    <w:rsid w:val="74EB5F77"/>
    <w:rsid w:val="74EE481B"/>
    <w:rsid w:val="74F2284A"/>
    <w:rsid w:val="74F26A6B"/>
    <w:rsid w:val="74FB1883"/>
    <w:rsid w:val="750F7705"/>
    <w:rsid w:val="75173029"/>
    <w:rsid w:val="75241FEA"/>
    <w:rsid w:val="75275B9B"/>
    <w:rsid w:val="75275C40"/>
    <w:rsid w:val="752D0D38"/>
    <w:rsid w:val="753560F9"/>
    <w:rsid w:val="75482A22"/>
    <w:rsid w:val="758208D8"/>
    <w:rsid w:val="75826D11"/>
    <w:rsid w:val="758A424E"/>
    <w:rsid w:val="758E3C4E"/>
    <w:rsid w:val="75947170"/>
    <w:rsid w:val="75A44310"/>
    <w:rsid w:val="75B52BD6"/>
    <w:rsid w:val="75B72D40"/>
    <w:rsid w:val="75BB6DDA"/>
    <w:rsid w:val="75BC0475"/>
    <w:rsid w:val="75C84C1B"/>
    <w:rsid w:val="75E14175"/>
    <w:rsid w:val="75E85141"/>
    <w:rsid w:val="75F76319"/>
    <w:rsid w:val="76094035"/>
    <w:rsid w:val="760A3051"/>
    <w:rsid w:val="760B6D06"/>
    <w:rsid w:val="761262E7"/>
    <w:rsid w:val="76155DFB"/>
    <w:rsid w:val="761757F3"/>
    <w:rsid w:val="76230272"/>
    <w:rsid w:val="76263B40"/>
    <w:rsid w:val="76360227"/>
    <w:rsid w:val="76371C9A"/>
    <w:rsid w:val="763E40F3"/>
    <w:rsid w:val="764D35D7"/>
    <w:rsid w:val="76581B86"/>
    <w:rsid w:val="765A1DB4"/>
    <w:rsid w:val="765A68B9"/>
    <w:rsid w:val="765D1540"/>
    <w:rsid w:val="7662023E"/>
    <w:rsid w:val="76623E68"/>
    <w:rsid w:val="76643AE7"/>
    <w:rsid w:val="767A306F"/>
    <w:rsid w:val="768309E0"/>
    <w:rsid w:val="7684793E"/>
    <w:rsid w:val="769732C7"/>
    <w:rsid w:val="769767EC"/>
    <w:rsid w:val="76983734"/>
    <w:rsid w:val="76A235BC"/>
    <w:rsid w:val="76AE0046"/>
    <w:rsid w:val="76B305FF"/>
    <w:rsid w:val="76C02622"/>
    <w:rsid w:val="76C04379"/>
    <w:rsid w:val="76C96671"/>
    <w:rsid w:val="76D66190"/>
    <w:rsid w:val="76F352B7"/>
    <w:rsid w:val="76F62536"/>
    <w:rsid w:val="76F63F8E"/>
    <w:rsid w:val="7705394C"/>
    <w:rsid w:val="77130569"/>
    <w:rsid w:val="77541DD9"/>
    <w:rsid w:val="77560455"/>
    <w:rsid w:val="775B3563"/>
    <w:rsid w:val="77610953"/>
    <w:rsid w:val="77737259"/>
    <w:rsid w:val="77750B1E"/>
    <w:rsid w:val="77785FC0"/>
    <w:rsid w:val="777C69F4"/>
    <w:rsid w:val="7782124A"/>
    <w:rsid w:val="779D6D1F"/>
    <w:rsid w:val="779E3850"/>
    <w:rsid w:val="77B11365"/>
    <w:rsid w:val="77B37656"/>
    <w:rsid w:val="77B91110"/>
    <w:rsid w:val="77C3377A"/>
    <w:rsid w:val="77C35AEB"/>
    <w:rsid w:val="77C51D8C"/>
    <w:rsid w:val="77C655DB"/>
    <w:rsid w:val="77C74EAF"/>
    <w:rsid w:val="77DE46D3"/>
    <w:rsid w:val="77E617D9"/>
    <w:rsid w:val="77EB6DF0"/>
    <w:rsid w:val="77F43EF6"/>
    <w:rsid w:val="77F54AD9"/>
    <w:rsid w:val="77FA64C2"/>
    <w:rsid w:val="78024049"/>
    <w:rsid w:val="780802FA"/>
    <w:rsid w:val="78140594"/>
    <w:rsid w:val="78177082"/>
    <w:rsid w:val="78212811"/>
    <w:rsid w:val="78291AB0"/>
    <w:rsid w:val="78320EC2"/>
    <w:rsid w:val="78393BDC"/>
    <w:rsid w:val="785051F3"/>
    <w:rsid w:val="78632E2A"/>
    <w:rsid w:val="78646F86"/>
    <w:rsid w:val="787057C4"/>
    <w:rsid w:val="78727E4E"/>
    <w:rsid w:val="7873289B"/>
    <w:rsid w:val="787B63C5"/>
    <w:rsid w:val="78880AE2"/>
    <w:rsid w:val="78886D34"/>
    <w:rsid w:val="788A0834"/>
    <w:rsid w:val="78A13CF9"/>
    <w:rsid w:val="78A23952"/>
    <w:rsid w:val="78A51694"/>
    <w:rsid w:val="78AE072B"/>
    <w:rsid w:val="78AE0DB3"/>
    <w:rsid w:val="78B638A1"/>
    <w:rsid w:val="78C12F29"/>
    <w:rsid w:val="78C7160B"/>
    <w:rsid w:val="78CD0CE6"/>
    <w:rsid w:val="78CE6947"/>
    <w:rsid w:val="78E81250"/>
    <w:rsid w:val="79017595"/>
    <w:rsid w:val="790C6D01"/>
    <w:rsid w:val="79121A2E"/>
    <w:rsid w:val="791D122B"/>
    <w:rsid w:val="79294073"/>
    <w:rsid w:val="792A3501"/>
    <w:rsid w:val="792B34EF"/>
    <w:rsid w:val="792B7DEB"/>
    <w:rsid w:val="79325BEF"/>
    <w:rsid w:val="793A736F"/>
    <w:rsid w:val="793B3DA7"/>
    <w:rsid w:val="79420C91"/>
    <w:rsid w:val="79450781"/>
    <w:rsid w:val="79532003"/>
    <w:rsid w:val="795821A2"/>
    <w:rsid w:val="797445F1"/>
    <w:rsid w:val="79780A9A"/>
    <w:rsid w:val="79821A9D"/>
    <w:rsid w:val="79A75DED"/>
    <w:rsid w:val="79B74E0B"/>
    <w:rsid w:val="79BB0B66"/>
    <w:rsid w:val="79BC3EB0"/>
    <w:rsid w:val="79D02741"/>
    <w:rsid w:val="79D97847"/>
    <w:rsid w:val="79E55D83"/>
    <w:rsid w:val="79E57808"/>
    <w:rsid w:val="79E91A91"/>
    <w:rsid w:val="79F20909"/>
    <w:rsid w:val="79FE4F36"/>
    <w:rsid w:val="7A02015B"/>
    <w:rsid w:val="7A0648A7"/>
    <w:rsid w:val="7A077FB2"/>
    <w:rsid w:val="7A096D9E"/>
    <w:rsid w:val="7A0E5017"/>
    <w:rsid w:val="7A116EA2"/>
    <w:rsid w:val="7A1350B3"/>
    <w:rsid w:val="7A1B0D74"/>
    <w:rsid w:val="7A2041A1"/>
    <w:rsid w:val="7A2454C3"/>
    <w:rsid w:val="7A2E7B6A"/>
    <w:rsid w:val="7A3D378A"/>
    <w:rsid w:val="7A4430A5"/>
    <w:rsid w:val="7A4A42A1"/>
    <w:rsid w:val="7A4D2AE1"/>
    <w:rsid w:val="7A527E3C"/>
    <w:rsid w:val="7A5F22BC"/>
    <w:rsid w:val="7A886B78"/>
    <w:rsid w:val="7A8D0632"/>
    <w:rsid w:val="7A940CEF"/>
    <w:rsid w:val="7A981A09"/>
    <w:rsid w:val="7AA42D9E"/>
    <w:rsid w:val="7AAB7196"/>
    <w:rsid w:val="7AB908C6"/>
    <w:rsid w:val="7ABD4A62"/>
    <w:rsid w:val="7AC06311"/>
    <w:rsid w:val="7ACC62D6"/>
    <w:rsid w:val="7ACF5207"/>
    <w:rsid w:val="7ADB1185"/>
    <w:rsid w:val="7AEF6BF7"/>
    <w:rsid w:val="7AF27FBF"/>
    <w:rsid w:val="7AF97A75"/>
    <w:rsid w:val="7B0556BC"/>
    <w:rsid w:val="7B217224"/>
    <w:rsid w:val="7B354232"/>
    <w:rsid w:val="7B46489C"/>
    <w:rsid w:val="7B5353D8"/>
    <w:rsid w:val="7B53600E"/>
    <w:rsid w:val="7B5B066E"/>
    <w:rsid w:val="7B660B9C"/>
    <w:rsid w:val="7B737828"/>
    <w:rsid w:val="7B7E43E3"/>
    <w:rsid w:val="7B864A64"/>
    <w:rsid w:val="7B973491"/>
    <w:rsid w:val="7B9E3C24"/>
    <w:rsid w:val="7BAB5214"/>
    <w:rsid w:val="7BB43953"/>
    <w:rsid w:val="7BB87930"/>
    <w:rsid w:val="7BBF13B3"/>
    <w:rsid w:val="7BD15117"/>
    <w:rsid w:val="7BD27A5D"/>
    <w:rsid w:val="7BDC1EC1"/>
    <w:rsid w:val="7BDE1C4F"/>
    <w:rsid w:val="7BDF0A19"/>
    <w:rsid w:val="7BE1477E"/>
    <w:rsid w:val="7BE75CD4"/>
    <w:rsid w:val="7BED5740"/>
    <w:rsid w:val="7BF75F6E"/>
    <w:rsid w:val="7BFD3FCE"/>
    <w:rsid w:val="7C010D1F"/>
    <w:rsid w:val="7C031D81"/>
    <w:rsid w:val="7C085991"/>
    <w:rsid w:val="7C0F2B75"/>
    <w:rsid w:val="7C1508DF"/>
    <w:rsid w:val="7C2946FE"/>
    <w:rsid w:val="7C2B29AB"/>
    <w:rsid w:val="7C2C639F"/>
    <w:rsid w:val="7C304AD2"/>
    <w:rsid w:val="7C37476C"/>
    <w:rsid w:val="7C445F6B"/>
    <w:rsid w:val="7C465062"/>
    <w:rsid w:val="7C4A252D"/>
    <w:rsid w:val="7C4A67DB"/>
    <w:rsid w:val="7C4F3EB5"/>
    <w:rsid w:val="7C550AA2"/>
    <w:rsid w:val="7C551B8B"/>
    <w:rsid w:val="7C5D397B"/>
    <w:rsid w:val="7C5E2BFE"/>
    <w:rsid w:val="7C6B1D2B"/>
    <w:rsid w:val="7C75137E"/>
    <w:rsid w:val="7C923CDE"/>
    <w:rsid w:val="7C9C1750"/>
    <w:rsid w:val="7C9F18C8"/>
    <w:rsid w:val="7CA0289E"/>
    <w:rsid w:val="7CA91615"/>
    <w:rsid w:val="7CBA3AAE"/>
    <w:rsid w:val="7CC443BD"/>
    <w:rsid w:val="7CC72DC3"/>
    <w:rsid w:val="7CD03383"/>
    <w:rsid w:val="7CE81B50"/>
    <w:rsid w:val="7D1564DB"/>
    <w:rsid w:val="7D1A3036"/>
    <w:rsid w:val="7D1C1DCC"/>
    <w:rsid w:val="7D212011"/>
    <w:rsid w:val="7D2A660C"/>
    <w:rsid w:val="7D366731"/>
    <w:rsid w:val="7D3D1E9B"/>
    <w:rsid w:val="7D496926"/>
    <w:rsid w:val="7D513B99"/>
    <w:rsid w:val="7D5176F5"/>
    <w:rsid w:val="7D5353F5"/>
    <w:rsid w:val="7D552799"/>
    <w:rsid w:val="7D6619C8"/>
    <w:rsid w:val="7D6F7660"/>
    <w:rsid w:val="7D710796"/>
    <w:rsid w:val="7D746A0E"/>
    <w:rsid w:val="7D7776E4"/>
    <w:rsid w:val="7D7B1F42"/>
    <w:rsid w:val="7D8B6E4D"/>
    <w:rsid w:val="7D8E1243"/>
    <w:rsid w:val="7D917500"/>
    <w:rsid w:val="7D935F5F"/>
    <w:rsid w:val="7DA95783"/>
    <w:rsid w:val="7DAA70EE"/>
    <w:rsid w:val="7DCA16EC"/>
    <w:rsid w:val="7DD035F6"/>
    <w:rsid w:val="7DD32800"/>
    <w:rsid w:val="7DD52BE0"/>
    <w:rsid w:val="7DD53301"/>
    <w:rsid w:val="7DDF5E0F"/>
    <w:rsid w:val="7DE467BB"/>
    <w:rsid w:val="7DF52776"/>
    <w:rsid w:val="7DFA7D8C"/>
    <w:rsid w:val="7E012B5A"/>
    <w:rsid w:val="7E09289C"/>
    <w:rsid w:val="7E0D3F64"/>
    <w:rsid w:val="7E133C92"/>
    <w:rsid w:val="7E150010"/>
    <w:rsid w:val="7E176C01"/>
    <w:rsid w:val="7E1A4D7A"/>
    <w:rsid w:val="7E2D63B4"/>
    <w:rsid w:val="7E35461F"/>
    <w:rsid w:val="7E361EBB"/>
    <w:rsid w:val="7E4D4360"/>
    <w:rsid w:val="7E525835"/>
    <w:rsid w:val="7E5E47BF"/>
    <w:rsid w:val="7E5F4018"/>
    <w:rsid w:val="7E6943E0"/>
    <w:rsid w:val="7E747BC2"/>
    <w:rsid w:val="7E7E10FB"/>
    <w:rsid w:val="7E843835"/>
    <w:rsid w:val="7E87097F"/>
    <w:rsid w:val="7E8C712F"/>
    <w:rsid w:val="7E993502"/>
    <w:rsid w:val="7E9E1908"/>
    <w:rsid w:val="7EA0044B"/>
    <w:rsid w:val="7EA87DB4"/>
    <w:rsid w:val="7EBE6945"/>
    <w:rsid w:val="7EC7646A"/>
    <w:rsid w:val="7ECA3E11"/>
    <w:rsid w:val="7ED405DD"/>
    <w:rsid w:val="7ED62316"/>
    <w:rsid w:val="7EDF1235"/>
    <w:rsid w:val="7EE36A72"/>
    <w:rsid w:val="7EF4608E"/>
    <w:rsid w:val="7EFE1AFE"/>
    <w:rsid w:val="7F066EF6"/>
    <w:rsid w:val="7F0A3FFF"/>
    <w:rsid w:val="7F153328"/>
    <w:rsid w:val="7F196938"/>
    <w:rsid w:val="7F217AD5"/>
    <w:rsid w:val="7F2210EE"/>
    <w:rsid w:val="7F385010"/>
    <w:rsid w:val="7F46773E"/>
    <w:rsid w:val="7F4B6252"/>
    <w:rsid w:val="7F531F0C"/>
    <w:rsid w:val="7F547970"/>
    <w:rsid w:val="7F5E2CF2"/>
    <w:rsid w:val="7F7B4EFD"/>
    <w:rsid w:val="7F7D5E5E"/>
    <w:rsid w:val="7F8903C9"/>
    <w:rsid w:val="7F89736C"/>
    <w:rsid w:val="7F9B559F"/>
    <w:rsid w:val="7FAE0E2E"/>
    <w:rsid w:val="7FAF5038"/>
    <w:rsid w:val="7FBA59C5"/>
    <w:rsid w:val="7FCC4CBB"/>
    <w:rsid w:val="7FD8724E"/>
    <w:rsid w:val="7FDB18A6"/>
    <w:rsid w:val="7FDB4950"/>
    <w:rsid w:val="7FDE16D0"/>
    <w:rsid w:val="7FE14118"/>
    <w:rsid w:val="7FEA7AB1"/>
    <w:rsid w:val="7FEE1B73"/>
    <w:rsid w:val="7FF16AF3"/>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6">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1"/>
    <w:rPr>
      <w:sz w:val="28"/>
      <w:szCs w:val="28"/>
    </w:rPr>
  </w:style>
  <w:style w:type="paragraph" w:styleId="5">
    <w:name w:val="toc 5"/>
    <w:basedOn w:val="1"/>
    <w:next w:val="1"/>
    <w:qFormat/>
    <w:uiPriority w:val="0"/>
    <w:pPr>
      <w:ind w:left="1680" w:leftChars="800"/>
    </w:pPr>
    <w:rPr>
      <w:rFonts w:ascii="Times New Roman" w:hAnsi="Times New Roman" w:eastAsia="宋体" w:cs="Times New Roman"/>
      <w:szCs w:val="24"/>
    </w:rPr>
  </w:style>
  <w:style w:type="paragraph" w:styleId="6">
    <w:name w:val="Body Text Indent"/>
    <w:basedOn w:val="1"/>
    <w:qFormat/>
    <w:uiPriority w:val="0"/>
    <w:pPr>
      <w:ind w:firstLine="720" w:firstLineChars="257"/>
    </w:pPr>
    <w:rPr>
      <w:rFonts w:ascii="Calibri" w:hAnsi="Calibri" w:cs="Times New Roman"/>
      <w:kern w:val="0"/>
      <w:sz w:val="20"/>
    </w:rPr>
  </w:style>
  <w:style w:type="paragraph" w:styleId="7">
    <w:name w:val="Body Text Indent 2"/>
    <w:basedOn w:val="1"/>
    <w:qFormat/>
    <w:uiPriority w:val="0"/>
    <w:pPr>
      <w:spacing w:after="120" w:line="480" w:lineRule="auto"/>
      <w:ind w:left="420" w:leftChars="200"/>
    </w:pPr>
  </w:style>
  <w:style w:type="paragraph" w:styleId="8">
    <w:name w:val="footer"/>
    <w:basedOn w:val="1"/>
    <w:next w:val="1"/>
    <w:unhideWhenUsed/>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autoRedefine/>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1"/>
    <w:next w:val="1"/>
    <w:qFormat/>
    <w:uiPriority w:val="0"/>
    <w:pPr>
      <w:ind w:firstLine="420" w:firstLineChars="200"/>
    </w:pPr>
  </w:style>
  <w:style w:type="table" w:styleId="15">
    <w:name w:val="Table Grid"/>
    <w:basedOn w:val="1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autoRedefine/>
    <w:qFormat/>
    <w:uiPriority w:val="0"/>
    <w:rPr>
      <w:b/>
    </w:rPr>
  </w:style>
  <w:style w:type="paragraph" w:customStyle="1" w:styleId="18">
    <w:name w:val="Table Text"/>
    <w:basedOn w:val="1"/>
    <w:autoRedefine/>
    <w:semiHidden/>
    <w:qFormat/>
    <w:uiPriority w:val="0"/>
    <w:rPr>
      <w:rFonts w:ascii="宋体" w:hAnsi="宋体" w:eastAsia="宋体" w:cs="宋体"/>
      <w:sz w:val="18"/>
      <w:szCs w:val="18"/>
      <w:lang w:val="en-US" w:eastAsia="en-US" w:bidi="ar-SA"/>
    </w:rPr>
  </w:style>
  <w:style w:type="character" w:customStyle="1" w:styleId="19">
    <w:name w:val="font41"/>
    <w:basedOn w:val="16"/>
    <w:autoRedefine/>
    <w:qFormat/>
    <w:uiPriority w:val="0"/>
    <w:rPr>
      <w:rFonts w:hint="eastAsia" w:ascii="宋体" w:hAnsi="宋体" w:eastAsia="宋体" w:cs="宋体"/>
      <w:color w:val="000000"/>
      <w:sz w:val="18"/>
      <w:szCs w:val="18"/>
      <w:u w:val="none"/>
    </w:rPr>
  </w:style>
  <w:style w:type="character" w:customStyle="1" w:styleId="20">
    <w:name w:val="font51"/>
    <w:basedOn w:val="16"/>
    <w:autoRedefine/>
    <w:qFormat/>
    <w:uiPriority w:val="0"/>
    <w:rPr>
      <w:rFonts w:hint="eastAsia" w:ascii="宋体" w:hAnsi="宋体" w:eastAsia="宋体" w:cs="宋体"/>
      <w:color w:val="000000"/>
      <w:sz w:val="18"/>
      <w:szCs w:val="18"/>
      <w:u w:val="none"/>
    </w:rPr>
  </w:style>
  <w:style w:type="character" w:customStyle="1" w:styleId="21">
    <w:name w:val="font11"/>
    <w:basedOn w:val="16"/>
    <w:qFormat/>
    <w:uiPriority w:val="0"/>
    <w:rPr>
      <w:rFonts w:hint="eastAsia" w:ascii="宋体" w:hAnsi="宋体" w:eastAsia="宋体" w:cs="宋体"/>
      <w:color w:val="000000"/>
      <w:sz w:val="22"/>
      <w:szCs w:val="22"/>
      <w:u w:val="none"/>
    </w:rPr>
  </w:style>
  <w:style w:type="character" w:customStyle="1" w:styleId="22">
    <w:name w:val="font21"/>
    <w:basedOn w:val="16"/>
    <w:qFormat/>
    <w:uiPriority w:val="0"/>
    <w:rPr>
      <w:rFonts w:hint="eastAsia" w:ascii="宋体" w:hAnsi="宋体" w:eastAsia="宋体" w:cs="宋体"/>
      <w:color w:val="000000"/>
      <w:sz w:val="21"/>
      <w:szCs w:val="21"/>
      <w:u w:val="none"/>
    </w:rPr>
  </w:style>
  <w:style w:type="character" w:customStyle="1" w:styleId="23">
    <w:name w:val="font01"/>
    <w:basedOn w:val="16"/>
    <w:qFormat/>
    <w:uiPriority w:val="0"/>
    <w:rPr>
      <w:rFonts w:hint="eastAsia" w:ascii="宋体" w:hAnsi="宋体" w:eastAsia="宋体" w:cs="宋体"/>
      <w:color w:val="000000"/>
      <w:sz w:val="22"/>
      <w:szCs w:val="22"/>
      <w:u w:val="none"/>
    </w:rPr>
  </w:style>
  <w:style w:type="character" w:customStyle="1" w:styleId="24">
    <w:name w:val="font31"/>
    <w:basedOn w:val="16"/>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0.emf"/><Relationship Id="rId28" Type="http://schemas.openxmlformats.org/officeDocument/2006/relationships/image" Target="media/image19.emf"/><Relationship Id="rId27" Type="http://schemas.openxmlformats.org/officeDocument/2006/relationships/image" Target="media/image18.jpeg"/><Relationship Id="rId26" Type="http://schemas.openxmlformats.org/officeDocument/2006/relationships/image" Target="media/image17.jpeg"/><Relationship Id="rId25" Type="http://schemas.openxmlformats.org/officeDocument/2006/relationships/image" Target="media/image16.jpeg"/><Relationship Id="rId24" Type="http://schemas.openxmlformats.org/officeDocument/2006/relationships/image" Target="media/image15.emf"/><Relationship Id="rId23" Type="http://schemas.openxmlformats.org/officeDocument/2006/relationships/image" Target="media/image14.emf"/><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image" Target="media/image10.emf"/><Relationship Id="rId18" Type="http://schemas.openxmlformats.org/officeDocument/2006/relationships/chart" Target="charts/chart3.xml"/><Relationship Id="rId17" Type="http://schemas.openxmlformats.org/officeDocument/2006/relationships/image" Target="media/image9.emf"/><Relationship Id="rId16" Type="http://schemas.openxmlformats.org/officeDocument/2006/relationships/image" Target="media/image8.emf"/><Relationship Id="rId15" Type="http://schemas.openxmlformats.org/officeDocument/2006/relationships/image" Target="media/image7.emf"/><Relationship Id="rId14" Type="http://schemas.openxmlformats.org/officeDocument/2006/relationships/chart" Target="charts/chart2.xml"/><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chart" Target="charts/chart1.xml"/><Relationship Id="rId10" Type="http://schemas.openxmlformats.org/officeDocument/2006/relationships/image" Target="media/image4.emf"/><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12&#21306;&#22996;&#36164;&#26009;\&#21306;&#22996;&#21150;\&#25903;&#20184;&#30003;&#35831;&#26126;&#32454;&#25253;&#34920;&#26597;&#3581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12&#21306;&#22996;&#36164;&#26009;\&#21306;&#22996;&#21150;\&#25903;&#20184;&#30003;&#35831;&#26126;&#32454;&#25253;&#34920;&#26597;&#3581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E:\2025.2.1-2025.4.30\7.7.7&#32489;&#25928;&#25253;&#21578;&#31609;&#22791;&#38454;&#27573;&#21450;&#19994;&#21153;&#38454;&#27573;\1&#27491;&#24335;&#36164;&#26009;&#21450;&#35201;&#27714;&#23454;&#26045;&#38454;&#27573;\000004.8&#21306;&#32489;&#25928;&#35780;&#20215;&#36827;&#22330;&#19994;&#21153;&#21450;&#23567;&#32467;\1&#32489;&#25928;&#35780;&#20215;&#19994;&#21153;2025.4&#19994;&#21153;&#27719;&#24635;\C&#32452;&#24213;&#31295;\12&#21306;&#22996;&#36164;&#26009;\12.12&#21306;&#22996;&#21150;&#24207;&#26102;&#36134;&#24213;&#312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财政授权支付</a:t>
            </a:r>
            <a:r>
              <a:rPr lang="en-US" altLang="zh-CN"/>
              <a:t> </a:t>
            </a:r>
            <a:r>
              <a:rPr altLang="en-US"/>
              <a:t>与财政直接支付对比图</a:t>
            </a:r>
            <a:endParaRPr lang="en-US" altLang="zh-CN"/>
          </a:p>
        </c:rich>
      </c:tx>
      <c:layout/>
      <c:overlay val="0"/>
      <c:spPr>
        <a:noFill/>
        <a:ln>
          <a:noFill/>
        </a:ln>
        <a:effectLst/>
      </c:spPr>
    </c:title>
    <c:autoTitleDeleted val="0"/>
    <c:plotArea>
      <c:layout/>
      <c:pieChart>
        <c:varyColors val="1"/>
        <c:ser>
          <c:idx val="0"/>
          <c:order val="0"/>
          <c:tx>
            <c:strRef>
              <c:f>[支付申请明细报表查询.xlsx]新!$C$370</c:f>
              <c:strCache>
                <c:ptCount val="1"/>
                <c:pt idx="0">
                  <c:v>金额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dLblPos val="outEnd"/>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1"/>
              <c:showCatName val="0"/>
              <c:showSerName val="0"/>
              <c:showPercent val="1"/>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1"/>
            <c:showBubbleSize val="0"/>
            <c:showLeaderLines val="1"/>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[支付申请明细报表查询.xlsx]新!$B$371:$B$372</c:f>
              <c:strCache>
                <c:ptCount val="2"/>
                <c:pt idx="0">
                  <c:v>雁峰区财政局零余额账户</c:v>
                </c:pt>
                <c:pt idx="1">
                  <c:v>中共雁峰区委办公室</c:v>
                </c:pt>
              </c:strCache>
            </c:strRef>
          </c:cat>
          <c:val>
            <c:numRef>
              <c:f>[支付申请明细报表查询.xlsx]新!$C$371:$C$372</c:f>
              <c:numCache>
                <c:formatCode>_ * #,##0.00_ ;_ * \-#,##0.00_ ;_ * "-"??_ ;_ @_ </c:formatCode>
                <c:ptCount val="2"/>
                <c:pt idx="0">
                  <c:v>2048654</c:v>
                </c:pt>
                <c:pt idx="1">
                  <c:v>4852757.61</c:v>
                </c:pt>
              </c:numCache>
            </c:numRef>
          </c:val>
          <c:extLst>
            <c:ext xmlns:c15="http://schemas.microsoft.com/office/drawing/2012/chart" uri="{02D57815-91ED-43cb-92C2-25804820EDAC}">
              <c15:datalabelsRange>
                <c15:f>新!$B$371:$B$372</c15:f>
                <c15:dlblRangeCache>
                  <c:ptCount val="2"/>
                  <c:pt idx="0">
                    <c:v>雁峰区财政局零余额账户</c:v>
                  </c:pt>
                  <c:pt idx="1">
                    <c:v>中共雁峰区委办公室</c:v>
                  </c:pt>
                </c15:dlblRangeCache>
              </c15:datalabelsRange>
            </c:ext>
          </c:extLst>
        </c:ser>
        <c:dLbls>
          <c:showLegendKey val="0"/>
          <c:showVal val="1"/>
          <c:showCatName val="0"/>
          <c:showSerName val="0"/>
          <c:showPercent val="0"/>
          <c:showBubbleSize val="0"/>
          <c:showLeaderLines val="1"/>
        </c:dLbls>
        <c:firstSliceAng val="35"/>
      </c:pieChart>
      <c:spPr>
        <a:noFill/>
        <a:ln>
          <a:noFill/>
        </a:ln>
        <a:effectLst/>
      </c:spPr>
    </c:plotArea>
    <c:plotVisOnly val="1"/>
    <c:dispBlanksAs val="gap"/>
    <c:showDLblsOverMax val="0"/>
    <c:extLst>
      <c:ext uri="{0b15fc19-7d7d-44ad-8c2d-2c3a37ce22c3}">
        <chartProps xmlns="https://web.wps.cn/et/2018/main" chartId="{f352f6a4-53fa-4305-a423-bb54c85bd69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指标下达数与指标使用数对比图（金额：元）</a:t>
            </a:r>
          </a:p>
        </c:rich>
      </c:tx>
      <c:layout/>
      <c:overlay val="0"/>
      <c:spPr>
        <a:noFill/>
        <a:ln>
          <a:noFill/>
        </a:ln>
        <a:effectLst/>
      </c:spPr>
    </c:title>
    <c:autoTitleDeleted val="0"/>
    <c:plotArea>
      <c:layout/>
      <c:barChart>
        <c:barDir val="col"/>
        <c:grouping val="clustered"/>
        <c:varyColors val="0"/>
        <c:ser>
          <c:idx val="0"/>
          <c:order val="0"/>
          <c:tx>
            <c:strRef>
              <c:f>[支付申请明细报表查询.xlsx]新!$E$398</c:f>
              <c:strCache>
                <c:ptCount val="1"/>
                <c:pt idx="0">
                  <c:v>指标下达数</c:v>
                </c:pt>
              </c:strCache>
            </c:strRef>
          </c:tx>
          <c:spPr>
            <a:solidFill>
              <a:schemeClr val="accent1"/>
            </a:solidFill>
            <a:ln>
              <a:noFill/>
            </a:ln>
            <a:effectLst/>
          </c:spPr>
          <c:invertIfNegative val="0"/>
          <c:dLbls>
            <c:delete val="1"/>
          </c:dLbls>
          <c:cat>
            <c:strRef>
              <c:f>[支付申请明细报表查询.xlsx]新!$D$399:$D$410</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[支付申请明细报表查询.xlsx]新!$E$399:$E$410</c:f>
              <c:numCache>
                <c:formatCode>#,##0.00</c:formatCode>
                <c:ptCount val="12"/>
                <c:pt idx="0">
                  <c:v>6838330.12</c:v>
                </c:pt>
                <c:pt idx="1">
                  <c:v>191100</c:v>
                </c:pt>
                <c:pt idx="3">
                  <c:v>213353.1</c:v>
                </c:pt>
                <c:pt idx="6">
                  <c:v>62646.4</c:v>
                </c:pt>
                <c:pt idx="10">
                  <c:v>28305</c:v>
                </c:pt>
                <c:pt idx="11">
                  <c:v>48700</c:v>
                </c:pt>
              </c:numCache>
            </c:numRef>
          </c:val>
        </c:ser>
        <c:ser>
          <c:idx val="1"/>
          <c:order val="1"/>
          <c:tx>
            <c:strRef>
              <c:f>[支付申请明细报表查询.xlsx]新!$F$398</c:f>
              <c:strCache>
                <c:ptCount val="1"/>
                <c:pt idx="0">
                  <c:v>占比1</c:v>
                </c:pt>
              </c:strCache>
            </c:strRef>
          </c:tx>
          <c:spPr>
            <a:solidFill>
              <a:schemeClr val="accent2"/>
            </a:solidFill>
            <a:ln>
              <a:noFill/>
            </a:ln>
            <a:effectLst/>
          </c:spPr>
          <c:invertIfNegative val="0"/>
          <c:dLbls>
            <c:delete val="1"/>
          </c:dLbls>
          <c:cat>
            <c:strRef>
              <c:f>[支付申请明细报表查询.xlsx]新!$D$399:$D$410</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[支付申请明细报表查询.xlsx]新!$F$399:$F$410</c:f>
              <c:numCache>
                <c:formatCode>0.00%</c:formatCode>
                <c:ptCount val="12"/>
                <c:pt idx="0">
                  <c:v>0.926297417043701</c:v>
                </c:pt>
                <c:pt idx="1">
                  <c:v>0.02588576937509</c:v>
                </c:pt>
                <c:pt idx="2">
                  <c:v>0</c:v>
                </c:pt>
                <c:pt idx="3">
                  <c:v>0.0289001001677682</c:v>
                </c:pt>
                <c:pt idx="4">
                  <c:v>0</c:v>
                </c:pt>
                <c:pt idx="5">
                  <c:v>0</c:v>
                </c:pt>
                <c:pt idx="6">
                  <c:v>0.00848587264562866</c:v>
                </c:pt>
                <c:pt idx="7">
                  <c:v>0</c:v>
                </c:pt>
                <c:pt idx="8">
                  <c:v>0</c:v>
                </c:pt>
                <c:pt idx="9">
                  <c:v>0</c:v>
                </c:pt>
                <c:pt idx="10">
                  <c:v>0.00383410100555689</c:v>
                </c:pt>
                <c:pt idx="11">
                  <c:v>0.00659673976225475</c:v>
                </c:pt>
              </c:numCache>
            </c:numRef>
          </c:val>
        </c:ser>
        <c:ser>
          <c:idx val="2"/>
          <c:order val="2"/>
          <c:tx>
            <c:strRef>
              <c:f>[支付申请明细报表查询.xlsx]新!$G$398</c:f>
              <c:strCache>
                <c:ptCount val="1"/>
                <c:pt idx="0">
                  <c:v>指标使用数</c:v>
                </c:pt>
              </c:strCache>
            </c:strRef>
          </c:tx>
          <c:spPr>
            <a:solidFill>
              <a:schemeClr val="accent4"/>
            </a:solidFill>
            <a:ln>
              <a:noFill/>
            </a:ln>
            <a:effectLst/>
          </c:spPr>
          <c:invertIfNegative val="0"/>
          <c:dLbls>
            <c:delete val="1"/>
          </c:dLbls>
          <c:cat>
            <c:strRef>
              <c:f>[支付申请明细报表查询.xlsx]新!$D$399:$D$410</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[支付申请明细报表查询.xlsx]新!$G$399:$G$410</c:f>
              <c:numCache>
                <c:formatCode>_ * #,##0.00_ ;_ * \-#,##0.00_ ;_ * "-"??_ ;_ @_ </c:formatCode>
                <c:ptCount val="12"/>
                <c:pt idx="0">
                  <c:v>772239.42</c:v>
                </c:pt>
                <c:pt idx="1">
                  <c:v>410916</c:v>
                </c:pt>
                <c:pt idx="2">
                  <c:v>420383.72</c:v>
                </c:pt>
                <c:pt idx="3">
                  <c:v>577387.38</c:v>
                </c:pt>
                <c:pt idx="4">
                  <c:v>468436.38</c:v>
                </c:pt>
                <c:pt idx="5">
                  <c:v>542121.87</c:v>
                </c:pt>
                <c:pt idx="6">
                  <c:v>382755.31</c:v>
                </c:pt>
                <c:pt idx="7">
                  <c:v>398584.51</c:v>
                </c:pt>
                <c:pt idx="8">
                  <c:v>729522.85</c:v>
                </c:pt>
                <c:pt idx="9">
                  <c:v>471881.67</c:v>
                </c:pt>
                <c:pt idx="10">
                  <c:v>641500.25</c:v>
                </c:pt>
                <c:pt idx="11">
                  <c:v>1085682.25</c:v>
                </c:pt>
              </c:numCache>
            </c:numRef>
          </c:val>
        </c:ser>
        <c:ser>
          <c:idx val="3"/>
          <c:order val="3"/>
          <c:tx>
            <c:strRef>
              <c:f>[支付申请明细报表查询.xlsx]新!$H$398</c:f>
              <c:strCache>
                <c:ptCount val="1"/>
                <c:pt idx="0">
                  <c:v>占比2</c:v>
                </c:pt>
              </c:strCache>
            </c:strRef>
          </c:tx>
          <c:spPr>
            <a:solidFill>
              <a:schemeClr val="accent4"/>
            </a:solidFill>
            <a:ln>
              <a:noFill/>
            </a:ln>
            <a:effectLst/>
          </c:spPr>
          <c:invertIfNegative val="0"/>
          <c:dLbls>
            <c:delete val="1"/>
          </c:dLbls>
          <c:cat>
            <c:strRef>
              <c:f>[支付申请明细报表查询.xlsx]新!$D$399:$D$410</c:f>
              <c:strCache>
                <c:ptCount val="12"/>
                <c:pt idx="0">
                  <c:v>1月</c:v>
                </c:pt>
                <c:pt idx="1">
                  <c:v>2月</c:v>
                </c:pt>
                <c:pt idx="2">
                  <c:v>3月</c:v>
                </c:pt>
                <c:pt idx="3">
                  <c:v>4月</c:v>
                </c:pt>
                <c:pt idx="4">
                  <c:v>5月</c:v>
                </c:pt>
                <c:pt idx="5">
                  <c:v>6月</c:v>
                </c:pt>
                <c:pt idx="6">
                  <c:v>7月</c:v>
                </c:pt>
                <c:pt idx="7">
                  <c:v>8月</c:v>
                </c:pt>
                <c:pt idx="8">
                  <c:v>9月</c:v>
                </c:pt>
                <c:pt idx="9">
                  <c:v>10月</c:v>
                </c:pt>
                <c:pt idx="10">
                  <c:v>11月</c:v>
                </c:pt>
                <c:pt idx="11">
                  <c:v>12月</c:v>
                </c:pt>
              </c:strCache>
            </c:strRef>
          </c:cat>
          <c:val>
            <c:numRef>
              <c:f>[支付申请明细报表查询.xlsx]新!$H$399:$H$410</c:f>
              <c:numCache>
                <c:formatCode>0.00%</c:formatCode>
                <c:ptCount val="12"/>
                <c:pt idx="0">
                  <c:v>0.111895864735997</c:v>
                </c:pt>
                <c:pt idx="1">
                  <c:v>0.0595408625395696</c:v>
                </c:pt>
                <c:pt idx="2">
                  <c:v>0.0609127152176915</c:v>
                </c:pt>
                <c:pt idx="3">
                  <c:v>0.0836622147218951</c:v>
                </c:pt>
                <c:pt idx="4">
                  <c:v>0.0678754443976716</c:v>
                </c:pt>
                <c:pt idx="5">
                  <c:v>0.0785523166325099</c:v>
                </c:pt>
                <c:pt idx="6">
                  <c:v>0.055460437897284</c:v>
                </c:pt>
                <c:pt idx="7">
                  <c:v>0.0577540556228322</c:v>
                </c:pt>
                <c:pt idx="8">
                  <c:v>0.105706323753091</c:v>
                </c:pt>
                <c:pt idx="9">
                  <c:v>0.068374659658939</c:v>
                </c:pt>
                <c:pt idx="10">
                  <c:v>0.0929520344896513</c:v>
                </c:pt>
                <c:pt idx="11">
                  <c:v>0.157313070332868</c:v>
                </c:pt>
              </c:numCache>
            </c:numRef>
          </c:val>
        </c:ser>
        <c:dLbls>
          <c:showLegendKey val="0"/>
          <c:showVal val="0"/>
          <c:showCatName val="0"/>
          <c:showSerName val="0"/>
          <c:showPercent val="0"/>
          <c:showBubbleSize val="0"/>
        </c:dLbls>
        <c:gapWidth val="0"/>
        <c:overlap val="65"/>
        <c:axId val="984181549"/>
        <c:axId val="449227523"/>
      </c:barChart>
      <c:catAx>
        <c:axId val="98418154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9227523"/>
        <c:crosses val="autoZero"/>
        <c:auto val="1"/>
        <c:lblAlgn val="ctr"/>
        <c:lblOffset val="100"/>
        <c:noMultiLvlLbl val="0"/>
      </c:catAx>
      <c:valAx>
        <c:axId val="449227523"/>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4181549"/>
        <c:crosses val="autoZero"/>
        <c:crossBetween val="between"/>
      </c:valAx>
      <c:spPr>
        <a:noFill/>
        <a:ln>
          <a:noFill/>
        </a:ln>
        <a:effectLst/>
      </c:spPr>
    </c:plotArea>
    <c:legend>
      <c:legendPos val="b"/>
      <c:legendEntry>
        <c:idx val="1"/>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50f783-58d9-42bb-80e0-c8b18bcea2a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baseline="0">
                <a:solidFill>
                  <a:schemeClr val="tx1">
                    <a:lumMod val="75000"/>
                    <a:lumOff val="25000"/>
                  </a:schemeClr>
                </a:solidFill>
                <a:latin typeface="+mn-lt"/>
                <a:ea typeface="+mn-ea"/>
                <a:cs typeface="+mn-cs"/>
              </a:defRPr>
            </a:pPr>
            <a:r>
              <a:rPr sz="1440"/>
              <a:t>四数对比趋势图</a:t>
            </a:r>
            <a:endParaRPr sz="1440"/>
          </a:p>
        </c:rich>
      </c:tx>
      <c:layout>
        <c:manualLayout>
          <c:xMode val="edge"/>
          <c:yMode val="edge"/>
          <c:x val="0.420436612309311"/>
          <c:y val="0.018058690744921"/>
        </c:manualLayout>
      </c:layout>
      <c:overlay val="0"/>
      <c:spPr>
        <a:noFill/>
        <a:ln>
          <a:noFill/>
        </a:ln>
        <a:effectLst/>
      </c:spPr>
    </c:title>
    <c:autoTitleDeleted val="0"/>
    <c:plotArea>
      <c:layout/>
      <c:barChart>
        <c:barDir val="col"/>
        <c:grouping val="stacked"/>
        <c:varyColors val="0"/>
        <c:ser>
          <c:idx val="0"/>
          <c:order val="0"/>
          <c:tx>
            <c:strRef>
              <c:f>[12.12区委办序时账底稿.xlsx]汇总!$C$121</c:f>
              <c:strCache>
                <c:ptCount val="1"/>
                <c:pt idx="0">
                  <c:v>人员经费</c:v>
                </c:pt>
              </c:strCache>
            </c:strRef>
          </c:tx>
          <c:spPr>
            <a:solidFill>
              <a:schemeClr val="accent1"/>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[12.12区委办序时账底稿.xlsx]汇总!$D$120:$G$120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[12.12区委办序时账底稿.xlsx]汇总!$D$121:$G$121</c:f>
              <c:numCache>
                <c:formatCode>0.00%</c:formatCode>
                <c:ptCount val="4"/>
                <c:pt idx="0">
                  <c:v>0.728286589303286</c:v>
                </c:pt>
                <c:pt idx="1">
                  <c:v>0.76419855077144</c:v>
                </c:pt>
                <c:pt idx="2">
                  <c:v>0.738841377754616</c:v>
                </c:pt>
                <c:pt idx="3">
                  <c:v>0.793195988519292</c:v>
                </c:pt>
              </c:numCache>
            </c:numRef>
          </c:val>
        </c:ser>
        <c:ser>
          <c:idx val="1"/>
          <c:order val="1"/>
          <c:tx>
            <c:strRef>
              <c:f>[12.12区委办序时账底稿.xlsx]汇总!$C$122</c:f>
              <c:strCache>
                <c:ptCount val="1"/>
                <c:pt idx="0">
                  <c:v>公用经费</c:v>
                </c:pt>
              </c:strCache>
            </c:strRef>
          </c:tx>
          <c:spPr>
            <a:solidFill>
              <a:schemeClr val="accent2"/>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[12.12区委办序时账底稿.xlsx]汇总!$D$120:$G$120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[12.12区委办序时账底稿.xlsx]汇总!$D$122:$G$122</c:f>
              <c:numCache>
                <c:formatCode>0.00%</c:formatCode>
                <c:ptCount val="4"/>
                <c:pt idx="0">
                  <c:v>0.0345027925416184</c:v>
                </c:pt>
                <c:pt idx="1">
                  <c:v>0.0475330455200293</c:v>
                </c:pt>
                <c:pt idx="2">
                  <c:v>0.035002828765827</c:v>
                </c:pt>
                <c:pt idx="3">
                  <c:v>0.121181260516858</c:v>
                </c:pt>
              </c:numCache>
            </c:numRef>
          </c:val>
        </c:ser>
        <c:ser>
          <c:idx val="2"/>
          <c:order val="2"/>
          <c:tx>
            <c:strRef>
              <c:f>[12.12区委办序时账底稿.xlsx]汇总!$C$123</c:f>
              <c:strCache>
                <c:ptCount val="1"/>
                <c:pt idx="0">
                  <c:v>项目支出</c:v>
                </c:pt>
              </c:strCache>
            </c:strRef>
          </c:tx>
          <c:spPr>
            <a:solidFill>
              <a:schemeClr val="accent3"/>
            </a:solidFill>
            <a:ln>
              <a:solidFill>
                <a:schemeClr val="bg1"/>
              </a:soli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2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[12.12区委办序时账底稿.xlsx]汇总!$D$120:$G$120</c:f>
              <c:strCache>
                <c:ptCount val="4"/>
                <c:pt idx="0" c:formatCode="_ * #,##0.00_ ;_ * \-#,##0.00_ ;_ * &quot;-&quot;??_ ;_ @_ ">
                  <c:v>全年预算数</c:v>
                </c:pt>
                <c:pt idx="1" c:formatCode="_ * #,##0.00_ ;_ * \-#,##0.00_ ;_ * &quot;-&quot;??_ ;_ @_ ">
                  <c:v>原账套数</c:v>
                </c:pt>
                <c:pt idx="2" c:formatCode="_ * #,##0.00_ ;_ * \-#,##0.00_ ;_ * &quot;-&quot;??_ ;_ @_ ">
                  <c:v>决算数</c:v>
                </c:pt>
                <c:pt idx="3" c:formatCode="_ * #,##0.00_ ;_ * \-#,##0.00_ ;_ * &quot;-&quot;??_ ;_ @_ ">
                  <c:v>重分类数</c:v>
                </c:pt>
              </c:strCache>
            </c:strRef>
          </c:cat>
          <c:val>
            <c:numRef>
              <c:f>[12.12区委办序时账底稿.xlsx]汇总!$D$123:$G$123</c:f>
              <c:numCache>
                <c:formatCode>0.00%</c:formatCode>
                <c:ptCount val="4"/>
                <c:pt idx="0">
                  <c:v>0.237210618155096</c:v>
                </c:pt>
                <c:pt idx="1">
                  <c:v>0.18826840370853</c:v>
                </c:pt>
                <c:pt idx="2">
                  <c:v>0.226155793479557</c:v>
                </c:pt>
                <c:pt idx="3">
                  <c:v>0.0856227509638501</c:v>
                </c:pt>
              </c:numCache>
            </c:numRef>
          </c:val>
        </c:ser>
        <c:dLbls>
          <c:showLegendKey val="0"/>
          <c:showVal val="1"/>
          <c:showCatName val="0"/>
          <c:showSerName val="0"/>
          <c:showPercent val="0"/>
          <c:showBubbleSize val="0"/>
        </c:dLbls>
        <c:gapWidth val="65"/>
        <c:overlap val="100"/>
        <c:serLines>
          <c:spPr>
            <a:ln w="12700" cap="flat" cmpd="sng" algn="ctr">
              <a:solidFill>
                <a:schemeClr val="tx1"/>
              </a:solidFill>
              <a:prstDash val="solid"/>
              <a:round/>
              <a:headEnd type="triangle"/>
            </a:ln>
            <a:effectLst/>
          </c:spPr>
        </c:serLines>
        <c:axId val="224399981"/>
        <c:axId val="917149383"/>
      </c:barChart>
      <c:catAx>
        <c:axId val="2243999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917149383"/>
        <c:crosses val="autoZero"/>
        <c:auto val="1"/>
        <c:lblAlgn val="ctr"/>
        <c:lblOffset val="100"/>
        <c:noMultiLvlLbl val="0"/>
      </c:catAx>
      <c:valAx>
        <c:axId val="917149383"/>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crossAx val="224399981"/>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12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f1a8c566-88dd-4b2d-8b7d-20caca0f93eb}"/>
      </c:ext>
    </c:extLst>
  </c:chart>
  <c:spPr>
    <a:solidFill>
      <a:schemeClr val="bg1"/>
    </a:solidFill>
    <a:ln w="9525" cap="flat" cmpd="sng" algn="ctr">
      <a:solidFill>
        <a:schemeClr val="tx1">
          <a:lumMod val="15000"/>
          <a:lumOff val="85000"/>
        </a:schemeClr>
      </a:solidFill>
      <a:round/>
    </a:ln>
    <a:effectLst/>
  </c:spPr>
  <c:txPr>
    <a:bodyPr/>
    <a:lstStyle/>
    <a:p>
      <a:pPr>
        <a:defRPr lang="zh-CN" sz="12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1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49733b87-cb98-4adf-b24f-f1545bb2ea7e</errorID>
      <errorWord>[2025]</errorWord>
      <group>L1_Punc</group>
      <groupName>标点问题</groupName>
      <ability>L2_Punc</ability>
      <abilityName>标点符号检查</abilityName>
      <candidateList>
        <item>〔2025〕</item>
      </candidateList>
      <explain/>
      <paraID>59FC2698</paraID>
      <start>5</start>
      <end>11</end>
      <status>unmodified</status>
      <modifiedWord/>
      <trackRevisions>false</trackRevisions>
    </reviewItem>
    <reviewItem>
      <errorID>4058e628-b783-4394-b742-5fd9774a2858</errorID>
      <errorWord>[2025]</errorWord>
      <group>L1_Punc</group>
      <groupName>标点问题</groupName>
      <ability>L2_Punc</ability>
      <abilityName>标点符号检查</abilityName>
      <candidateList>
        <item>〔2025〕</item>
      </candidateList>
      <explain/>
      <paraID>18CF8679</paraID>
      <start>5</start>
      <end>11</end>
      <status>unmodified</status>
      <modifiedWord/>
      <trackRevisions>false</trackRevisions>
    </reviewItem>
    <reviewItem>
      <errorID>d27a13de-2e79-4072-a821-6993e0c60ec6</errorID>
      <errorWord>。</errorWord>
      <group>L1_Grammar</group>
      <groupName>语法问题</groupName>
      <ability>L2_Missing</ability>
      <abilityName>成分残缺</abilityName>
      <candidateList>
        <item>的步骤。</item>
      </candidateList>
      <explain>句子中可能存在主谓宾、修饰语或者必要的词语残缺。</explain>
      <paraID>46E904E7</paraID>
      <start>108</start>
      <end>109</end>
      <status>unmodified</status>
      <modifiedWord/>
      <trackRevisions>false</trackRevisions>
    </reviewItem>
    <reviewItem>
      <errorID>332b2d5e-1ad2-4ec2-9855-92e558781400</errorID>
      <errorWord>括</errorWord>
      <group>L1_Word</group>
      <groupName>字词问题</groupName>
      <ability>L2_Typo</ability>
      <abilityName>字词错误</abilityName>
      <candidateList>
        <item>括但</item>
      </candidateList>
      <explain/>
      <paraID> 68AC208</paraID>
      <start>31</start>
      <end>32</end>
      <status>unmodified</status>
      <modifiedWord/>
      <trackRevisions>false</trackRevisions>
    </reviewItem>
    <reviewItem>
      <errorID>36e6075b-9e1d-4755-a3d3-a939e2314782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7E639943</paraID>
      <start>0</start>
      <end>2</end>
      <status>unmodified</status>
      <modifiedWord/>
      <trackRevisions>false</trackRevisions>
    </reviewItem>
    <reviewItem>
      <errorID>3ac7ae5a-5e8f-4322-8927-8c8249b16d95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70207DD6</paraID>
      <start>0</start>
      <end>2</end>
      <status>unmodified</status>
      <modifiedWord/>
      <trackRevisions>false</trackRevisions>
    </reviewItem>
    <reviewItem>
      <errorID>93934fe4-c251-4a19-a9de-67c551a994ad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54B859B</paraID>
      <start>0</start>
      <end>2</end>
      <status>unmodified</status>
      <modifiedWord/>
      <trackRevisions>false</trackRevisions>
    </reviewItem>
    <reviewItem>
      <errorID>53b20b3b-30a1-485c-9008-3940cb7022c7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393EE0EE</paraID>
      <start>0</start>
      <end>2</end>
      <status>unmodified</status>
      <modifiedWord/>
      <trackRevisions>false</trackRevisions>
    </reviewItem>
    <reviewItem>
      <errorID>2d7549a3-ddfe-44a4-94c5-ac2688580ec5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95FF3AA</paraID>
      <start>0</start>
      <end>2</end>
      <status>unmodified</status>
      <modifiedWord/>
      <trackRevisions>false</trackRevisions>
    </reviewItem>
    <reviewItem>
      <errorID>29a37438-4fcc-4a39-898e-748af7e80a6d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58819D15</paraID>
      <start>0</start>
      <end>2</end>
      <status>unmodified</status>
      <modifiedWord/>
      <trackRevisions>false</trackRevisions>
    </reviewItem>
    <reviewItem>
      <errorID>34695c76-783a-42bf-9740-24dd8700f590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4C76F82A</paraID>
      <start>0</start>
      <end>2</end>
      <status>unmodified</status>
      <modifiedWord/>
      <trackRevisions>false</trackRevisions>
    </reviewItem>
    <reviewItem>
      <errorID>47611feb-ead1-4a38-bf45-13d96f84e6bb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4CD93FB7</paraID>
      <start>0</start>
      <end>2</end>
      <status>unmodified</status>
      <modifiedWord/>
      <trackRevisions>false</trackRevisions>
    </reviewItem>
    <reviewItem>
      <errorID>bcc4d3f9-1df8-4a2b-ae99-9a6cfd2154b2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531721EF</paraID>
      <start>0</start>
      <end>2</end>
      <status>unmodified</status>
      <modifiedWord/>
      <trackRevisions>false</trackRevisions>
    </reviewItem>
    <reviewItem>
      <errorID>2aaa9540-d715-4696-b793-27c5fbd983e6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4391BE99</paraID>
      <start>0</start>
      <end>3</end>
      <status>unmodified</status>
      <modifiedWord/>
      <trackRevisions>false</trackRevisions>
    </reviewItem>
    <reviewItem>
      <errorID>52f788d6-b6fd-4b39-b20f-e94fd3d6c8cb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63EC011E</paraID>
      <start>0</start>
      <end>3</end>
      <status>unmodified</status>
      <modifiedWord/>
      <trackRevisions>false</trackRevisions>
    </reviewItem>
    <reviewItem>
      <errorID>91960ec4-7a90-4652-914a-22ac3efdbb83</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4C67DECB</paraID>
      <start>0</start>
      <end>3</end>
      <status>unmodified</status>
      <modifiedWord/>
      <trackRevisions>false</trackRevisions>
    </reviewItem>
    <reviewItem>
      <errorID>78388311-54aa-4098-b229-d975af624bc0</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36A5A86A</paraID>
      <start>0</start>
      <end>3</end>
      <status>unmodified</status>
      <modifiedWord/>
      <trackRevisions>false</trackRevisions>
    </reviewItem>
    <reviewItem>
      <errorID>34fd0507-0f8b-4a8c-a698-9d738ee4cf3a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1BAE7B51</paraID>
      <start>0</start>
      <end>3</end>
      <status>unmodified</status>
      <modifiedWord/>
      <trackRevisions>false</trackRevisions>
    </reviewItem>
    <reviewItem>
      <errorID>f2a15480-c46f-4071-9d09-d8b95b41679a</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3AEBA156</paraID>
      <start>0</start>
      <end>3</end>
      <status>unmodified</status>
      <modifiedWord/>
      <trackRevisions>false</trackRevisions>
    </reviewItem>
    <reviewItem>
      <errorID>697f441a-3d1e-4da2-9431-50090e12c4a1</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5D2E8234</paraID>
      <start>0</start>
      <end>3</end>
      <status>unmodified</status>
      <modifiedWord/>
      <trackRevisions>false</trackRevisions>
    </reviewItem>
    <reviewItem>
      <errorID>16d72dc2-a63b-4397-90a0-bc58c9383fa0</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D4C8011</paraID>
      <start>0</start>
      <end>3</end>
      <status>unmodified</status>
      <modifiedWord/>
      <trackRevisions>false</trackRevisions>
    </reviewItem>
    <reviewItem>
      <errorID>43353c7b-89d6-458a-bf2e-13c3e601d995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D4C8011</paraID>
      <start>10</start>
      <end>12</end>
      <status>unmodified</status>
      <modifiedWord/>
      <trackRevisions>false</trackRevisions>
    </reviewItem>
    <reviewItem>
      <errorID>b867ffef-93fc-4c13-b1ec-8676e926c178</errorID>
      <errorWord>。</errorWord>
      <group>L1_Grammar</group>
      <groupName>语法问题</groupName>
      <ability>L2_Missing</ability>
      <abilityName>成分残缺</abilityName>
      <candidateList>
        <item>作出明确要求。</item>
      </candidateList>
      <explain>句子中可能存在主谓宾、修饰语或者必要的词语残缺。</explain>
      <paraID> D4C8011</paraID>
      <start>30</start>
      <end>31</end>
      <status>unmodified</status>
      <modifiedWord/>
      <trackRevisions>false</trackRevisions>
    </reviewItem>
    <reviewItem>
      <errorID>0c4f30c4-e9ee-416f-91c8-7affd6ceb949</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4AF561C1</paraID>
      <start>0</start>
      <end>3</end>
      <status>unmodified</status>
      <modifiedWord/>
      <trackRevisions>false</trackRevisions>
    </reviewItem>
    <reviewItem>
      <errorID>ec404ec7-0a05-4aae-9a4b-41551f51c76d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71A41B9F</paraID>
      <start>0</start>
      <end>3</end>
      <status>unmodified</status>
      <modifiedWord/>
      <trackRevisions>false</trackRevisions>
    </reviewItem>
    <reviewItem>
      <errorID>5c2fc670-7901-44ab-bb06-1168b88220d7</errorID>
      <errorWord>[2017]409号</errorWord>
      <group>L1_Knowledge</group>
      <groupName>知识性问题</groupName>
      <ability>L2_Knowledge</ability>
      <abilityName>其他知识</abilityName>
      <candidateList>
        <item>〔2017〕409号</item>
      </candidateList>
      <explain>发文字号格式错误。</explain>
      <paraID>71A41B9F</paraID>
      <start>20</start>
      <end>30</end>
      <status>unmodified</status>
      <modifiedWord/>
      <trackRevisions>false</trackRevisions>
    </reviewItem>
    <reviewItem>
      <errorID>beb62a95-6c9b-401d-bdc8-12bf2fc11336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34DA055C</paraID>
      <start>0</start>
      <end>3</end>
      <status>unmodified</status>
      <modifiedWord/>
      <trackRevisions>false</trackRevisions>
    </reviewItem>
    <reviewItem>
      <errorID>297d8856-3754-46ae-9871-d9f072bae24e</errorID>
      <errorWord>[2018]467号</errorWord>
      <group>L1_Knowledge</group>
      <groupName>知识性问题</groupName>
      <ability>L2_Knowledge</ability>
      <abilityName>其他知识</abilityName>
      <candidateList>
        <item>〔2018〕467号</item>
      </candidateList>
      <explain>发文字号格式错误。</explain>
      <paraID>34DA055C</paraID>
      <start>14</start>
      <end>24</end>
      <status>unmodified</status>
      <modifiedWord/>
      <trackRevisions>false</trackRevisions>
    </reviewItem>
    <reviewItem>
      <errorID>1bbddf6f-1cd6-4600-b4a5-d085ffba69ab</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73E24FFD</paraID>
      <start>0</start>
      <end>3</end>
      <status>unmodified</status>
      <modifiedWord/>
      <trackRevisions>false</trackRevisions>
    </reviewItem>
    <reviewItem>
      <errorID>7ba89cb7-7da7-43b8-b7ce-f500772fb52f</errorID>
      <errorWord>[2025]6号</errorWord>
      <group>L1_Knowledge</group>
      <groupName>知识性问题</groupName>
      <ability>L2_Knowledge</ability>
      <abilityName>其他知识</abilityName>
      <candidateList>
        <item>〔2025〕6号</item>
      </candidateList>
      <explain>发文字号格式错误。</explain>
      <paraID>73E24FFD</paraID>
      <start>28</start>
      <end>36</end>
      <status>unmodified</status>
      <modifiedWord/>
      <trackRevisions>false</trackRevisions>
    </reviewItem>
    <reviewItem>
      <errorID>2bde0cea-bde0-4d7f-b6e9-80b237b087e8</errorID>
      <errorWord>。</errorWord>
      <group>L1_Grammar</group>
      <groupName>语法问题</groupName>
      <ability>L2_Missing</ability>
      <abilityName>成分残缺</abilityName>
      <candidateList>
        <item>已经印发。</item>
      </candidateList>
      <explain>句子中可能存在主谓宾、修饰语或者必要的词语残缺。</explain>
      <paraID>73E24FFD</paraID>
      <start>59</start>
      <end>60</end>
      <status>unmodified</status>
      <modifiedWord/>
      <trackRevisions>false</trackRevisions>
    </reviewItem>
    <reviewItem>
      <errorID>016ba0de-ecfb-406e-93e2-61c6128cdcb1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18017CDF</paraID>
      <start>0</start>
      <end>3</end>
      <status>unmodified</status>
      <modifiedWord/>
      <trackRevisions>false</trackRevisions>
    </reviewItem>
    <reviewItem>
      <errorID>4d7acd91-a440-4b3f-973c-ba30169b2b8c</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1CC63EDA</paraID>
      <start>0</start>
      <end>3</end>
      <status>unmodified</status>
      <modifiedWord/>
      <trackRevisions>false</trackRevisions>
    </reviewItem>
    <reviewItem>
      <errorID>4ccfabec-f7fb-4d0f-8af2-9a9adea81f5d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53610362</paraID>
      <start>0</start>
      <end>2</end>
      <status>unmodified</status>
      <modifiedWord/>
      <trackRevisions>false</trackRevisions>
    </reviewItem>
    <reviewItem>
      <errorID>59331eeb-30cc-4464-8f1a-66df68cc50a6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23EE3740</paraID>
      <start>0</start>
      <end>2</end>
      <status>unmodified</status>
      <modifiedWord/>
      <trackRevisions>false</trackRevisions>
    </reviewItem>
    <reviewItem>
      <errorID>03a27758-b15f-4177-8373-e9d9cb30097f</errorID>
      <errorWord>有新作为</errorWord>
      <group>L1_Word</group>
      <groupName>字词问题</groupName>
      <ability>L2_Typo</ability>
      <abilityName>字词错误</abilityName>
      <candidateList>
        <item>有所作为</item>
      </candidateList>
      <explain>可以做事情，并能取得较大的成绩。</explain>
      <paraID>23EE3740</paraID>
      <start>26</start>
      <end>30</end>
      <status>unmodified</status>
      <modifiedWord/>
      <trackRevisions>false</trackRevisions>
    </reviewItem>
    <reviewItem>
      <errorID>45a48170-7dee-469e-95bb-ab57de96fa51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23EE3740</paraID>
      <start>310</start>
      <end>313</end>
      <status>unmodified</status>
      <modifiedWord/>
      <trackRevisions>false</trackRevisions>
    </reviewItem>
    <reviewItem>
      <errorID>b7933963-9308-42a5-934c-13b57d6e4509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23EE3740</paraID>
      <start>316</start>
      <end>319</end>
      <status>unmodified</status>
      <modifiedWord/>
      <trackRevisions>false</trackRevisions>
    </reviewItem>
    <reviewItem>
      <errorID>32dc28fb-04fa-467c-93f4-e6142540df2c</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23EE3740</paraID>
      <start>341</start>
      <end>346</end>
      <status>unmodified</status>
      <modifiedWord/>
      <trackRevisions>false</trackRevisions>
    </reviewItem>
    <reviewItem>
      <errorID>e4b6f692-866a-45f5-a615-d78b8f82b89a</errorID>
      <errorWord>议</errorWord>
      <group>L1_Word</group>
      <groupName>字词问题</groupName>
      <ability>L2_Typo</ability>
      <abilityName>字词错误</abilityName>
      <candidateList>
        <item>议上</item>
      </candidateList>
      <explain/>
      <paraID>23EE3740</paraID>
      <start>560</start>
      <end>561</end>
      <status>unmodified</status>
      <modifiedWord/>
      <trackRevisions>false</trackRevisions>
    </reviewItem>
    <reviewItem>
      <errorID>9351daa7-172f-4d4e-ace5-d6e73c459672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23EE3740</paraID>
      <start>577</start>
      <end>580</end>
      <status>unmodified</status>
      <modifiedWord/>
      <trackRevisions>false</trackRevisions>
    </reviewItem>
    <reviewItem>
      <errorID>786c6584-f6cf-4da9-ae99-112dfcc03b89</errorID>
      <errorWord>抓强</errorWord>
      <group>L1_Word</group>
      <groupName>字词问题</groupName>
      <ability>L2_Typo</ability>
      <abilityName>字词错误</abilityName>
      <candidateList>
        <item>加强</item>
      </candidateList>
      <explain/>
      <paraID>3AAED103</paraID>
      <start>28</start>
      <end>30</end>
      <status>modified</status>
      <modifiedWord>加强</modifiedWord>
      <trackRevisions>false</trackRevisions>
    </reviewItem>
    <reviewItem>
      <errorID>49f0bf36-9f45-45b6-b24e-d8e820d0a1c3</errorID>
      <errorWord>区委区政府</errorWord>
      <group>L1_Political</group>
      <groupName>政治性问题</groupName>
      <ability>L2_Keyword</ability>
      <abilityName>固定表述</abilityName>
      <candidateList>
        <item>区委、区政府</item>
      </candidateList>
      <explain>注意检查当前固定表述标点是否使用规范。</explain>
      <paraID>3AAED103</paraID>
      <start>71</start>
      <end>76</end>
      <status>unmodified</status>
      <modifiedWord/>
      <trackRevisions>false</trackRevisions>
    </reviewItem>
    <reviewItem>
      <errorID>799464a4-80d7-4fd3-9dbc-5aad5103a76e</errorID>
      <errorWord>国家市场监管总局</errorWord>
      <group>L1_Word</group>
      <groupName>字词问题</groupName>
      <ability>L2_Typo</ability>
      <abilityName>字词错误</abilityName>
      <candidateList>
        <item>国家市场监督管理总局</item>
      </candidateList>
      <explain/>
      <paraID>3AAED103</paraID>
      <start>145</start>
      <end>153</end>
      <status>unmodified</status>
      <modifiedWord/>
      <trackRevisions>false</trackRevisions>
    </reviewItem>
    <reviewItem>
      <errorID>7152156b-4a68-4650-9d44-a314f031fcb0</errorID>
      <errorWord>6.9</errorWord>
      <group>L1_Political</group>
      <groupName>政治性问题</groupName>
      <ability>L2_Unpolitical</ability>
      <abilityName>政治敏感错误</abilityName>
      <candidateList>
        <item>6·9</item>
      </candidateList>
      <explain/>
      <paraID>3AAED103</paraID>
      <start>803</start>
      <end>806</end>
      <status>unmodified</status>
      <modifiedWord/>
      <trackRevisions>false</trackRevisions>
    </reviewItem>
    <reviewItem>
      <errorID>246ecb19-27d8-42d0-b728-a0c65ac92800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3103A6AC</paraID>
      <start>0</start>
      <end>2</end>
      <status>unmodified</status>
      <modifiedWord/>
      <trackRevisions>false</trackRevisions>
    </reviewItem>
    <reviewItem>
      <errorID>1eba611c-04b3-4fd2-bd99-b56daec337ea</errorID>
      <errorWord>，</errorWord>
      <group>L1_Word</group>
      <groupName>字词问题</groupName>
      <ability>L2_Typo</ability>
      <abilityName>字词错误</abilityName>
      <candidateList>
        <item>，实</item>
      </candidateList>
      <explain/>
      <paraID>3103A6AC</paraID>
      <start>487</start>
      <end>489</end>
      <status>modified</status>
      <modifiedWord>，实</modifiedWord>
      <trackRevisions>false</trackRevisions>
    </reviewItem>
    <reviewItem>
      <errorID>d888050c-99d8-4914-9e30-29e365717f06</errorID>
      <errorWord>，</errorWord>
      <group>L1_Word</group>
      <groupName>字词问题</groupName>
      <ability>L2_Typo</ability>
      <abilityName>字词错误</abilityName>
      <candidateList>
        <item>，以</item>
      </candidateList>
      <explain/>
      <paraID>13AF0C22</paraID>
      <start>28</start>
      <end>29</end>
      <status>unmodified</status>
      <modifiedWord/>
      <trackRevisions>false</trackRevisions>
    </reviewItem>
    <reviewItem>
      <errorID>74cabccb-0cb2-4508-b8ba-7ed996e6afae</errorID>
      <errorWord>-</errorWord>
      <group>L1_Format</group>
      <groupName>格式问题</groupName>
      <ability>L2_HalfPunc</ability>
      <abilityName>全半角检查</abilityName>
      <candidateList>
        <item>－</item>
      </candidateList>
      <explain>文本全半角错误。</explain>
      <paraID>4C96EB2D</paraID>
      <start>23</start>
      <end>24</end>
      <status>unmodified</status>
      <modifiedWord/>
      <trackRevisions>false</trackRevisions>
    </reviewItem>
    <reviewItem>
      <errorID>26ec7ce9-51b0-4f45-91fd-0eda2e4fdf5a</errorID>
      <errorWord>-</errorWord>
      <group>L1_Format</group>
      <groupName>格式问题</groupName>
      <ability>L2_HalfPunc</ability>
      <abilityName>全半角检查</abilityName>
      <candidateList>
        <item>－</item>
      </candidateList>
      <explain>文本全半角错误。</explain>
      <paraID>4C96EB2D</paraID>
      <start>33</start>
      <end>34</end>
      <status>unmodified</status>
      <modifiedWord/>
      <trackRevisions>false</trackRevisions>
    </reviewItem>
    <reviewItem>
      <errorID>42835b8f-d601-4dc6-86ac-8f1f4205e5f3</errorID>
      <errorWord>-</errorWord>
      <group>L1_Format</group>
      <groupName>格式问题</groupName>
      <ability>L2_HalfPunc</ability>
      <abilityName>全半角检查</abilityName>
      <candidateList>
        <item>－</item>
      </candidateList>
      <explain>文本全半角错误。</explain>
      <paraID>4C96EB2D</paraID>
      <start>57</start>
      <end>58</end>
      <status>unmodified</status>
      <modifiedWord/>
      <trackRevisions>false</trackRevisions>
    </reviewItem>
    <reviewItem>
      <errorID>ef320130-8158-425c-8b5b-1f049f953507</errorID>
      <errorWord>-</errorWord>
      <group>L1_Format</group>
      <groupName>格式问题</groupName>
      <ability>L2_HalfPunc</ability>
      <abilityName>全半角检查</abilityName>
      <candidateList>
        <item>－</item>
      </candidateList>
      <explain>文本全半角错误。</explain>
      <paraID>4C96EB2D</paraID>
      <start>107</start>
      <end>108</end>
      <status>unmodified</status>
      <modifiedWord/>
      <trackRevisions>false</trackRevisions>
    </reviewItem>
    <reviewItem>
      <errorID>b39eaaaf-36a5-4ba1-acef-d81336430cc0</errorID>
      <errorWord>-</errorWord>
      <group>L1_Format</group>
      <groupName>格式问题</groupName>
      <ability>L2_HalfPunc</ability>
      <abilityName>全半角检查</abilityName>
      <candidateList>
        <item>－</item>
      </candidateList>
      <explain>文本全半角错误。</explain>
      <paraID>483A402F</paraID>
      <start>6</start>
      <end>7</end>
      <status>unmodified</status>
      <modifiedWord/>
      <trackRevisions>false</trackRevisions>
    </reviewItem>
    <reviewItem>
      <errorID>749197aa-7cd2-4035-bc76-7f19149cc50b</errorID>
      <errorWord>数</errorWord>
      <group>L1_Word</group>
      <groupName>字词问题</groupName>
      <ability>L2_Typo</ability>
      <abilityName>字词错误</abilityName>
      <candidateList>
        <item>数据</item>
      </candidateList>
      <explain/>
      <paraID>483A402F</paraID>
      <start>14</start>
      <end>15</end>
      <status>unmodified</status>
      <modifiedWord/>
      <trackRevisions>false</trackRevisions>
    </reviewItem>
    <reviewItem>
      <errorID>1895045f-9c16-43bd-b4f6-fd24941bccb1</errorID>
      <errorWord>-</errorWord>
      <group>L1_Format</group>
      <groupName>格式问题</groupName>
      <ability>L2_HalfPunc</ability>
      <abilityName>全半角检查</abilityName>
      <candidateList>
        <item>－</item>
      </candidateList>
      <explain>文本全半角错误。</explain>
      <paraID>5F8EBFE3</paraID>
      <start>6</start>
      <end>7</end>
      <status>unmodified</status>
      <modifiedWord/>
      <trackRevisions>false</trackRevisions>
    </reviewItem>
    <reviewItem>
      <errorID>adbc4279-77b2-468a-9cc7-6a55baafbb5f</errorID>
      <errorWord>数</errorWord>
      <group>L1_Word</group>
      <groupName>字词问题</groupName>
      <ability>L2_Typo</ability>
      <abilityName>字词错误</abilityName>
      <candidateList>
        <item>数据</item>
      </candidateList>
      <explain/>
      <paraID>5F8EBFE3</paraID>
      <start>14</start>
      <end>15</end>
      <status>unmodified</status>
      <modifiedWord/>
      <trackRevisions>false</trackRevisions>
    </reviewItem>
    <reviewItem>
      <errorID>7bb55623-6d5b-4ee3-99bc-a13ffebfeff5</errorID>
      <errorWord>44号</errorWord>
      <group>L1_Knowledge</group>
      <groupName>知识性问题</groupName>
      <ability>L2_Time</ability>
      <abilityName>日期时间</abilityName>
      <candidateList>
        <item>44日</item>
      </candidateList>
      <explain>日期表达规范为x月x日。</explain>
      <paraID>58499490</paraID>
      <start>39</start>
      <end>42</end>
      <status>unmodified</status>
      <modifiedWord/>
      <trackRevisions>false</trackRevisions>
    </reviewItem>
    <reviewItem>
      <errorID>3c2f64e8-cfdd-4427-bc1b-20b0d7fc378a</errorID>
      <errorWord>8号</errorWord>
      <group>L1_Knowledge</group>
      <groupName>知识性问题</groupName>
      <ability>L2_Time</ability>
      <abilityName>日期时间</abilityName>
      <candidateList>
        <item>8日</item>
      </candidateList>
      <explain>日期表达规范为x月x日。</explain>
      <paraID>2DD0D37D</paraID>
      <start>21</start>
      <end>23</end>
      <status>unmodified</status>
      <modifiedWord/>
      <trackRevisions>false</trackRevisions>
    </reviewItem>
    <reviewItem>
      <errorID>5a99f74f-f6b5-4a60-bacb-dfa72c53606f</errorID>
      <errorWord>18号</errorWord>
      <group>L1_Knowledge</group>
      <groupName>知识性问题</groupName>
      <ability>L2_Time</ability>
      <abilityName>日期时间</abilityName>
      <candidateList>
        <item>18日</item>
      </candidateList>
      <explain>日期表达规范为x月x日。</explain>
      <paraID>2DD0D37D</paraID>
      <start>67</start>
      <end>70</end>
      <status>unmodified</status>
      <modifiedWord/>
      <trackRevisions>false</trackRevisions>
    </reviewItem>
    <reviewItem>
      <errorID>5a3b93df-4b50-43ca-aeaf-46daa5163fda</errorID>
      <errorWord>9号</errorWord>
      <group>L1_Knowledge</group>
      <groupName>知识性问题</groupName>
      <ability>L2_Time</ability>
      <abilityName>日期时间</abilityName>
      <candidateList>
        <item>9日</item>
      </candidateList>
      <explain>日期表达规范为x月x日。</explain>
      <paraID>2DD0D37D</paraID>
      <start>116</start>
      <end>118</end>
      <status>unmodified</status>
      <modifiedWord/>
      <trackRevisions>false</trackRevisions>
    </reviewItem>
    <reviewItem>
      <errorID>b4f5369f-731a-4997-a769-1273eb5c3577</errorID>
      <errorWord>附常</errorWord>
      <group>L1_Word</group>
      <groupName>字词问题</groupName>
      <ability>L2_Typo</ability>
      <abilityName>字词错误</abilityName>
      <candidateList>
        <item>附</item>
      </candidateList>
      <explain/>
      <paraID>2DD0D37D</paraID>
      <start>136</start>
      <end>138</end>
      <status>unmodified</status>
      <modifiedWord/>
      <trackRevisions>false</trackRevisions>
    </reviewItem>
    <reviewItem>
      <errorID>ed0fedfd-8c03-4d5c-8451-29c4228cb228</errorID>
      <errorWord>3号</errorWord>
      <group>L1_Knowledge</group>
      <groupName>知识性问题</groupName>
      <ability>L2_Time</ability>
      <abilityName>日期时间</abilityName>
      <candidateList>
        <item>3日</item>
      </candidateList>
      <explain>日期表达规范为x月x日。</explain>
      <paraID>2DD0D37D</paraID>
      <start>211</start>
      <end>213</end>
      <status>unmodified</status>
      <modifiedWord/>
      <trackRevisions>false</trackRevisions>
    </reviewItem>
    <reviewItem>
      <errorID>b43961c6-4b29-4572-8c7d-fb8dc2fd38a2</errorID>
      <errorWord>26号</errorWord>
      <group>L1_Knowledge</group>
      <groupName>知识性问题</groupName>
      <ability>L2_Time</ability>
      <abilityName>日期时间</abilityName>
      <candidateList>
        <item>26日</item>
      </candidateList>
      <explain>日期表达规范为x月x日。</explain>
      <paraID>2DD0D37D</paraID>
      <start>255</start>
      <end>258</end>
      <status>unmodified</status>
      <modifiedWord/>
      <trackRevisions>false</trackRevisions>
    </reviewItem>
    <reviewItem>
      <errorID>4093d59d-ad55-407c-8669-a327bb1a7b60</errorID>
      <errorWord>18号</errorWord>
      <group>L1_Knowledge</group>
      <groupName>知识性问题</groupName>
      <ability>L2_Time</ability>
      <abilityName>日期时间</abilityName>
      <candidateList>
        <item>18日</item>
      </candidateList>
      <explain>日期表达规范为x月x日。</explain>
      <paraID>2DD0D37D</paraID>
      <start>358</start>
      <end>361</end>
      <status>unmodified</status>
      <modifiedWord/>
      <trackRevisions>false</trackRevisions>
    </reviewItem>
    <reviewItem>
      <errorID>78fa5bf3-2b36-493a-8ec1-bb25b8f7429f</errorID>
      <errorWord>12号</errorWord>
      <group>L1_Knowledge</group>
      <groupName>知识性问题</groupName>
      <ability>L2_Time</ability>
      <abilityName>日期时间</abilityName>
      <candidateList>
        <item>12日</item>
      </candidateList>
      <explain>日期表达规范为x月x日。</explain>
      <paraID>2DD0D37D</paraID>
      <start>403</start>
      <end>406</end>
      <status>unmodified</status>
      <modifiedWord/>
      <trackRevisions>false</trackRevisions>
    </reviewItem>
    <reviewItem>
      <errorID>93b907e3-4553-4c0c-a219-d8282db02211</errorID>
      <errorWord>31号</errorWord>
      <group>L1_Knowledge</group>
      <groupName>知识性问题</groupName>
      <ability>L2_Time</ability>
      <abilityName>日期时间</abilityName>
      <candidateList>
        <item>31日</item>
      </candidateList>
      <explain>日期表达规范为x月x日。</explain>
      <paraID>2DD0D37D</paraID>
      <start>463</start>
      <end>466</end>
      <status>unmodified</status>
      <modifiedWord/>
      <trackRevisions>false</trackRevisions>
    </reviewItem>
    <reviewItem>
      <errorID>a0b739cb-64d0-4f8f-9e64-9b46ef1bc649</errorID>
      <errorWord>37号</errorWord>
      <group>L1_Knowledge</group>
      <groupName>知识性问题</groupName>
      <ability>L2_Time</ability>
      <abilityName>日期时间</abilityName>
      <candidateList>
        <item>37日</item>
      </candidateList>
      <explain>日期表达规范为x月x日。</explain>
      <paraID>2DD0D37D</paraID>
      <start>516</start>
      <end>519</end>
      <status>unmodified</status>
      <modifiedWord/>
      <trackRevisions>false</trackRevisions>
    </reviewItem>
    <reviewItem>
      <errorID>ba2e2a55-e8d8-48bc-a9d4-9722f8bb24db</errorID>
      <errorWord>14号</errorWord>
      <group>L1_Knowledge</group>
      <groupName>知识性问题</groupName>
      <ability>L2_Time</ability>
      <abilityName>日期时间</abilityName>
      <candidateList>
        <item>14日</item>
      </candidateList>
      <explain>日期表达规范为x月x日。</explain>
      <paraID>2DD0D37D</paraID>
      <start>562</start>
      <end>565</end>
      <status>unmodified</status>
      <modifiedWord/>
      <trackRevisions>false</trackRevisions>
    </reviewItem>
    <reviewItem>
      <errorID>5d9c7db6-dcc3-426e-a9c4-d9dda6aaa8af</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6C95C375</paraID>
      <start>2</start>
      <end>8</end>
      <status>modified</status>
      <modifiedWord>“三公”经费</modifiedWord>
      <trackRevisions>false</trackRevisions>
    </reviewItem>
    <reviewItem>
      <errorID>fd8168d5-6495-4d32-85a3-9ae92d83755a</errorID>
      <errorWord>数</errorWord>
      <group>L1_Word</group>
      <groupName>字词问题</groupName>
      <ability>L2_Typo</ability>
      <abilityName>字词错误</abilityName>
      <candidateList>
        <item>数据</item>
      </candidateList>
      <explain/>
      <paraID>6C95C375</paraID>
      <start>11</start>
      <end>12</end>
      <status>unmodified</status>
      <modifiedWord/>
      <trackRevisions>false</trackRevisions>
    </reviewItem>
    <reviewItem>
      <errorID>8dee6c82-e6e4-4e7a-99fb-680b3bcc77d9</errorID>
      <errorWord>公车公车</errorWord>
      <group>L1_Word</group>
      <groupName>字词问题</groupName>
      <ability>L2_Typo</ability>
      <abilityName>字词错误</abilityName>
      <candidateList>
        <item>公车</item>
      </candidateList>
      <explain/>
      <paraID>4BA221A2</paraID>
      <start>57</start>
      <end>61</end>
      <status>unmodified</status>
      <modifiedWord/>
      <trackRevisions>false</trackRevisions>
    </reviewItem>
    <reviewItem>
      <errorID>5ed89da0-7275-4c15-930f-64f3f30ea269</errorID>
      <errorWord>46号</errorWord>
      <group>L1_Knowledge</group>
      <groupName>知识性问题</groupName>
      <ability>L2_Time</ability>
      <abilityName>日期时间</abilityName>
      <candidateList>
        <item>46日</item>
      </candidateList>
      <explain>日期表达规范为x月x日。</explain>
      <paraID>4B1FA7D4</paraID>
      <start>64</start>
      <end>67</end>
      <status>unmodified</status>
      <modifiedWord/>
      <trackRevisions>false</trackRevisions>
    </reviewItem>
    <reviewItem>
      <errorID>142a55af-732c-476a-a587-61778484e876</errorID>
      <errorWord>-</errorWord>
      <group>L1_Format</group>
      <groupName>格式问题</groupName>
      <ability>L2_HalfPunc</ability>
      <abilityName>全半角检查</abilityName>
      <candidateList>
        <item>－</item>
      </candidateList>
      <explain>文本全半角错误。</explain>
      <paraID>1100C993</paraID>
      <start>4</start>
      <end>5</end>
      <status>unmodified</status>
      <modifiedWord/>
      <trackRevisions>false</trackRevisions>
    </reviewItem>
    <reviewItem>
      <errorID>0d3ffe96-f1da-4ac0-9484-ddd12f1ff9db</errorID>
      <errorWord>-</errorWord>
      <group>L1_Format</group>
      <groupName>格式问题</groupName>
      <ability>L2_HalfPunc</ability>
      <abilityName>全半角检查</abilityName>
      <candidateList>
        <item>－</item>
      </candidateList>
      <explain>文本全半角错误。</explain>
      <paraID>1100C993</paraID>
      <start>9</start>
      <end>10</end>
      <status>unmodified</status>
      <modifiedWord/>
      <trackRevisions>false</trackRevisions>
    </reviewItem>
    <reviewItem>
      <errorID>7e159607-fd6f-430d-8827-536b948894ff</errorID>
      <errorWord>-</errorWord>
      <group>L1_Format</group>
      <groupName>格式问题</groupName>
      <ability>L2_HalfPunc</ability>
      <abilityName>全半角检查</abilityName>
      <candidateList>
        <item>－</item>
      </candidateList>
      <explain>文本全半角错误。</explain>
      <paraID>1100C993</paraID>
      <start>40</start>
      <end>41</end>
      <status>unmodified</status>
      <modifiedWord/>
      <trackRevisions>false</trackRevisions>
    </reviewItem>
    <reviewItem>
      <errorID>5cf4b8e7-c883-407d-9772-52ee29f9156a</errorID>
      <errorWord>-</errorWord>
      <group>L1_Format</group>
      <groupName>格式问题</groupName>
      <ability>L2_HalfPunc</ability>
      <abilityName>全半角检查</abilityName>
      <candidateList>
        <item>－</item>
      </candidateList>
      <explain>文本全半角错误。</explain>
      <paraID>1100C890</paraID>
      <start>21</start>
      <end>22</end>
      <status>unmodified</status>
      <modifiedWord/>
      <trackRevisions>false</trackRevisions>
    </reviewItem>
    <reviewItem>
      <errorID>1377e6e8-5da6-4a32-8b9b-eb7d70ae2ee9</errorID>
      <errorWord>-</errorWord>
      <group>L1_Format</group>
      <groupName>格式问题</groupName>
      <ability>L2_HalfPunc</ability>
      <abilityName>全半角检查</abilityName>
      <candidateList>
        <item>－</item>
      </candidateList>
      <explain>文本全半角错误。</explain>
      <paraID>1100C890</paraID>
      <start>24</start>
      <end>25</end>
      <status>unmodified</status>
      <modifiedWord/>
      <trackRevisions>false</trackRevisions>
    </reviewItem>
    <reviewItem>
      <errorID>bb903a5f-dd9e-4d6a-873b-ae2c09aa096b</errorID>
      <errorWord>，无</errorWord>
      <group>L1_Word</group>
      <groupName>字词问题</groupName>
      <ability>L2_Typo</ability>
      <abilityName>字词错误</abilityName>
      <candidateList>
        <item>，</item>
      </candidateList>
      <explain/>
      <paraID>621B80F1</paraID>
      <start>148</start>
      <end>150</end>
      <status>unmodified</status>
      <modifiedWord/>
      <trackRevisions>false</trackRevisions>
    </reviewItem>
    <reviewItem>
      <errorID>e2830c0b-352c-4dc3-8d6e-7ef0af351158</errorID>
      <errorWord>4号</errorWord>
      <group>L1_Knowledge</group>
      <groupName>知识性问题</groupName>
      <ability>L2_Time</ability>
      <abilityName>日期时间</abilityName>
      <candidateList>
        <item>4日</item>
      </candidateList>
      <explain>日期表达规范为x月x日。</explain>
      <paraID>5BAB1214</paraID>
      <start>25</start>
      <end>27</end>
      <status>unmodified</status>
      <modifiedWord/>
      <trackRevisions>false</trackRevisions>
    </reviewItem>
    <reviewItem>
      <errorID>09f3ff43-7e70-46bf-804f-24c6ab80863d</errorID>
      <errorWord>8号</errorWord>
      <group>L1_Knowledge</group>
      <groupName>知识性问题</groupName>
      <ability>L2_Time</ability>
      <abilityName>日期时间</abilityName>
      <candidateList>
        <item>8日</item>
      </candidateList>
      <explain>日期表达规范为x月x日。</explain>
      <paraID>5BAB1214</paraID>
      <start>78</start>
      <end>80</end>
      <status>unmodified</status>
      <modifiedWord/>
      <trackRevisions>false</trackRevisions>
    </reviewItem>
    <reviewItem>
      <errorID>0f89a91f-5ddd-4252-a215-f567ace695b1</errorID>
      <errorWord>10号</errorWord>
      <group>L1_Knowledge</group>
      <groupName>知识性问题</groupName>
      <ability>L2_Time</ability>
      <abilityName>日期时间</abilityName>
      <candidateList>
        <item>10日</item>
      </candidateList>
      <explain>日期表达规范为x月x日。</explain>
      <paraID>5BAB1214</paraID>
      <start>143</start>
      <end>146</end>
      <status>unmodified</status>
      <modifiedWord/>
      <trackRevisions>false</trackRevisions>
    </reviewItem>
    <reviewItem>
      <errorID>674a2be8-d2ff-4d82-9c96-99734e025eab</errorID>
      <errorWord>15号</errorWord>
      <group>L1_Knowledge</group>
      <groupName>知识性问题</groupName>
      <ability>L2_Time</ability>
      <abilityName>日期时间</abilityName>
      <candidateList>
        <item>15日</item>
      </candidateList>
      <explain>日期表达规范为x月x日。</explain>
      <paraID>5BAB1214</paraID>
      <start>207</start>
      <end>210</end>
      <status>unmodified</status>
      <modifiedWord/>
      <trackRevisions>false</trackRevisions>
    </reviewItem>
    <reviewItem>
      <errorID>e2b5c824-088d-4e70-8ed5-b3991595eca3</errorID>
      <errorWord>17号</errorWord>
      <group>L1_Knowledge</group>
      <groupName>知识性问题</groupName>
      <ability>L2_Time</ability>
      <abilityName>日期时间</abilityName>
      <candidateList>
        <item>17日</item>
      </candidateList>
      <explain>日期表达规范为x月x日。</explain>
      <paraID>5BAB1214</paraID>
      <start>246</start>
      <end>249</end>
      <status>unmodified</status>
      <modifiedWord/>
      <trackRevisions>false</trackRevisions>
    </reviewItem>
    <reviewItem>
      <errorID>f92791a6-6bc3-4b59-ab05-5759e271ec21</errorID>
      <errorWord>16号</errorWord>
      <group>L1_Knowledge</group>
      <groupName>知识性问题</groupName>
      <ability>L2_Time</ability>
      <abilityName>日期时间</abilityName>
      <candidateList>
        <item>16日</item>
      </candidateList>
      <explain>日期表达规范为x月x日。</explain>
      <paraID>5BAB1214</paraID>
      <start>352</start>
      <end>355</end>
      <status>unmodified</status>
      <modifiedWord/>
      <trackRevisions>false</trackRevisions>
    </reviewItem>
    <reviewItem>
      <errorID>19cf44dc-6366-4897-ae64-d3a857e5e382</errorID>
      <errorWord>10号</errorWord>
      <group>L1_Knowledge</group>
      <groupName>知识性问题</groupName>
      <ability>L2_Time</ability>
      <abilityName>日期时间</abilityName>
      <candidateList>
        <item>10日</item>
      </candidateList>
      <explain>日期表达规范为x月x日。</explain>
      <paraID>5BAB1214</paraID>
      <start>395</start>
      <end>398</end>
      <status>unmodified</status>
      <modifiedWord/>
      <trackRevisions>false</trackRevisions>
    </reviewItem>
    <reviewItem>
      <errorID>33bcf309-a080-46a1-9b0b-f405e5df3564</errorID>
      <errorWord>11号</errorWord>
      <group>L1_Knowledge</group>
      <groupName>知识性问题</groupName>
      <ability>L2_Time</ability>
      <abilityName>日期时间</abilityName>
      <candidateList>
        <item>11日</item>
      </candidateList>
      <explain>日期表达规范为x月x日。</explain>
      <paraID>5BAB1214</paraID>
      <start>438</start>
      <end>441</end>
      <status>unmodified</status>
      <modifiedWord/>
      <trackRevisions>false</trackRevisions>
    </reviewItem>
    <reviewItem>
      <errorID>77426f7c-2744-4c34-a146-d1ce42db6c4f</errorID>
      <errorWord>,</errorWord>
      <group>L1_Format</group>
      <groupName>格式问题</groupName>
      <ability>L2_HalfPunc</ability>
      <abilityName>全半角检查</abilityName>
      <candidateList>
        <item>，</item>
      </candidateList>
      <explain>文本全半角错误。</explain>
      <paraID>5BAB1214</paraID>
      <start>545</start>
      <end>546</end>
      <status>unmodified</status>
      <modifiedWord/>
      <trackRevisions>false</trackRevisions>
    </reviewItem>
    <reviewItem>
      <errorID>3279a291-5825-4e5e-ba9e-f2377e618438</errorID>
      <errorWord>作项目</errorWord>
      <group>L1_Word</group>
      <groupName>字词问题</groupName>
      <ability>L2_Typo</ability>
      <abilityName>字词错误</abilityName>
      <candidateList>
        <item>做项目</item>
      </candidateList>
      <explain/>
      <paraID>5BAB1214</paraID>
      <start>547</start>
      <end>550</end>
      <status>unmodified</status>
      <modifiedWord/>
      <trackRevisions>false</trackRevisions>
    </reviewItem>
    <reviewItem>
      <errorID>483624ee-5291-4ae6-8b82-b3e6a34c09fb</errorID>
      <errorWord>情况及</errorWord>
      <group>L1_Word</group>
      <groupName>字词问题</groupName>
      <ability>L2_Typo</ability>
      <abilityName>字词错误</abilityName>
      <candidateList>
        <item>情况</item>
      </candidateList>
      <explain>〈名〉❶情形：思想～｜工作～｜～特殊。❷指军事上的变化，泛指事情的变化、动向：这两天前线没有什么～｜他俩的关系最近又有了新的～。</explain>
      <paraID>2D3ADE8F</paraID>
      <start>14</start>
      <end>17</end>
      <status>unmodified</status>
      <modifiedWord/>
      <trackRevisions>false</trackRevisions>
    </reviewItem>
    <reviewItem>
      <errorID>0e1e0666-1090-4537-8ab0-25244e1edb26</errorID>
      <errorWord>，</errorWord>
      <group>L1_Word</group>
      <groupName>字词问题</groupName>
      <ability>L2_Typo</ability>
      <abilityName>字词错误</abilityName>
      <candidateList>
        <item>，党</item>
      </candidateList>
      <explain/>
      <paraID>5AD15C55</paraID>
      <start>97</start>
      <end>98</end>
      <status>unmodified</status>
      <modifiedWord/>
      <trackRevisions>false</trackRevisions>
    </reviewItem>
    <reviewItem>
      <errorID>60b73dd1-4e6c-4c25-955e-3783a77b402f</errorID>
      <errorWord>全面从严治党责任</errorWord>
      <group>L1_Word</group>
      <groupName>字词问题</groupName>
      <ability>L2_Typo</ability>
      <abilityName>字词错误</abilityName>
      <candidateList>
        <item>全面从严治党主体责任</item>
      </candidateList>
      <explain/>
      <paraID>1D2976EC</paraID>
      <start>30</start>
      <end>38</end>
      <status>unmodified</status>
      <modifiedWord/>
      <trackRevisions>false</trackRevisions>
    </reviewItem>
    <reviewItem>
      <errorID>a96b01eb-70cf-43a3-b3a8-bb8c952bb0ff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65E5451F</paraID>
      <start>97</start>
      <end>100</end>
      <status>unmodified</status>
      <modifiedWord/>
      <trackRevisions>false</trackRevisions>
    </reviewItem>
    <reviewItem>
      <errorID>12d091f5-cb21-4ad5-a58c-6735628390a4</errorID>
      <errorWord>（</errorWord>
      <group>L1_Punc</group>
      <groupName>标点问题</groupName>
      <ability>L2_Punc</ability>
      <abilityName>标点符号检查</abilityName>
      <candidateList/>
      <explain/>
      <paraID>4C2C4B2A</paraID>
      <start>64</start>
      <end>65</end>
      <status>unmodified</status>
      <modifiedWord/>
      <trackRevisions>false</trackRevisions>
    </reviewItem>
    <reviewItem>
      <errorID>02261729-49d9-4963-8662-b5ac8c803548</errorID>
      <errorWord>12号</errorWord>
      <group>L1_Knowledge</group>
      <groupName>知识性问题</groupName>
      <ability>L2_Time</ability>
      <abilityName>日期时间</abilityName>
      <candidateList>
        <item>12日</item>
      </candidateList>
      <explain>日期表达规范为x月x日。</explain>
      <paraID>7C7091B6</paraID>
      <start>31</start>
      <end>34</end>
      <status>unmodified</status>
      <modifiedWord/>
      <trackRevisions>false</trackRevisions>
    </reviewItem>
    <reviewItem>
      <errorID>ab1f824a-69c2-4e98-bab8-125a554fb0f4</errorID>
      <errorWord>8号</errorWord>
      <group>L1_Knowledge</group>
      <groupName>知识性问题</groupName>
      <ability>L2_Time</ability>
      <abilityName>日期时间</abilityName>
      <candidateList>
        <item>8日</item>
      </candidateList>
      <explain>日期表达规范为x月x日。</explain>
      <paraID>1889BBB6</paraID>
      <start>10</start>
      <end>12</end>
      <status>unmodified</status>
      <modifiedWord/>
      <trackRevisions>false</trackRevisions>
    </reviewItem>
    <reviewItem>
      <errorID>893c6d7e-e44d-413d-b8f3-0e0fe7595b5a</errorID>
      <errorWord>18号</errorWord>
      <group>L1_Knowledge</group>
      <groupName>知识性问题</groupName>
      <ability>L2_Time</ability>
      <abilityName>日期时间</abilityName>
      <candidateList>
        <item>18日</item>
      </candidateList>
      <explain>日期表达规范为x月x日。</explain>
      <paraID>1889BBB6</paraID>
      <start>56</start>
      <end>59</end>
      <status>unmodified</status>
      <modifiedWord/>
      <trackRevisions>false</trackRevisions>
    </reviewItem>
    <reviewItem>
      <errorID>e39b8e01-eb7c-41dc-aa7f-88a650d9c8e9</errorID>
      <errorWord>9号</errorWord>
      <group>L1_Knowledge</group>
      <groupName>知识性问题</groupName>
      <ability>L2_Time</ability>
      <abilityName>日期时间</abilityName>
      <candidateList>
        <item>9日</item>
      </candidateList>
      <explain>日期表达规范为x月x日。</explain>
      <paraID>1889BBB6</paraID>
      <start>105</start>
      <end>107</end>
      <status>unmodified</status>
      <modifiedWord/>
      <trackRevisions>false</trackRevisions>
    </reviewItem>
    <reviewItem>
      <errorID>a664d3c4-a3b2-4523-9696-68b35ebbd399</errorID>
      <errorWord>附常</errorWord>
      <group>L1_Word</group>
      <groupName>字词问题</groupName>
      <ability>L2_Typo</ability>
      <abilityName>字词错误</abilityName>
      <candidateList>
        <item>附</item>
      </candidateList>
      <explain/>
      <paraID>1889BBB6</paraID>
      <start>125</start>
      <end>127</end>
      <status>unmodified</status>
      <modifiedWord/>
      <trackRevisions>false</trackRevisions>
    </reviewItem>
    <reviewItem>
      <errorID>013a46be-1c98-4299-b69c-51550947088a</errorID>
      <errorWord>3号</errorWord>
      <group>L1_Knowledge</group>
      <groupName>知识性问题</groupName>
      <ability>L2_Time</ability>
      <abilityName>日期时间</abilityName>
      <candidateList>
        <item>3日</item>
      </candidateList>
      <explain>日期表达规范为x月x日。</explain>
      <paraID>1889BBB6</paraID>
      <start>200</start>
      <end>202</end>
      <status>unmodified</status>
      <modifiedWord/>
      <trackRevisions>false</trackRevisions>
    </reviewItem>
    <reviewItem>
      <errorID>e1ab4b9e-e15b-45c8-b2b2-76958a8010fe</errorID>
      <errorWord>26号</errorWord>
      <group>L1_Knowledge</group>
      <groupName>知识性问题</groupName>
      <ability>L2_Time</ability>
      <abilityName>日期时间</abilityName>
      <candidateList>
        <item>26日</item>
      </candidateList>
      <explain>日期表达规范为x月x日。</explain>
      <paraID>1889BBB6</paraID>
      <start>244</start>
      <end>247</end>
      <status>unmodified</status>
      <modifiedWord/>
      <trackRevisions>false</trackRevisions>
    </reviewItem>
    <reviewItem>
      <errorID>2ef4bf54-3620-40ec-b9f8-5c8dd46bf192</errorID>
      <errorWord>18号</errorWord>
      <group>L1_Knowledge</group>
      <groupName>知识性问题</groupName>
      <ability>L2_Time</ability>
      <abilityName>日期时间</abilityName>
      <candidateList>
        <item>18日</item>
      </candidateList>
      <explain>日期表达规范为x月x日。</explain>
      <paraID>1889BBB6</paraID>
      <start>347</start>
      <end>350</end>
      <status>unmodified</status>
      <modifiedWord/>
      <trackRevisions>false</trackRevisions>
    </reviewItem>
    <reviewItem>
      <errorID>f1d3fb38-43d4-401b-8abb-78de5f6d968a</errorID>
      <errorWord>12号</errorWord>
      <group>L1_Knowledge</group>
      <groupName>知识性问题</groupName>
      <ability>L2_Time</ability>
      <abilityName>日期时间</abilityName>
      <candidateList>
        <item>12日</item>
      </candidateList>
      <explain>日期表达规范为x月x日。</explain>
      <paraID>1889BBB6</paraID>
      <start>392</start>
      <end>395</end>
      <status>unmodified</status>
      <modifiedWord/>
      <trackRevisions>false</trackRevisions>
    </reviewItem>
    <reviewItem>
      <errorID>89e4fc1f-3cf1-4acd-9472-de9488814f96</errorID>
      <errorWord>31号</errorWord>
      <group>L1_Knowledge</group>
      <groupName>知识性问题</groupName>
      <ability>L2_Time</ability>
      <abilityName>日期时间</abilityName>
      <candidateList>
        <item>31日</item>
      </candidateList>
      <explain>日期表达规范为x月x日。</explain>
      <paraID>1889BBB6</paraID>
      <start>452</start>
      <end>455</end>
      <status>unmodified</status>
      <modifiedWord/>
      <trackRevisions>false</trackRevisions>
    </reviewItem>
    <reviewItem>
      <errorID>003c6046-4d59-4bd2-a6b3-e0dd6d496910</errorID>
      <errorWord>37号</errorWord>
      <group>L1_Knowledge</group>
      <groupName>知识性问题</groupName>
      <ability>L2_Time</ability>
      <abilityName>日期时间</abilityName>
      <candidateList>
        <item>37日</item>
      </candidateList>
      <explain>日期表达规范为x月x日。</explain>
      <paraID>1889BBB6</paraID>
      <start>505</start>
      <end>508</end>
      <status>unmodified</status>
      <modifiedWord/>
      <trackRevisions>false</trackRevisions>
    </reviewItem>
    <reviewItem>
      <errorID>d822326f-26b2-40dd-a311-a1190532dc90</errorID>
      <errorWord>14号</errorWord>
      <group>L1_Knowledge</group>
      <groupName>知识性问题</groupName>
      <ability>L2_Time</ability>
      <abilityName>日期时间</abilityName>
      <candidateList>
        <item>14日</item>
      </candidateList>
      <explain>日期表达规范为x月x日。</explain>
      <paraID>1889BBB6</paraID>
      <start>551</start>
      <end>554</end>
      <status>unmodified</status>
      <modifiedWord/>
      <trackRevisions>false</trackRevisions>
    </reviewItem>
    <reviewItem>
      <errorID>c7cd488c-4620-4435-b727-c8558dd82f4e</errorID>
      <errorWord>4号</errorWord>
      <group>L1_Knowledge</group>
      <groupName>知识性问题</groupName>
      <ability>L2_Time</ability>
      <abilityName>日期时间</abilityName>
      <candidateList>
        <item>4日</item>
      </candidateList>
      <explain>日期表达规范为x月x日。</explain>
      <paraID>1889BBB6</paraID>
      <start>651</start>
      <end>653</end>
      <status>unmodified</status>
      <modifiedWord/>
      <trackRevisions>false</trackRevisions>
    </reviewItem>
    <reviewItem>
      <errorID>a10cfa68-e635-44f6-ba79-b32890cfda13</errorID>
      <errorWord>8号</errorWord>
      <group>L1_Knowledge</group>
      <groupName>知识性问题</groupName>
      <ability>L2_Time</ability>
      <abilityName>日期时间</abilityName>
      <candidateList>
        <item>8日</item>
      </candidateList>
      <explain>日期表达规范为x月x日。</explain>
      <paraID>1889BBB6</paraID>
      <start>704</start>
      <end>706</end>
      <status>unmodified</status>
      <modifiedWord/>
      <trackRevisions>false</trackRevisions>
    </reviewItem>
    <reviewItem>
      <errorID>5b8923e9-fcfe-43fc-9279-85562f5b8ed5</errorID>
      <errorWord>10号</errorWord>
      <group>L1_Knowledge</group>
      <groupName>知识性问题</groupName>
      <ability>L2_Time</ability>
      <abilityName>日期时间</abilityName>
      <candidateList>
        <item>10日</item>
      </candidateList>
      <explain>日期表达规范为x月x日。</explain>
      <paraID>1889BBB6</paraID>
      <start>770</start>
      <end>773</end>
      <status>unmodified</status>
      <modifiedWord/>
      <trackRevisions>false</trackRevisions>
    </reviewItem>
    <reviewItem>
      <errorID>d02a817c-fb38-4961-b67d-3e9fbd77b702</errorID>
      <errorWord>15号</errorWord>
      <group>L1_Knowledge</group>
      <groupName>知识性问题</groupName>
      <ability>L2_Time</ability>
      <abilityName>日期时间</abilityName>
      <candidateList>
        <item>15日</item>
      </candidateList>
      <explain>日期表达规范为x月x日。</explain>
      <paraID>1889BBB6</paraID>
      <start>835</start>
      <end>838</end>
      <status>unmodified</status>
      <modifiedWord/>
      <trackRevisions>false</trackRevisions>
    </reviewItem>
    <reviewItem>
      <errorID>ea4458ea-aec7-401b-80b0-76524ad3070f</errorID>
      <errorWord>17号</errorWord>
      <group>L1_Knowledge</group>
      <groupName>知识性问题</groupName>
      <ability>L2_Time</ability>
      <abilityName>日期时间</abilityName>
      <candidateList>
        <item>17日</item>
      </candidateList>
      <explain>日期表达规范为x月x日。</explain>
      <paraID>1889BBB6</paraID>
      <start>875</start>
      <end>878</end>
      <status>unmodified</status>
      <modifiedWord/>
      <trackRevisions>false</trackRevisions>
    </reviewItem>
    <reviewItem>
      <errorID>e6b433c0-cf13-43f5-a8a2-7db1dd9fc346</errorID>
      <errorWord>16号</errorWord>
      <group>L1_Knowledge</group>
      <groupName>知识性问题</groupName>
      <ability>L2_Time</ability>
      <abilityName>日期时间</abilityName>
      <candidateList>
        <item>16日</item>
      </candidateList>
      <explain>日期表达规范为x月x日。</explain>
      <paraID>1889BBB6</paraID>
      <start>982</start>
      <end>985</end>
      <status>unmodified</status>
      <modifiedWord/>
      <trackRevisions>false</trackRevisions>
    </reviewItem>
    <reviewItem>
      <errorID>27dbc2bd-c930-4e9d-9fdc-96638da2cc87</errorID>
      <errorWord>11号</errorWord>
      <group>L1_Knowledge</group>
      <groupName>知识性问题</groupName>
      <ability>L2_Time</ability>
      <abilityName>日期时间</abilityName>
      <candidateList>
        <item>11日</item>
      </candidateList>
      <explain>日期表达规范为x月x日。</explain>
      <paraID>1889BBB6</paraID>
      <start>1027</start>
      <end>1030</end>
      <status>unmodified</status>
      <modifiedWord/>
      <trackRevisions>false</trackRevisions>
    </reviewItem>
    <reviewItem>
      <errorID>c66feae5-d622-4952-8248-e8fbcfeb43b8</errorID>
      <errorWord>（</errorWord>
      <group>L1_Punc</group>
      <groupName>标点问题</groupName>
      <ability>L2_Punc</ability>
      <abilityName>标点符号检查</abilityName>
      <candidateList/>
      <explain/>
      <paraID>68461B1A</paraID>
      <start>7</start>
      <end>8</end>
      <status>unmodified</status>
      <modifiedWord/>
      <trackRevisions>false</trackRevisions>
    </reviewItem>
    <reviewItem>
      <errorID>083aa14a-d998-4ea1-a21d-de32c5173274</errorID>
      <errorWord>获</errorWord>
      <group>L1_Word</group>
      <groupName>字词问题</groupName>
      <ability>L2_Typo</ability>
      <abilityName>字词错误</abilityName>
      <candidateList>
        <item>获得</item>
      </candidateList>
      <explain>〈动〉取得；得到（多用于抽象事物）：～好评｜～宝贵的经验｜～显著的成绩。</explain>
      <paraID>7A5AFDC4</paraID>
      <start>80</start>
      <end>81</end>
      <status>unmodified</status>
      <modifiedWord/>
      <trackRevisions>false</trackRevisions>
    </reviewItem>
    <reviewItem>
      <errorID>fbd8a093-7829-43ec-882c-9ff9fcbf2277</errorID>
      <errorWord>分</errorWord>
      <group>L1_Word</group>
      <groupName>字词问题</groupName>
      <ability>L2_Typo</ability>
      <abilityName>字词错误</abilityName>
      <candidateList>
        <item>分为</item>
      </candidateList>
      <explain/>
      <paraID>27D5FB03</paraID>
      <start>59</start>
      <end>61</end>
      <status>modified</status>
      <modifiedWord>分为</modifiedWord>
      <trackRevisions>false</trackRevisions>
    </reviewItem>
    <reviewItem>
      <errorID>6523d2a8-da1e-4327-94a4-fdc603b617a4</errorID>
      <errorWord>得分在</errorWord>
      <group>L1_Word</group>
      <groupName>字词问题</groupName>
      <ability>L2_Typo</ability>
      <abilityName>字词错误</abilityName>
      <candidateList>
        <item>得分</item>
      </candidateList>
      <explain/>
      <paraID>27D5FB03</paraID>
      <start>93</start>
      <end>95</end>
      <status>modified</status>
      <modifiedWord>得分</modifiedWord>
      <trackRevisions>false</trackRevisions>
    </reviewItem>
    <reviewItem>
      <errorID>fceb6789-5f4e-4265-999b-90b132311426</errorID>
      <errorWord>，</errorWord>
      <group>L1_Word</group>
      <groupName>字词问题</groupName>
      <ability>L2_Typo</ability>
      <abilityName>字词错误</abilityName>
      <candidateList>
        <item>，以</item>
      </candidateList>
      <explain/>
      <paraID>64D50FEB</paraID>
      <start>107</start>
      <end>108</end>
      <status>unmodified</status>
      <modifiedWord/>
      <trackRevisions>false</trackRevisions>
    </reviewItem>
    <reviewItem>
      <errorID>a96d00b0-edd7-408b-a157-972e4c10e03c</errorID>
      <errorWord>随意流用</errorWord>
      <group>L1_Word</group>
      <groupName>字词问题</groupName>
      <ability>L2_Typo</ability>
      <abilityName>字词错误</abilityName>
      <candidateList>
        <item>随意留用</item>
      </candidateList>
      <explain/>
      <paraID>439C9FAD</paraID>
      <start>119</start>
      <end>123</end>
      <status>unmodified</status>
      <modifiedWord/>
      <trackRevisions>false</trackRevisions>
    </reviewItem>
    <reviewItem>
      <errorID>2ccd3a13-fb85-4eb8-9912-a3a29633c709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439C9FAD</paraID>
      <start>245</start>
      <end>248</end>
      <status>unmodified</status>
      <modifiedWord/>
      <trackRevisions>false</trackRevisions>
    </reviewItem>
    <reviewItem>
      <errorID>e845026e-cad3-4c71-b607-b1f97f665904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273</start>
      <end>276</end>
      <status>unmodified</status>
      <modifiedWord/>
      <trackRevisions>false</trackRevisions>
    </reviewItem>
    <reviewItem>
      <errorID>cc6e43ab-26bc-4cdc-9e5a-b0d0581cb879</errorID>
      <errorWord>-</errorWord>
      <group>L1_Format</group>
      <groupName>格式问题</groupName>
      <ability>L2_HalfPunc</ability>
      <abilityName>全半角检查</abilityName>
      <candidateList>
        <item>－</item>
      </candidateList>
      <explain>文本全半角错误。</explain>
      <paraID> 5CF6424</paraID>
      <start>414</start>
      <end>415</end>
      <status>unmodified</status>
      <modifiedWord/>
      <trackRevisions>false</trackRevisions>
    </reviewItem>
    <reviewItem>
      <errorID>b5a561b6-af1b-4247-a21d-b46c35bffdb1</errorID>
      <errorWord>、以及</errorWord>
      <group>L1_Punc</group>
      <groupName>标点问题</groupName>
      <ability>L2_Punc</ability>
      <abilityName>标点符号检查</abilityName>
      <candidateList>
        <item>，以及</item>
      </candidateList>
      <explain>连接词前后不宜使用顿号，建议使用逗号。</explain>
      <paraID> 5CF6424</paraID>
      <start>468</start>
      <end>471</end>
      <status>unmodified</status>
      <modifiedWord/>
      <trackRevisions>false</trackRevisions>
    </reviewItem>
    <reviewItem>
      <errorID>224d573c-a82c-40b0-a290-f27b2c3573d5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5CF6424</paraID>
      <start>562</start>
      <end>565</end>
      <status>unmodified</status>
      <modifiedWord/>
      <trackRevisions>false</trackRevisions>
    </reviewItem>
    <reviewItem>
      <errorID>819ac96f-2df9-481a-95dd-1c4846109402</errorID>
      <errorWord>3号</errorWord>
      <group>L1_Knowledge</group>
      <groupName>知识性问题</groupName>
      <ability>L2_Time</ability>
      <abilityName>日期时间</abilityName>
      <candidateList>
        <item>3日</item>
      </candidateList>
      <explain>日期表达规范为x月x日。</explain>
      <paraID>2206204B</paraID>
      <start>24</start>
      <end>26</end>
      <status>unmodified</status>
      <modifiedWord/>
      <trackRevisions>false</trackRevisions>
    </reviewItem>
    <reviewItem>
      <errorID>351626c5-ecf9-49ef-9895-d1ebc9eaa0f1</errorID>
      <errorWord>8号</errorWord>
      <group>L1_Knowledge</group>
      <groupName>知识性问题</groupName>
      <ability>L2_Time</ability>
      <abilityName>日期时间</abilityName>
      <candidateList>
        <item>8日</item>
      </candidateList>
      <explain>日期表达规范为x月x日。</explain>
      <paraID>22198050</paraID>
      <start>10</start>
      <end>12</end>
      <status>unmodified</status>
      <modifiedWord/>
      <trackRevisions>false</trackRevisions>
    </reviewItem>
    <reviewItem>
      <errorID>4cd504ea-3c58-435e-8759-d0f0fc234c89</errorID>
      <errorWord>18号</errorWord>
      <group>L1_Knowledge</group>
      <groupName>知识性问题</groupName>
      <ability>L2_Time</ability>
      <abilityName>日期时间</abilityName>
      <candidateList>
        <item>18日</item>
      </candidateList>
      <explain>日期表达规范为x月x日。</explain>
      <paraID>22198050</paraID>
      <start>56</start>
      <end>59</end>
      <status>unmodified</status>
      <modifiedWord/>
      <trackRevisions>false</trackRevisions>
    </reviewItem>
    <reviewItem>
      <errorID>77a57662-4981-407e-a499-529feb61db59</errorID>
      <errorWord>9号</errorWord>
      <group>L1_Knowledge</group>
      <groupName>知识性问题</groupName>
      <ability>L2_Time</ability>
      <abilityName>日期时间</abilityName>
      <candidateList>
        <item>9日</item>
      </candidateList>
      <explain>日期表达规范为x月x日。</explain>
      <paraID>7EDB28BA</paraID>
      <start>9</start>
      <end>11</end>
      <status>unmodified</status>
      <modifiedWord/>
      <trackRevisions>false</trackRevisions>
    </reviewItem>
    <reviewItem>
      <errorID>7727e582-d1c8-4605-ae59-62ce48bbf386</errorID>
      <errorWord>附常</errorWord>
      <group>L1_Word</group>
      <groupName>字词问题</groupName>
      <ability>L2_Typo</ability>
      <abilityName>字词错误</abilityName>
      <candidateList>
        <item>附</item>
      </candidateList>
      <explain/>
      <paraID>7EDB28BA</paraID>
      <start>39</start>
      <end>41</end>
      <status>unmodified</status>
      <modifiedWord/>
      <trackRevisions>false</trackRevisions>
    </reviewItem>
    <reviewItem>
      <errorID>b84a50ca-a529-46df-b0c3-9ba5556a838b</errorID>
      <errorWord>26号</errorWord>
      <group>L1_Knowledge</group>
      <groupName>知识性问题</groupName>
      <ability>L2_Time</ability>
      <abilityName>日期时间</abilityName>
      <candidateList>
        <item>26日</item>
      </candidateList>
      <explain>日期表达规范为x月x日。</explain>
      <paraID>491915A2</paraID>
      <start>9</start>
      <end>12</end>
      <status>unmodified</status>
      <modifiedWord/>
      <trackRevisions>false</trackRevisions>
    </reviewItem>
    <reviewItem>
      <errorID>15fefdd6-3871-4698-be09-c7cbd8223192</errorID>
      <errorWord>13号</errorWord>
      <group>L1_Knowledge</group>
      <groupName>知识性问题</groupName>
      <ability>L2_Time</ability>
      <abilityName>日期时间</abilityName>
      <candidateList>
        <item>13日</item>
      </candidateList>
      <explain>日期表达规范为x月x日。</explain>
      <paraID>491915A2</paraID>
      <start>49</start>
      <end>52</end>
      <status>unmodified</status>
      <modifiedWord/>
      <trackRevisions>false</trackRevisions>
    </reviewItem>
    <reviewItem>
      <errorID>ccecd1e8-9b50-4d4a-9030-c505f7f9e194</errorID>
      <errorWord>18号</errorWord>
      <group>L1_Knowledge</group>
      <groupName>知识性问题</groupName>
      <ability>L2_Time</ability>
      <abilityName>日期时间</abilityName>
      <candidateList>
        <item>18日</item>
      </candidateList>
      <explain>日期表达规范为x月x日。</explain>
      <paraID>491915A2</paraID>
      <start>80</start>
      <end>83</end>
      <status>unmodified</status>
      <modifiedWord/>
      <trackRevisions>false</trackRevisions>
    </reviewItem>
    <reviewItem>
      <errorID>0cab0f07-2d79-49b1-ac3b-23487d518cbb</errorID>
      <errorWord>制制</errorWord>
      <group>L1_Word</group>
      <groupName>字词问题</groupName>
      <ability>L2_Typo</ability>
      <abilityName>字词错误</abilityName>
      <candidateList>
        <item>制</item>
      </candidateList>
      <explain/>
      <paraID>207F8ED8</paraID>
      <start>301</start>
      <end>303</end>
      <status>unmodified</status>
      <modifiedWord/>
      <trackRevisions>false</trackRevisions>
    </reviewItem>
    <reviewItem>
      <errorID>c4e78c23-54c3-464e-ac1f-56c7d363bef3</errorID>
      <errorWord>31号</errorWord>
      <group>L1_Knowledge</group>
      <groupName>知识性问题</groupName>
      <ability>L2_Time</ability>
      <abilityName>日期时间</abilityName>
      <candidateList>
        <item>31日</item>
      </candidateList>
      <explain>日期表达规范为x月x日。</explain>
      <paraID>336908BA</paraID>
      <start>10</start>
      <end>13</end>
      <status>unmodified</status>
      <modifiedWord/>
      <trackRevisions>false</trackRevisions>
    </reviewItem>
    <reviewItem>
      <errorID>2f710fcd-dece-4f3a-91ba-049dad183a79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444A1241</paraID>
      <start>62</start>
      <end>65</end>
      <status>unmodified</status>
      <modifiedWord/>
      <trackRevisions>false</trackRevisions>
    </reviewItem>
    <reviewItem>
      <errorID>cc3f88f9-b65a-452b-a02b-e74cf8816bca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444A1241</paraID>
      <start>71</start>
      <end>74</end>
      <status>unmodified</status>
      <modifiedWord/>
      <trackRevisions>false</trackRevisions>
    </reviewItem>
    <reviewItem>
      <errorID>e7cdf20e-2e5b-410e-a65f-256f8831999d</errorID>
      <errorWord>14号</errorWord>
      <group>L1_Knowledge</group>
      <groupName>知识性问题</groupName>
      <ability>L2_Time</ability>
      <abilityName>日期时间</abilityName>
      <candidateList>
        <item>14日</item>
      </candidateList>
      <explain>日期表达规范为x月x日。</explain>
      <paraID>604E9F39</paraID>
      <start>9</start>
      <end>12</end>
      <status>unmodified</status>
      <modifiedWord/>
      <trackRevisions>false</trackRevisions>
    </reviewItem>
    <reviewItem>
      <errorID>a44a9887-4008-4394-a4f5-0ff24e9d76f5</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107BD9F6</paraID>
      <start>116</start>
      <end>117</end>
      <status>unmodified</status>
      <modifiedWord/>
      <trackRevisions>false</trackRevisions>
    </reviewItem>
    <reviewItem>
      <errorID>3aee3918-e161-4d22-b712-d9452e62fb3a</errorID>
      <errorWord>合同法</errorWord>
      <group>L1_Knowledge</group>
      <groupName>知识性问题</groupName>
      <ability>L2_Knowledge</ability>
      <abilityName>其他知识</abilityName>
      <candidateList/>
      <explain>已废止</explain>
      <paraID>1CC7B9B8</paraID>
      <start>15</start>
      <end>18</end>
      <status>unmodified</status>
      <modifiedWord/>
      <trackRevisions>false</trackRevisions>
    </reviewItem>
    <reviewItem>
      <errorID>9d95df65-27f4-459f-8296-7350dbf8cb7c</errorID>
      <errorWord>即时</errorWord>
      <group>L1_Word</group>
      <groupName>字词问题</groupName>
      <ability>L2_Typo</ability>
      <abilityName>字词错误</abilityName>
      <candidateList>
        <item>及时</item>
      </candidateList>
      <explain>存在发音相同字词的误用。</explain>
      <paraID>215D45DA</paraID>
      <start>32</start>
      <end>34</end>
      <status>modified</status>
      <modifiedWord>及时</modifiedWord>
      <trackRevisions>false</trackRevisions>
    </reviewItem>
    <reviewItem>
      <errorID>2b6fb278-84e2-46a0-82e0-6c6648fb3724</errorID>
      <errorWord>12号</errorWord>
      <group>L1_Knowledge</group>
      <groupName>知识性问题</groupName>
      <ability>L2_Time</ability>
      <abilityName>日期时间</abilityName>
      <candidateList>
        <item>12日</item>
      </candidateList>
      <explain>日期表达规范为x月x日。</explain>
      <paraID>3B9E1FA4</paraID>
      <start>10</start>
      <end>13</end>
      <status>unmodified</status>
      <modifiedWord/>
      <trackRevisions>false</trackRevisions>
    </reviewItem>
    <reviewItem>
      <errorID>d841e264-d960-41bd-a363-dae84b050513</errorID>
      <errorWord>繁琐</errorWord>
      <group>L1_Word</group>
      <groupName>字词问题</groupName>
      <ability>L2_Typo</ability>
      <abilityName>字词错误</abilityName>
      <candidateList>
        <item>烦琐</item>
      </candidateList>
      <explain/>
      <paraID> E440906</paraID>
      <start>324</start>
      <end>326</end>
      <status>unmodified</status>
      <modifiedWord/>
      <trackRevisions>false</trackRevisions>
    </reviewItem>
    <reviewItem>
      <errorID>ce9f0a51-d47c-44b4-bd07-53df66d9c35a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419</start>
      <end>422</end>
      <status>unmodified</status>
      <modifiedWord/>
      <trackRevisions>false</trackRevisions>
    </reviewItem>
    <reviewItem>
      <errorID>dbc07d1d-79e2-49bb-998d-bb230dc241d8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39E2D30</paraID>
      <start>431</start>
      <end>434</end>
      <status>unmodified</status>
      <modifiedWord/>
      <trackRevisions>false</trackRevisions>
    </reviewItem>
    <reviewItem>
      <errorID>ab2a56f9-34d0-45f7-95e9-44ec381b3c9d</errorID>
      <errorWord>-</errorWord>
      <group>L1_Format</group>
      <groupName>格式问题</groupName>
      <ability>L2_HalfPunc</ability>
      <abilityName>全半角检查</abilityName>
      <candidateList>
        <item>－</item>
      </candidateList>
      <explain>文本全半角错误。</explain>
      <paraID> 343AA45</paraID>
      <start>341</start>
      <end>342</end>
      <status>unmodified</status>
      <modifiedWord/>
      <trackRevisions>false</trackRevisions>
    </reviewItem>
    <reviewItem>
      <errorID>11fbd702-1449-4f50-82ab-c4f2625390dd</errorID>
      <errorWord>-</errorWord>
      <group>L1_Format</group>
      <groupName>格式问题</groupName>
      <ability>L2_HalfPunc</ability>
      <abilityName>全半角检查</abilityName>
      <candidateList>
        <item>－</item>
      </candidateList>
      <explain>文本全半角错误。</explain>
      <paraID> 343AA45</paraID>
      <start>344</start>
      <end>345</end>
      <status>unmodified</status>
      <modifiedWord/>
      <trackRevisions>false</trackRevisions>
    </reviewItem>
    <reviewItem>
      <errorID>7db9ae66-4cfc-40a7-8496-37e248673227</errorID>
      <errorWord>4号</errorWord>
      <group>L1_Knowledge</group>
      <groupName>知识性问题</groupName>
      <ability>L2_Time</ability>
      <abilityName>日期时间</abilityName>
      <candidateList>
        <item>4日</item>
      </candidateList>
      <explain>日期表达规范为x月x日。</explain>
      <paraID>797F1958</paraID>
      <start>9</start>
      <end>11</end>
      <status>unmodified</status>
      <modifiedWord/>
      <trackRevisions>false</trackRevisions>
    </reviewItem>
    <reviewItem>
      <errorID>15bd6b7e-9618-4fe4-b302-04e3333d7b41</errorID>
      <errorWord>中央八项规定精神及其实施细则</errorWord>
      <group>L1_Political</group>
      <groupName>政治性问题</groupName>
      <ability>L2_Keyword</ability>
      <abilityName>固定表述</abilityName>
      <candidateList>
        <item>中央八项规定及其实施细则精神</item>
      </candidateList>
      <explain>词汇“中央八项规定及其实施细则精神”在特定场景下为固定表述形式，请确认此处的“中央八项规定精神及其实施细则”是否存在不当。</explain>
      <paraID>45B56CF5</paraID>
      <start>149</start>
      <end>163</end>
      <status>unmodified</status>
      <modifiedWord/>
      <trackRevisions>false</trackRevisions>
    </reviewItem>
    <reviewItem>
      <errorID>d596360d-3039-4b88-8072-961c543b00f6</errorID>
      <errorWord>8号</errorWord>
      <group>L1_Knowledge</group>
      <groupName>知识性问题</groupName>
      <ability>L2_Time</ability>
      <abilityName>日期时间</abilityName>
      <candidateList>
        <item>8日</item>
      </candidateList>
      <explain>日期表达规范为x月x日。</explain>
      <paraID>2908AC45</paraID>
      <start>9</start>
      <end>11</end>
      <status>unmodified</status>
      <modifiedWord/>
      <trackRevisions>false</trackRevisions>
    </reviewItem>
    <reviewItem>
      <errorID>8accf814-fc88-44ca-82b8-d20fe5f96117</errorID>
      <errorWord>,</errorWord>
      <group>L1_Format</group>
      <groupName>格式问题</groupName>
      <ability>L2_HalfPunc</ability>
      <abilityName>全半角检查</abilityName>
      <candidateList>
        <item>，</item>
      </candidateList>
      <explain>文本全半角错误。</explain>
      <paraID>4B839E66</paraID>
      <start>124</start>
      <end>125</end>
      <status>unmodified</status>
      <modifiedWord/>
      <trackRevisions>false</trackRevisions>
    </reviewItem>
    <reviewItem>
      <errorID>434d654c-bbcb-4460-819f-a82de30e12bf</errorID>
      <errorWord>:</errorWord>
      <group>L1_Format</group>
      <groupName>格式问题</groupName>
      <ability>L2_HalfPunc</ability>
      <abilityName>全半角检查</abilityName>
      <candidateList>
        <item>：</item>
      </candidateList>
      <explain>文本全半角错误。</explain>
      <paraID>62C5E3E4</paraID>
      <start>2</start>
      <end>3</end>
      <status>unmodified</status>
      <modifiedWord/>
      <trackRevisions>false</trackRevisions>
    </reviewItem>
    <reviewItem>
      <errorID>47d64ffa-9bed-4470-af47-507b7aae0dde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62C5E3E4</paraID>
      <start>33</start>
      <end>36</end>
      <status>unmodified</status>
      <modifiedWord/>
      <trackRevisions>false</trackRevisions>
    </reviewItem>
    <reviewItem>
      <errorID>d80e3cc4-8120-4090-96c1-e6c14ddd3c3b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62C5E3E4</paraID>
      <start>40</start>
      <end>43</end>
      <status>unmodified</status>
      <modifiedWord/>
      <trackRevisions>false</trackRevisions>
    </reviewItem>
    <reviewItem>
      <errorID>d3e6535a-0c36-490e-ac06-6c2d06d44964</errorID>
      <errorWord>10号</errorWord>
      <group>L1_Knowledge</group>
      <groupName>知识性问题</groupName>
      <ability>L2_Time</ability>
      <abilityName>日期时间</abilityName>
      <candidateList>
        <item>10日</item>
      </candidateList>
      <explain>日期表达规范为x月x日。</explain>
      <paraID>7C8FD01C</paraID>
      <start>9</start>
      <end>12</end>
      <status>unmodified</status>
      <modifiedWord/>
      <trackRevisions>false</trackRevisions>
    </reviewItem>
    <reviewItem>
      <errorID>8ff54a84-75ce-4ba5-a359-939e7a1d6e4a</errorID>
      <errorWord>-</errorWord>
      <group>L1_Format</group>
      <groupName>格式问题</groupName>
      <ability>L2_HalfPunc</ability>
      <abilityName>全半角检查</abilityName>
      <candidateList>
        <item>－</item>
      </candidateList>
      <explain>文本全半角错误。</explain>
      <paraID> 658822F</paraID>
      <start>34</start>
      <end>35</end>
      <status>unmodified</status>
      <modifiedWord/>
      <trackRevisions>false</trackRevisions>
    </reviewItem>
    <reviewItem>
      <errorID>932e129c-84fe-4055-be20-eb424cf7c25a</errorID>
      <errorWord>-</errorWord>
      <group>L1_Format</group>
      <groupName>格式问题</groupName>
      <ability>L2_HalfPunc</ability>
      <abilityName>全半角检查</abilityName>
      <candidateList>
        <item>－</item>
      </candidateList>
      <explain>文本全半角错误。</explain>
      <paraID> 658822F</paraID>
      <start>37</start>
      <end>38</end>
      <status>unmodified</status>
      <modifiedWord/>
      <trackRevisions>false</trackRevisions>
    </reviewItem>
    <reviewItem>
      <errorID>197a8890-7f76-4aa2-a6d6-f5f687b87f1f</errorID>
      <errorWord>15号</errorWord>
      <group>L1_Knowledge</group>
      <groupName>知识性问题</groupName>
      <ability>L2_Time</ability>
      <abilityName>日期时间</abilityName>
      <candidateList>
        <item>15日</item>
      </candidateList>
      <explain>日期表达规范为x月x日。</explain>
      <paraID>3904D522</paraID>
      <start>9</start>
      <end>12</end>
      <status>unmodified</status>
      <modifiedWord/>
      <trackRevisions>false</trackRevisions>
    </reviewItem>
    <reviewItem>
      <errorID>d7ddb757-c456-4d02-841d-002184e3b4bf</errorID>
      <errorWord>10号</errorWord>
      <group>L1_Knowledge</group>
      <groupName>知识性问题</groupName>
      <ability>L2_Time</ability>
      <abilityName>日期时间</abilityName>
      <candidateList>
        <item>10日</item>
      </candidateList>
      <explain>日期表达规范为x月x日。</explain>
      <paraID>148A9479</paraID>
      <start>9</start>
      <end>12</end>
      <status>unmodified</status>
      <modifiedWord/>
      <trackRevisions>false</trackRevisions>
    </reviewItem>
    <reviewItem>
      <errorID>54307ebf-f2ab-423f-a5b3-4b9c6bdfd5b7</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 D286F29</paraID>
      <start>187</start>
      <end>197</end>
      <status>modified</status>
      <modifiedWord>中华人民共和国预算法</modifiedWord>
      <trackRevisions>false</trackRevisions>
    </reviewItem>
    <reviewItem>
      <errorID>e32e912c-705d-4195-aab9-e3f12095e83f</errorID>
      <errorWord>、以及</errorWord>
      <group>L1_Punc</group>
      <groupName>标点问题</groupName>
      <ability>L2_Punc</ability>
      <abilityName>标点符号检查</abilityName>
      <candidateList>
        <item>，以及</item>
      </candidateList>
      <explain>连接词前后不宜使用顿号，建议使用逗号。</explain>
      <paraID>447E5347</paraID>
      <start>112</start>
      <end>115</end>
      <status>unmodified</status>
      <modifiedWord/>
      <trackRevisions>false</trackRevisions>
    </reviewItem>
    <reviewItem>
      <errorID>6cec8499-9072-45f6-b651-446516347486</errorID>
      <errorWord>11号</errorWord>
      <group>L1_Knowledge</group>
      <groupName>知识性问题</groupName>
      <ability>L2_Time</ability>
      <abilityName>日期时间</abilityName>
      <candidateList>
        <item>11日</item>
      </candidateList>
      <explain>日期表达规范为x月x日。</explain>
      <paraID>5A7AF9F7</paraID>
      <start>10</start>
      <end>13</end>
      <status>unmodified</status>
      <modifiedWord/>
      <trackRevisions>false</trackRevisions>
    </reviewItem>
    <reviewItem>
      <errorID>9f2f7f44-023f-4e66-a2f0-d8c1e76fdaa1</errorID>
      <errorWord>,</errorWord>
      <group>L1_Format</group>
      <groupName>格式问题</groupName>
      <ability>L2_HalfPunc</ability>
      <abilityName>全半角检查</abilityName>
      <candidateList>
        <item>，</item>
      </candidateList>
      <explain>文本全半角错误。</explain>
      <paraID>776C0231</paraID>
      <start>43</start>
      <end>44</end>
      <status>unmodified</status>
      <modifiedWord/>
      <trackRevisions>false</trackRevisions>
    </reviewItem>
    <reviewItem>
      <errorID>8d65215e-9c41-4ffc-9f70-f9ca8e433144</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32449019</paraID>
      <start>582</start>
      <end>583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101cb6-3342-4672-a9b1-03af1b897e8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8165</Words>
  <Characters>8587</Characters>
  <Lines>0</Lines>
  <Paragraphs>0</Paragraphs>
  <TotalTime>1</TotalTime>
  <ScaleCrop>false</ScaleCrop>
  <LinksUpToDate>false</LinksUpToDate>
  <CharactersWithSpaces>8634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邓婷</cp:lastModifiedBy>
  <cp:lastPrinted>2025-12-16T09:24:00Z</cp:lastPrinted>
  <dcterms:modified xsi:type="dcterms:W3CDTF">2026-05-29T01:30:09Z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BFECD8DA7CD148E287A09380E1112DC4_13</vt:lpwstr>
  </property>
  <property fmtid="{D5CDD505-2E9C-101B-9397-08002B2CF9AE}" pid="4" name="KSOTemplateDocerSaveRecord">
    <vt:lpwstr>eyJoZGlkIjoiN2Y2YTkzM2Q3ZjFmZDA3MzYxZmZlNThiZjdiNmYxNGYiLCJ1c2VySWQiOiIxMDY5MjgzMDcxIn0=</vt:lpwstr>
  </property>
</Properties>
</file>