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846A6">
      <w:pPr>
        <w:widowControl w:val="0"/>
        <w:jc w:val="distribute"/>
        <w:rPr>
          <w:rFonts w:hint="eastAsia" w:ascii="仿宋" w:hAnsi="仿宋" w:eastAsia="仿宋" w:cs="仿宋"/>
          <w:b/>
          <w:bCs/>
          <w:sz w:val="36"/>
          <w:szCs w:val="36"/>
          <w:lang w:eastAsia="zh-CN"/>
        </w:rPr>
      </w:pPr>
      <w:r>
        <w:rPr>
          <w:sz w:val="36"/>
        </w:rPr>
        <mc:AlternateContent>
          <mc:Choice Requires="wps">
            <w:drawing>
              <wp:anchor distT="0" distB="0" distL="114300" distR="114300" simplePos="0" relativeHeight="251662336" behindDoc="0" locked="0" layoutInCell="1" allowOverlap="1">
                <wp:simplePos x="0" y="0"/>
                <wp:positionH relativeFrom="column">
                  <wp:posOffset>5339715</wp:posOffset>
                </wp:positionH>
                <wp:positionV relativeFrom="paragraph">
                  <wp:posOffset>-565150</wp:posOffset>
                </wp:positionV>
                <wp:extent cx="666750" cy="592455"/>
                <wp:effectExtent l="0" t="0" r="0" b="17145"/>
                <wp:wrapNone/>
                <wp:docPr id="40" name="文本框 40"/>
                <wp:cNvGraphicFramePr/>
                <a:graphic xmlns:a="http://schemas.openxmlformats.org/drawingml/2006/main">
                  <a:graphicData uri="http://schemas.microsoft.com/office/word/2010/wordprocessingShape">
                    <wps:wsp>
                      <wps:cNvSpPr txBox="1"/>
                      <wps:spPr>
                        <a:xfrm>
                          <a:off x="0" y="0"/>
                          <a:ext cx="666750" cy="5924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7DD29C4">
                            <w:pPr>
                              <w:jc w:val="center"/>
                              <w:rPr>
                                <w:rFonts w:hint="default"/>
                                <w:b/>
                                <w:bCs/>
                                <w:sz w:val="32"/>
                                <w:szCs w:val="32"/>
                                <w:lang w:val="en-US" w:eastAsia="zh-CN"/>
                              </w:rPr>
                            </w:pPr>
                            <w:r>
                              <w:rPr>
                                <w:rFonts w:hint="eastAsia"/>
                                <w:b/>
                                <w:bCs/>
                                <w:sz w:val="32"/>
                                <w:szCs w:val="32"/>
                                <w:lang w:val="en-US" w:eastAsia="zh-CN"/>
                              </w:rPr>
                              <w:t>C20</w:t>
                            </w:r>
                          </w:p>
                          <w:p w14:paraId="2C473F4B">
                            <w:pPr>
                              <w:jc w:val="center"/>
                              <w:rPr>
                                <w:rFonts w:hint="default"/>
                                <w:b/>
                                <w:bCs/>
                                <w:sz w:val="32"/>
                                <w:szCs w:val="32"/>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0.45pt;margin-top:-44.5pt;height:46.65pt;width:52.5pt;z-index:251662336;mso-width-relative:page;mso-height-relative:page;" fillcolor="#FFFFFF [3201]" filled="t" stroked="f" coordsize="21600,21600" o:gfxdata="UEsDBAoAAAAAAIdO4kAAAAAAAAAAAAAAAAAEAAAAZHJzL1BLAwQUAAAACACHTuJAJa1t2tUAAAAJ&#10;AQAADwAAAGRycy9kb3ducmV2LnhtbE2PTU/DMAyG70j8h8hI3LakUFBb6u6AxBWJbeycNaGpSJyq&#10;yT5/PeYER9uPXj9vuzoHL452TmMkhGKpQFjqoxlpQNhu3hYViJQ1Ge0jWYSLTbDqbm9a3Zh4og97&#10;XOdBcAilRiO4nKdGytQ7G3RaxskS377iHHTmcR6kmfWJw4OXD0o9y6BH4g9OT/bV2f57fQgIuyFc&#10;d5/FNDsTfEnv18tmG0fE+7tCvYDI9pz/YPjVZ3Xo2GkfD2SS8AhVqWpGERZVzaWYqMsn3uwRykeQ&#10;XSv/N+h+AFBLAwQUAAAACACHTuJAvJKC4k0CAACQBAAADgAAAGRycy9lMm9Eb2MueG1srVTNbhMx&#10;EL4j8Q6W73STkAQadVOFVkFIFa1UEGfH681a8h+2k93yAPAGnLhw57n6HHz2btpSOPRADs7YM/48&#10;3zcze3LaaUX2wgdpTUnHRyNKhOG2kmZb0o8f1i9eUxIiMxVT1oiS3ohAT5fPn520biEmtrGqEp4A&#10;xIRF60raxOgWRRF4IzQLR9YJA2dtvWYRW78tKs9aoGtVTEajedFaXzlvuQgBp+e9kw6I/imAtq4l&#10;F+eW77QwsUf1QrEISqGRLtBlzrauBY+XdR1EJKqkYBrzikdgb9JaLE/YYuuZayQfUmBPSeERJ82k&#10;waN3UOcsMrLz8i8oLbm3wdbxiFtd9ESyImAxHj3S5rphTmQukDq4O9HD/4Pl7/dXnsiqpFNIYphG&#10;xW+/f7v98ev251eCMwjUurBA3LVDZOze2A5tczgPOEy8u9rr9A9GBH5g3dzJK7pIOA7n8/mrGTwc&#10;rtnxZDqbJZTi/rLzIb4VVpNklNSjellUtr8IsQ89hKS3glWyWkul8sZvN2fKkz1Dpdf5N6D/EaYM&#10;aZHJS+SRbhmb7vfQyiCZxLXnlKzYbbpBgI2tbsDf276FguNriSwvWIhXzKNnQAxTFS+x1MriETtY&#10;lDTWf/nXeYpHKeGlpEUPljR83jEvKFHvDIp8PJ6mqsS8mc5eTbDxDz2bhx6z02cW5MeYX8ezmeKj&#10;Opi1t/oThm+VXoWLGY63SxoP5lnsJwPDy8VqlYPQpo7FC3PteILuRVvtoq1lLkmSqddmUA+Nmos6&#10;DFWahIf7HHX/IVn+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WtbdrVAAAACQEAAA8AAAAAAAAA&#10;AQAgAAAAIgAAAGRycy9kb3ducmV2LnhtbFBLAQIUABQAAAAIAIdO4kC8koLiTQIAAJAEAAAOAAAA&#10;AAAAAAEAIAAAACQBAABkcnMvZTJvRG9jLnhtbFBLBQYAAAAABgAGAFkBAADjBQAAAAA=&#10;">
                <v:fill on="t" focussize="0,0"/>
                <v:stroke on="f" weight="0.5pt"/>
                <v:imagedata o:title=""/>
                <o:lock v:ext="edit" aspectratio="f"/>
                <v:textbox>
                  <w:txbxContent>
                    <w:p w14:paraId="47DD29C4">
                      <w:pPr>
                        <w:jc w:val="center"/>
                        <w:rPr>
                          <w:rFonts w:hint="default"/>
                          <w:b/>
                          <w:bCs/>
                          <w:sz w:val="32"/>
                          <w:szCs w:val="32"/>
                          <w:lang w:val="en-US" w:eastAsia="zh-CN"/>
                        </w:rPr>
                      </w:pPr>
                      <w:r>
                        <w:rPr>
                          <w:rFonts w:hint="eastAsia"/>
                          <w:b/>
                          <w:bCs/>
                          <w:sz w:val="32"/>
                          <w:szCs w:val="32"/>
                          <w:lang w:val="en-US" w:eastAsia="zh-CN"/>
                        </w:rPr>
                        <w:t>C20</w:t>
                      </w:r>
                    </w:p>
                    <w:p w14:paraId="2C473F4B">
                      <w:pPr>
                        <w:jc w:val="center"/>
                        <w:rPr>
                          <w:rFonts w:hint="default"/>
                          <w:b/>
                          <w:bCs/>
                          <w:sz w:val="32"/>
                          <w:szCs w:val="32"/>
                          <w:lang w:val="en-US" w:eastAsia="zh-CN"/>
                        </w:rPr>
                      </w:pPr>
                    </w:p>
                  </w:txbxContent>
                </v:textbox>
              </v:shape>
            </w:pict>
          </mc:Fallback>
        </mc:AlternateContent>
      </w:r>
      <w:r>
        <w:rPr>
          <w:rFonts w:hint="eastAsia" w:ascii="仿宋" w:hAnsi="仿宋" w:eastAsia="仿宋" w:cs="仿宋"/>
          <w:b/>
          <w:bCs/>
          <w:sz w:val="36"/>
          <w:szCs w:val="36"/>
          <w:lang w:eastAsia="zh-CN"/>
        </w:rPr>
        <w:t>湖南浩元会计师事务所（普通合伙）</w:t>
      </w:r>
    </w:p>
    <w:p w14:paraId="2EE52B05">
      <w:pPr>
        <w:widowControl w:val="0"/>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Hunan Haoyuan Certified Public Accountants GP</w:t>
      </w:r>
    </w:p>
    <w:p w14:paraId="05C4277D">
      <w:pPr>
        <w:widowControl w:val="0"/>
        <w:jc w:val="center"/>
        <w:rPr>
          <w:rFonts w:hint="eastAsia" w:ascii="仿宋" w:hAnsi="仿宋" w:eastAsia="仿宋" w:cs="仿宋"/>
          <w:sz w:val="32"/>
          <w:szCs w:val="32"/>
          <w:lang w:eastAsia="zh-CN"/>
        </w:rPr>
      </w:pPr>
    </w:p>
    <w:p w14:paraId="2CE24707">
      <w:pPr>
        <w:widowControl w:val="0"/>
        <w:jc w:val="both"/>
        <w:rPr>
          <w:rFonts w:hint="eastAsia" w:ascii="仿宋" w:hAnsi="仿宋" w:eastAsia="仿宋" w:cs="仿宋"/>
          <w:sz w:val="32"/>
          <w:szCs w:val="32"/>
          <w:lang w:eastAsia="zh-CN"/>
        </w:rPr>
      </w:pPr>
    </w:p>
    <w:p w14:paraId="4BA2C105">
      <w:pPr>
        <w:widowControl w:val="0"/>
        <w:jc w:val="both"/>
        <w:rPr>
          <w:rFonts w:hint="eastAsia" w:ascii="仿宋" w:hAnsi="仿宋" w:eastAsia="仿宋" w:cs="仿宋"/>
          <w:sz w:val="32"/>
          <w:szCs w:val="32"/>
          <w:lang w:eastAsia="zh-CN"/>
        </w:rPr>
      </w:pPr>
    </w:p>
    <w:p w14:paraId="7F0AE20D">
      <w:pPr>
        <w:widowControl w:val="0"/>
        <w:jc w:val="center"/>
        <w:rPr>
          <w:rFonts w:hint="eastAsia" w:ascii="方正隶二简体" w:hAnsi="方正隶二简体" w:eastAsia="方正隶二简体" w:cs="方正隶二简体"/>
          <w:sz w:val="72"/>
          <w:szCs w:val="72"/>
          <w:lang w:eastAsia="zh-CN"/>
        </w:rPr>
      </w:pPr>
      <w:r>
        <w:rPr>
          <w:rFonts w:hint="eastAsia" w:ascii="方正隶二简体" w:hAnsi="方正隶二简体" w:eastAsia="方正隶二简体" w:cs="方正隶二简体"/>
          <w:sz w:val="72"/>
          <w:szCs w:val="72"/>
          <w:lang w:val="en-US" w:eastAsia="zh-CN"/>
        </w:rPr>
        <w:t>绩效评价</w:t>
      </w:r>
      <w:r>
        <w:rPr>
          <w:rFonts w:hint="eastAsia" w:ascii="方正隶二简体" w:hAnsi="方正隶二简体" w:eastAsia="方正隶二简体" w:cs="方正隶二简体"/>
          <w:sz w:val="72"/>
          <w:szCs w:val="72"/>
          <w:lang w:eastAsia="zh-CN"/>
        </w:rPr>
        <w:t>报告</w:t>
      </w:r>
    </w:p>
    <w:p w14:paraId="59FC2698">
      <w:pPr>
        <w:widowControl w:val="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湘浩元</w:t>
      </w:r>
      <w:r>
        <w:rPr>
          <w:rFonts w:hint="eastAsia" w:ascii="仿宋" w:hAnsi="仿宋" w:eastAsia="仿宋" w:cs="仿宋"/>
          <w:sz w:val="32"/>
          <w:szCs w:val="32"/>
          <w:lang w:val="en-US" w:eastAsia="zh-CN"/>
        </w:rPr>
        <w:t>评</w:t>
      </w:r>
      <w:r>
        <w:rPr>
          <w:rFonts w:hint="eastAsia" w:ascii="仿宋" w:hAnsi="仿宋" w:eastAsia="仿宋" w:cs="仿宋"/>
          <w:sz w:val="32"/>
          <w:szCs w:val="32"/>
          <w:lang w:eastAsia="zh-CN"/>
        </w:rPr>
        <w:t>字[202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]第号</w:t>
      </w:r>
    </w:p>
    <w:p w14:paraId="5FA7B718">
      <w:pPr>
        <w:widowControl w:val="0"/>
        <w:jc w:val="center"/>
        <w:rPr>
          <w:rFonts w:hint="eastAsia" w:ascii="仿宋" w:hAnsi="仿宋" w:eastAsia="仿宋" w:cs="仿宋"/>
          <w:sz w:val="32"/>
          <w:szCs w:val="32"/>
          <w:lang w:eastAsia="zh-CN"/>
        </w:rPr>
      </w:pPr>
    </w:p>
    <w:p w14:paraId="24348FBC">
      <w:pPr>
        <w:widowControl w:val="0"/>
        <w:jc w:val="both"/>
        <w:rPr>
          <w:rFonts w:hint="eastAsia" w:ascii="仿宋" w:hAnsi="仿宋" w:eastAsia="仿宋" w:cs="仿宋"/>
          <w:sz w:val="32"/>
          <w:szCs w:val="32"/>
          <w:lang w:eastAsia="zh-CN"/>
        </w:rPr>
      </w:pPr>
    </w:p>
    <w:p w14:paraId="60A0E5B7">
      <w:pPr>
        <w:widowControl w:val="0"/>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2024年中共雁峰区委组织部</w:t>
      </w:r>
    </w:p>
    <w:p w14:paraId="08E74D41">
      <w:pPr>
        <w:widowControl w:val="0"/>
        <w:jc w:val="center"/>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部门整体支出</w:t>
      </w:r>
    </w:p>
    <w:p w14:paraId="4B8D29C5">
      <w:pPr>
        <w:keepNext w:val="0"/>
        <w:keepLines w:val="0"/>
        <w:pageBreakBefore w:val="0"/>
        <w:widowControl/>
        <w:kinsoku/>
        <w:wordWrap/>
        <w:overflowPunct/>
        <w:topLinePunct w:val="0"/>
        <w:autoSpaceDE/>
        <w:autoSpaceDN/>
        <w:bidi w:val="0"/>
        <w:adjustRightInd/>
        <w:snapToGrid/>
        <w:spacing w:before="567" w:line="360" w:lineRule="auto"/>
        <w:jc w:val="both"/>
        <w:textAlignment w:val="auto"/>
        <w:rPr>
          <w:rFonts w:hint="eastAsia" w:ascii="黑体" w:hAnsi="黑体" w:eastAsia="黑体" w:cs="黑体"/>
          <w:sz w:val="52"/>
          <w:szCs w:val="52"/>
          <w:u w:val="none"/>
          <w:lang w:eastAsia="zh-CN"/>
        </w:rPr>
      </w:pPr>
    </w:p>
    <w:p w14:paraId="73DC98AA">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default"/>
          <w:u w:val="none"/>
          <w:lang w:val="en-US" w:eastAsia="zh-CN"/>
        </w:rPr>
      </w:pPr>
    </w:p>
    <w:p w14:paraId="568F011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p>
    <w:p w14:paraId="69164F4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p>
    <w:p w14:paraId="4050336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项目单位：中共雁峰区委组织部</w:t>
      </w:r>
    </w:p>
    <w:p w14:paraId="4665FB66">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主管单位</w:t>
      </w:r>
      <w:r>
        <w:rPr>
          <w:rFonts w:hint="eastAsia" w:ascii="宋体" w:hAnsi="宋体" w:eastAsia="宋体" w:cs="宋体"/>
          <w:b/>
          <w:bCs/>
          <w:sz w:val="32"/>
          <w:szCs w:val="32"/>
          <w:highlight w:val="none"/>
          <w:u w:val="none"/>
          <w:lang w:val="en-US" w:eastAsia="zh-CN"/>
        </w:rPr>
        <w:t>：雁峰区人民政府</w:t>
      </w:r>
    </w:p>
    <w:p w14:paraId="7BC4045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委托单位：雁峰区财政局</w:t>
      </w:r>
    </w:p>
    <w:p w14:paraId="0179B913">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bCs/>
          <w:sz w:val="32"/>
          <w:szCs w:val="32"/>
          <w:u w:val="none"/>
          <w:lang w:val="en-US" w:eastAsia="zh-CN"/>
        </w:rPr>
      </w:pPr>
      <w:r>
        <w:rPr>
          <w:rFonts w:hint="eastAsia" w:ascii="宋体" w:hAnsi="宋体" w:eastAsia="宋体" w:cs="宋体"/>
          <w:b/>
          <w:bCs/>
          <w:spacing w:val="320"/>
          <w:kern w:val="0"/>
          <w:sz w:val="32"/>
          <w:szCs w:val="32"/>
          <w:u w:val="none"/>
          <w:fitText w:val="1280" w:id="2085554003"/>
          <w:lang w:val="en-US" w:eastAsia="zh-CN"/>
        </w:rPr>
        <w:t>日</w:t>
      </w:r>
      <w:r>
        <w:rPr>
          <w:rFonts w:hint="eastAsia" w:ascii="宋体" w:hAnsi="宋体" w:eastAsia="宋体" w:cs="宋体"/>
          <w:b/>
          <w:bCs/>
          <w:spacing w:val="0"/>
          <w:kern w:val="0"/>
          <w:sz w:val="32"/>
          <w:szCs w:val="32"/>
          <w:u w:val="none"/>
          <w:fitText w:val="1280" w:id="2085554003"/>
          <w:lang w:val="en-US" w:eastAsia="zh-CN"/>
        </w:rPr>
        <w:t>期</w:t>
      </w:r>
      <w:r>
        <w:rPr>
          <w:rFonts w:hint="eastAsia" w:ascii="宋体" w:hAnsi="宋体" w:eastAsia="宋体" w:cs="宋体"/>
          <w:b/>
          <w:bCs/>
          <w:sz w:val="32"/>
          <w:szCs w:val="32"/>
          <w:u w:val="none"/>
          <w:lang w:val="en-US" w:eastAsia="zh-CN"/>
        </w:rPr>
        <w:t>：2025年12月7日</w:t>
      </w:r>
    </w:p>
    <w:p w14:paraId="482C60CD">
      <w:pPr>
        <w:pStyle w:val="10"/>
        <w:tabs>
          <w:tab w:val="right" w:leader="dot" w:pos="8306"/>
        </w:tabs>
        <w:ind w:firstLine="643" w:firstLineChars="200"/>
        <w:jc w:val="center"/>
        <w:rPr>
          <w:rFonts w:hint="default" w:asciiTheme="minorAscii" w:hAnsiTheme="minorAscii" w:eastAsiaTheme="minorEastAsia"/>
          <w:b/>
          <w:bCs/>
          <w:sz w:val="32"/>
          <w:szCs w:val="36"/>
          <w:u w:val="none"/>
          <w:lang w:val="en-US" w:eastAsia="zh-CN"/>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32" w:charSpace="0"/>
        </w:sectPr>
      </w:pPr>
    </w:p>
    <w:p w14:paraId="3EF9BD3A">
      <w:pPr>
        <w:pStyle w:val="10"/>
        <w:keepNext w:val="0"/>
        <w:keepLines w:val="0"/>
        <w:pageBreakBefore w:val="0"/>
        <w:widowControl/>
        <w:tabs>
          <w:tab w:val="center" w:pos="4210"/>
          <w:tab w:val="left" w:pos="5980"/>
          <w:tab w:val="right" w:leader="dot" w:pos="8300"/>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pacing w:val="280"/>
          <w:kern w:val="0"/>
          <w:sz w:val="44"/>
          <w:szCs w:val="44"/>
          <w:fitText w:val="1440" w:id="1955599196"/>
          <w:lang w:val="en-US" w:eastAsia="zh-CN"/>
        </w:rPr>
        <w:t>目</w:t>
      </w:r>
      <w:r>
        <w:rPr>
          <w:rFonts w:hint="eastAsia" w:ascii="方正小标宋简体" w:hAnsi="方正小标宋简体" w:eastAsia="方正小标宋简体" w:cs="方正小标宋简体"/>
          <w:b/>
          <w:bCs/>
          <w:spacing w:val="0"/>
          <w:kern w:val="0"/>
          <w:sz w:val="44"/>
          <w:szCs w:val="44"/>
          <w:fitText w:val="1440" w:id="1955599196"/>
          <w:lang w:val="en-US" w:eastAsia="zh-CN"/>
        </w:rPr>
        <w:t>录</w:t>
      </w:r>
    </w:p>
    <w:p w14:paraId="27D54D2E">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TOC \o "1-3" \h \u </w:instrText>
      </w:r>
      <w:r>
        <w:rPr>
          <w:rFonts w:hint="default"/>
          <w:sz w:val="32"/>
          <w:szCs w:val="32"/>
          <w:lang w:val="en-US" w:eastAsia="zh-CN"/>
        </w:rPr>
        <w:fldChar w:fldCharType="separate"/>
      </w:r>
      <w:r>
        <w:rPr>
          <w:rFonts w:hint="default"/>
          <w:sz w:val="32"/>
          <w:szCs w:val="32"/>
          <w:lang w:val="en-US" w:eastAsia="zh-CN"/>
        </w:rPr>
        <w:fldChar w:fldCharType="begin"/>
      </w:r>
      <w:r>
        <w:rPr>
          <w:rFonts w:hint="default"/>
          <w:sz w:val="32"/>
          <w:szCs w:val="32"/>
          <w:lang w:val="en-US" w:eastAsia="zh-CN"/>
        </w:rPr>
        <w:instrText xml:space="preserve"> HYPERLINK \l _Toc20417 </w:instrText>
      </w:r>
      <w:r>
        <w:rPr>
          <w:rFonts w:hint="default"/>
          <w:sz w:val="32"/>
          <w:szCs w:val="32"/>
          <w:lang w:val="en-US" w:eastAsia="zh-CN"/>
        </w:rPr>
        <w:fldChar w:fldCharType="separate"/>
      </w:r>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绩效评价基本</w:t>
      </w:r>
      <w:r>
        <w:rPr>
          <w:rFonts w:hint="eastAsia" w:ascii="黑体" w:hAnsi="黑体" w:eastAsia="黑体" w:cs="黑体"/>
          <w:sz w:val="32"/>
          <w:szCs w:val="32"/>
        </w:rPr>
        <w:t>情况</w:t>
      </w:r>
      <w:r>
        <w:rPr>
          <w:sz w:val="32"/>
          <w:szCs w:val="32"/>
        </w:rPr>
        <w:tab/>
      </w:r>
      <w:r>
        <w:rPr>
          <w:sz w:val="32"/>
          <w:szCs w:val="32"/>
        </w:rPr>
        <w:fldChar w:fldCharType="begin"/>
      </w:r>
      <w:r>
        <w:rPr>
          <w:sz w:val="32"/>
          <w:szCs w:val="32"/>
        </w:rPr>
        <w:instrText xml:space="preserve"> PAGEREF _Toc20417 \h </w:instrText>
      </w:r>
      <w:r>
        <w:rPr>
          <w:sz w:val="32"/>
          <w:szCs w:val="32"/>
        </w:rPr>
        <w:fldChar w:fldCharType="separate"/>
      </w:r>
      <w:r>
        <w:rPr>
          <w:sz w:val="32"/>
          <w:szCs w:val="32"/>
        </w:rPr>
        <w:t>1</w:t>
      </w:r>
      <w:r>
        <w:rPr>
          <w:sz w:val="32"/>
          <w:szCs w:val="32"/>
        </w:rPr>
        <w:fldChar w:fldCharType="end"/>
      </w:r>
      <w:r>
        <w:rPr>
          <w:rFonts w:hint="default"/>
          <w:sz w:val="32"/>
          <w:szCs w:val="32"/>
          <w:lang w:val="en-US" w:eastAsia="zh-CN"/>
        </w:rPr>
        <w:fldChar w:fldCharType="end"/>
      </w:r>
    </w:p>
    <w:p w14:paraId="0A5DD913">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_Toc23126 </w:instrText>
      </w:r>
      <w:r>
        <w:rPr>
          <w:rFonts w:hint="default"/>
          <w:sz w:val="32"/>
          <w:szCs w:val="32"/>
          <w:lang w:val="en-US" w:eastAsia="zh-CN"/>
        </w:rPr>
        <w:fldChar w:fldCharType="separate"/>
      </w:r>
      <w:r>
        <w:rPr>
          <w:rFonts w:hint="eastAsia" w:ascii="楷体" w:hAnsi="楷体" w:eastAsia="楷体" w:cs="楷体"/>
          <w:bCs/>
          <w:sz w:val="32"/>
          <w:szCs w:val="32"/>
        </w:rPr>
        <w:t>（一）</w:t>
      </w:r>
      <w:r>
        <w:rPr>
          <w:rFonts w:hint="eastAsia" w:ascii="楷体" w:hAnsi="楷体" w:eastAsia="楷体" w:cs="楷体"/>
          <w:bCs/>
          <w:sz w:val="32"/>
          <w:szCs w:val="32"/>
          <w:lang w:val="en-US" w:eastAsia="zh-CN"/>
        </w:rPr>
        <w:t>评价</w:t>
      </w:r>
      <w:r>
        <w:rPr>
          <w:rFonts w:hint="eastAsia" w:ascii="楷体" w:hAnsi="楷体" w:eastAsia="楷体" w:cs="楷体"/>
          <w:bCs/>
          <w:sz w:val="32"/>
          <w:szCs w:val="32"/>
        </w:rPr>
        <w:t>对象和范围</w:t>
      </w:r>
      <w:r>
        <w:rPr>
          <w:sz w:val="32"/>
          <w:szCs w:val="32"/>
        </w:rPr>
        <w:tab/>
      </w:r>
      <w:r>
        <w:rPr>
          <w:sz w:val="32"/>
          <w:szCs w:val="32"/>
        </w:rPr>
        <w:fldChar w:fldCharType="begin"/>
      </w:r>
      <w:r>
        <w:rPr>
          <w:sz w:val="32"/>
          <w:szCs w:val="32"/>
        </w:rPr>
        <w:instrText xml:space="preserve"> PAGEREF _Toc23126 \h </w:instrText>
      </w:r>
      <w:r>
        <w:rPr>
          <w:sz w:val="32"/>
          <w:szCs w:val="32"/>
        </w:rPr>
        <w:fldChar w:fldCharType="separate"/>
      </w:r>
      <w:r>
        <w:rPr>
          <w:sz w:val="32"/>
          <w:szCs w:val="32"/>
        </w:rPr>
        <w:t>1</w:t>
      </w:r>
      <w:r>
        <w:rPr>
          <w:sz w:val="32"/>
          <w:szCs w:val="32"/>
        </w:rPr>
        <w:fldChar w:fldCharType="end"/>
      </w:r>
      <w:r>
        <w:rPr>
          <w:rFonts w:hint="default"/>
          <w:sz w:val="32"/>
          <w:szCs w:val="32"/>
          <w:lang w:val="en-US" w:eastAsia="zh-CN"/>
        </w:rPr>
        <w:fldChar w:fldCharType="end"/>
      </w:r>
    </w:p>
    <w:p w14:paraId="40A98E2E">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_Toc29607 </w:instrText>
      </w:r>
      <w:r>
        <w:rPr>
          <w:rFonts w:hint="default"/>
          <w:sz w:val="32"/>
          <w:szCs w:val="32"/>
          <w:lang w:val="en-US" w:eastAsia="zh-CN"/>
        </w:rPr>
        <w:fldChar w:fldCharType="separate"/>
      </w:r>
      <w:r>
        <w:rPr>
          <w:rFonts w:hint="eastAsia" w:ascii="楷体" w:hAnsi="楷体" w:eastAsia="楷体" w:cs="楷体"/>
          <w:bCs/>
          <w:sz w:val="32"/>
          <w:szCs w:val="32"/>
        </w:rPr>
        <w:t>（二）</w:t>
      </w:r>
      <w:r>
        <w:rPr>
          <w:rFonts w:hint="eastAsia" w:ascii="楷体" w:hAnsi="楷体" w:eastAsia="楷体" w:cs="楷体"/>
          <w:bCs/>
          <w:sz w:val="32"/>
          <w:szCs w:val="32"/>
          <w:lang w:val="en-US" w:eastAsia="zh-CN"/>
        </w:rPr>
        <w:t>评价</w:t>
      </w:r>
      <w:r>
        <w:rPr>
          <w:rFonts w:hint="eastAsia" w:ascii="楷体" w:hAnsi="楷体" w:eastAsia="楷体" w:cs="楷体"/>
          <w:bCs/>
          <w:sz w:val="32"/>
          <w:szCs w:val="32"/>
        </w:rPr>
        <w:t>依据</w:t>
      </w:r>
      <w:r>
        <w:rPr>
          <w:sz w:val="32"/>
          <w:szCs w:val="32"/>
        </w:rPr>
        <w:tab/>
      </w:r>
      <w:r>
        <w:rPr>
          <w:sz w:val="32"/>
          <w:szCs w:val="32"/>
        </w:rPr>
        <w:fldChar w:fldCharType="begin"/>
      </w:r>
      <w:r>
        <w:rPr>
          <w:sz w:val="32"/>
          <w:szCs w:val="32"/>
        </w:rPr>
        <w:instrText xml:space="preserve"> PAGEREF _Toc29607 \h </w:instrText>
      </w:r>
      <w:r>
        <w:rPr>
          <w:sz w:val="32"/>
          <w:szCs w:val="32"/>
        </w:rPr>
        <w:fldChar w:fldCharType="separate"/>
      </w:r>
      <w:r>
        <w:rPr>
          <w:sz w:val="32"/>
          <w:szCs w:val="32"/>
        </w:rPr>
        <w:t>2</w:t>
      </w:r>
      <w:r>
        <w:rPr>
          <w:sz w:val="32"/>
          <w:szCs w:val="32"/>
        </w:rPr>
        <w:fldChar w:fldCharType="end"/>
      </w:r>
      <w:r>
        <w:rPr>
          <w:rFonts w:hint="default"/>
          <w:sz w:val="32"/>
          <w:szCs w:val="32"/>
          <w:lang w:val="en-US" w:eastAsia="zh-CN"/>
        </w:rPr>
        <w:fldChar w:fldCharType="end"/>
      </w:r>
    </w:p>
    <w:p w14:paraId="29B86900">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_Toc9463 </w:instrText>
      </w:r>
      <w:r>
        <w:rPr>
          <w:rFonts w:hint="default"/>
          <w:sz w:val="32"/>
          <w:szCs w:val="32"/>
          <w:lang w:val="en-US" w:eastAsia="zh-CN"/>
        </w:rPr>
        <w:fldChar w:fldCharType="separate"/>
      </w:r>
      <w:r>
        <w:rPr>
          <w:rFonts w:hint="eastAsia" w:ascii="楷体" w:hAnsi="楷体" w:eastAsia="楷体" w:cs="楷体"/>
          <w:bCs/>
          <w:sz w:val="32"/>
          <w:szCs w:val="32"/>
        </w:rPr>
        <w:t>（三）</w:t>
      </w:r>
      <w:r>
        <w:rPr>
          <w:rFonts w:hint="eastAsia" w:ascii="楷体" w:hAnsi="楷体" w:eastAsia="楷体" w:cs="楷体"/>
          <w:bCs/>
          <w:sz w:val="32"/>
          <w:szCs w:val="32"/>
          <w:lang w:val="en-US" w:eastAsia="zh-CN"/>
        </w:rPr>
        <w:t>评价方法和目的</w:t>
      </w:r>
      <w:r>
        <w:rPr>
          <w:sz w:val="32"/>
          <w:szCs w:val="32"/>
        </w:rPr>
        <w:tab/>
      </w:r>
      <w:r>
        <w:rPr>
          <w:sz w:val="32"/>
          <w:szCs w:val="32"/>
        </w:rPr>
        <w:fldChar w:fldCharType="begin"/>
      </w:r>
      <w:r>
        <w:rPr>
          <w:sz w:val="32"/>
          <w:szCs w:val="32"/>
        </w:rPr>
        <w:instrText xml:space="preserve"> PAGEREF _Toc9463 \h </w:instrText>
      </w:r>
      <w:r>
        <w:rPr>
          <w:sz w:val="32"/>
          <w:szCs w:val="32"/>
        </w:rPr>
        <w:fldChar w:fldCharType="separate"/>
      </w:r>
      <w:r>
        <w:rPr>
          <w:sz w:val="32"/>
          <w:szCs w:val="32"/>
        </w:rPr>
        <w:t>3</w:t>
      </w:r>
      <w:r>
        <w:rPr>
          <w:sz w:val="32"/>
          <w:szCs w:val="32"/>
        </w:rPr>
        <w:fldChar w:fldCharType="end"/>
      </w:r>
      <w:r>
        <w:rPr>
          <w:rFonts w:hint="default"/>
          <w:sz w:val="32"/>
          <w:szCs w:val="32"/>
          <w:lang w:val="en-US" w:eastAsia="zh-CN"/>
        </w:rPr>
        <w:fldChar w:fldCharType="end"/>
      </w:r>
    </w:p>
    <w:p w14:paraId="6B258890">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_Toc24561 </w:instrText>
      </w:r>
      <w:r>
        <w:rPr>
          <w:rFonts w:hint="default"/>
          <w:sz w:val="32"/>
          <w:szCs w:val="32"/>
          <w:lang w:val="en-US" w:eastAsia="zh-CN"/>
        </w:rPr>
        <w:fldChar w:fldCharType="separate"/>
      </w: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部门基本</w:t>
      </w:r>
      <w:r>
        <w:rPr>
          <w:rFonts w:hint="eastAsia" w:ascii="黑体" w:hAnsi="黑体" w:eastAsia="黑体" w:cs="黑体"/>
          <w:sz w:val="32"/>
          <w:szCs w:val="32"/>
          <w:lang w:eastAsia="zh-CN"/>
        </w:rPr>
        <w:t>情况</w:t>
      </w:r>
      <w:r>
        <w:rPr>
          <w:sz w:val="32"/>
          <w:szCs w:val="32"/>
        </w:rPr>
        <w:tab/>
      </w:r>
      <w:r>
        <w:rPr>
          <w:sz w:val="32"/>
          <w:szCs w:val="32"/>
        </w:rPr>
        <w:fldChar w:fldCharType="begin"/>
      </w:r>
      <w:r>
        <w:rPr>
          <w:sz w:val="32"/>
          <w:szCs w:val="32"/>
        </w:rPr>
        <w:instrText xml:space="preserve"> PAGEREF _Toc24561 \h </w:instrText>
      </w:r>
      <w:r>
        <w:rPr>
          <w:sz w:val="32"/>
          <w:szCs w:val="32"/>
        </w:rPr>
        <w:fldChar w:fldCharType="separate"/>
      </w:r>
      <w:r>
        <w:rPr>
          <w:sz w:val="32"/>
          <w:szCs w:val="32"/>
        </w:rPr>
        <w:t>4</w:t>
      </w:r>
      <w:r>
        <w:rPr>
          <w:sz w:val="32"/>
          <w:szCs w:val="32"/>
        </w:rPr>
        <w:fldChar w:fldCharType="end"/>
      </w:r>
      <w:r>
        <w:rPr>
          <w:rFonts w:hint="default"/>
          <w:sz w:val="32"/>
          <w:szCs w:val="32"/>
          <w:lang w:val="en-US" w:eastAsia="zh-CN"/>
        </w:rPr>
        <w:fldChar w:fldCharType="end"/>
      </w:r>
    </w:p>
    <w:p w14:paraId="0B56B9B1">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_Toc11827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（一）</w:t>
      </w:r>
      <w:r>
        <w:rPr>
          <w:rFonts w:hint="eastAsia" w:ascii="楷体" w:hAnsi="楷体" w:eastAsia="楷体" w:cs="楷体"/>
          <w:bCs/>
          <w:sz w:val="32"/>
          <w:szCs w:val="32"/>
          <w:lang w:eastAsia="zh-CN"/>
        </w:rPr>
        <w:t>部门</w:t>
      </w:r>
      <w:r>
        <w:rPr>
          <w:rFonts w:hint="eastAsia" w:ascii="楷体" w:hAnsi="楷体" w:eastAsia="楷体" w:cs="楷体"/>
          <w:bCs/>
          <w:sz w:val="32"/>
          <w:szCs w:val="32"/>
          <w:lang w:val="en-US" w:eastAsia="zh-CN"/>
        </w:rPr>
        <w:t>基本信息</w:t>
      </w:r>
      <w:r>
        <w:rPr>
          <w:sz w:val="32"/>
          <w:szCs w:val="32"/>
        </w:rPr>
        <w:tab/>
      </w:r>
      <w:r>
        <w:rPr>
          <w:sz w:val="32"/>
          <w:szCs w:val="32"/>
        </w:rPr>
        <w:fldChar w:fldCharType="begin"/>
      </w:r>
      <w:r>
        <w:rPr>
          <w:sz w:val="32"/>
          <w:szCs w:val="32"/>
        </w:rPr>
        <w:instrText xml:space="preserve"> PAGEREF _Toc11827 \h </w:instrText>
      </w:r>
      <w:r>
        <w:rPr>
          <w:sz w:val="32"/>
          <w:szCs w:val="32"/>
        </w:rPr>
        <w:fldChar w:fldCharType="separate"/>
      </w:r>
      <w:r>
        <w:rPr>
          <w:sz w:val="32"/>
          <w:szCs w:val="32"/>
        </w:rPr>
        <w:t>4</w:t>
      </w:r>
      <w:r>
        <w:rPr>
          <w:sz w:val="32"/>
          <w:szCs w:val="32"/>
        </w:rPr>
        <w:fldChar w:fldCharType="end"/>
      </w:r>
      <w:r>
        <w:rPr>
          <w:rFonts w:hint="default"/>
          <w:sz w:val="32"/>
          <w:szCs w:val="32"/>
          <w:lang w:val="en-US" w:eastAsia="zh-CN"/>
        </w:rPr>
        <w:fldChar w:fldCharType="end"/>
      </w:r>
    </w:p>
    <w:p w14:paraId="5A357538">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_Toc16907 </w:instrText>
      </w:r>
      <w:r>
        <w:rPr>
          <w:rFonts w:hint="default"/>
          <w:sz w:val="32"/>
          <w:szCs w:val="32"/>
          <w:lang w:val="en-US" w:eastAsia="zh-CN"/>
        </w:rPr>
        <w:fldChar w:fldCharType="separate"/>
      </w:r>
      <w:r>
        <w:rPr>
          <w:rFonts w:hint="eastAsia" w:ascii="楷体" w:hAnsi="楷体" w:eastAsia="楷体" w:cs="楷体"/>
          <w:bCs/>
          <w:sz w:val="32"/>
          <w:szCs w:val="32"/>
          <w:highlight w:val="none"/>
          <w:lang w:eastAsia="zh-CN"/>
        </w:rPr>
        <w:t>（</w:t>
      </w:r>
      <w:r>
        <w:rPr>
          <w:rFonts w:hint="eastAsia" w:ascii="楷体" w:hAnsi="楷体" w:eastAsia="楷体" w:cs="楷体"/>
          <w:bCs/>
          <w:sz w:val="32"/>
          <w:szCs w:val="32"/>
          <w:highlight w:val="none"/>
          <w:lang w:val="en-US" w:eastAsia="zh-CN"/>
        </w:rPr>
        <w:t>二</w:t>
      </w:r>
      <w:r>
        <w:rPr>
          <w:rFonts w:hint="eastAsia" w:ascii="楷体" w:hAnsi="楷体" w:eastAsia="楷体" w:cs="楷体"/>
          <w:bCs/>
          <w:sz w:val="32"/>
          <w:szCs w:val="32"/>
          <w:highlight w:val="none"/>
          <w:lang w:eastAsia="zh-CN"/>
        </w:rPr>
        <w:t>）部门</w:t>
      </w:r>
      <w:r>
        <w:rPr>
          <w:rFonts w:hint="eastAsia" w:ascii="楷体" w:hAnsi="楷体" w:eastAsia="楷体" w:cs="楷体"/>
          <w:bCs/>
          <w:sz w:val="32"/>
          <w:szCs w:val="32"/>
          <w:highlight w:val="none"/>
          <w:lang w:val="en-US" w:eastAsia="zh-CN"/>
        </w:rPr>
        <w:t>主要职责</w:t>
      </w:r>
      <w:r>
        <w:rPr>
          <w:sz w:val="32"/>
          <w:szCs w:val="32"/>
        </w:rPr>
        <w:tab/>
      </w:r>
      <w:r>
        <w:rPr>
          <w:sz w:val="32"/>
          <w:szCs w:val="32"/>
        </w:rPr>
        <w:fldChar w:fldCharType="begin"/>
      </w:r>
      <w:r>
        <w:rPr>
          <w:sz w:val="32"/>
          <w:szCs w:val="32"/>
        </w:rPr>
        <w:instrText xml:space="preserve"> PAGEREF _Toc16907 \h </w:instrText>
      </w:r>
      <w:r>
        <w:rPr>
          <w:sz w:val="32"/>
          <w:szCs w:val="32"/>
        </w:rPr>
        <w:fldChar w:fldCharType="separate"/>
      </w:r>
      <w:r>
        <w:rPr>
          <w:sz w:val="32"/>
          <w:szCs w:val="32"/>
        </w:rPr>
        <w:t>4</w:t>
      </w:r>
      <w:r>
        <w:rPr>
          <w:sz w:val="32"/>
          <w:szCs w:val="32"/>
        </w:rPr>
        <w:fldChar w:fldCharType="end"/>
      </w:r>
      <w:r>
        <w:rPr>
          <w:rFonts w:hint="default"/>
          <w:sz w:val="32"/>
          <w:szCs w:val="32"/>
          <w:lang w:val="en-US" w:eastAsia="zh-CN"/>
        </w:rPr>
        <w:fldChar w:fldCharType="end"/>
      </w:r>
    </w:p>
    <w:p w14:paraId="51E734B3">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_Toc22046 </w:instrText>
      </w:r>
      <w:r>
        <w:rPr>
          <w:rFonts w:hint="default"/>
          <w:sz w:val="32"/>
          <w:szCs w:val="32"/>
          <w:lang w:val="en-US" w:eastAsia="zh-CN"/>
        </w:rPr>
        <w:fldChar w:fldCharType="separate"/>
      </w:r>
      <w:r>
        <w:rPr>
          <w:rFonts w:hint="eastAsia" w:ascii="楷体" w:hAnsi="楷体" w:eastAsia="楷体" w:cs="楷体"/>
          <w:bCs/>
          <w:sz w:val="32"/>
          <w:szCs w:val="32"/>
          <w:lang w:eastAsia="zh-CN"/>
        </w:rPr>
        <w:t>（</w:t>
      </w:r>
      <w:r>
        <w:rPr>
          <w:rFonts w:hint="eastAsia" w:ascii="楷体" w:hAnsi="楷体" w:eastAsia="楷体" w:cs="楷体"/>
          <w:bCs/>
          <w:sz w:val="32"/>
          <w:szCs w:val="32"/>
          <w:lang w:val="en-US" w:eastAsia="zh-CN"/>
        </w:rPr>
        <w:t>三</w:t>
      </w:r>
      <w:r>
        <w:rPr>
          <w:rFonts w:hint="eastAsia" w:ascii="楷体" w:hAnsi="楷体" w:eastAsia="楷体" w:cs="楷体"/>
          <w:bCs/>
          <w:sz w:val="32"/>
          <w:szCs w:val="32"/>
          <w:lang w:eastAsia="zh-CN"/>
        </w:rPr>
        <w:t>）</w:t>
      </w:r>
      <w:r>
        <w:rPr>
          <w:rFonts w:hint="eastAsia" w:ascii="楷体" w:hAnsi="楷体" w:eastAsia="楷体" w:cs="楷体"/>
          <w:bCs/>
          <w:sz w:val="32"/>
          <w:szCs w:val="32"/>
          <w:lang w:val="en-US" w:eastAsia="zh-CN"/>
        </w:rPr>
        <w:t>部门</w:t>
      </w:r>
      <w:r>
        <w:rPr>
          <w:rFonts w:hint="eastAsia" w:ascii="楷体" w:hAnsi="楷体" w:eastAsia="楷体" w:cs="楷体"/>
          <w:bCs/>
          <w:sz w:val="32"/>
          <w:szCs w:val="32"/>
          <w:lang w:eastAsia="zh-CN"/>
        </w:rPr>
        <w:t>组织架构与人员</w:t>
      </w:r>
      <w:r>
        <w:rPr>
          <w:sz w:val="32"/>
          <w:szCs w:val="32"/>
        </w:rPr>
        <w:tab/>
      </w:r>
      <w:r>
        <w:rPr>
          <w:sz w:val="32"/>
          <w:szCs w:val="32"/>
        </w:rPr>
        <w:fldChar w:fldCharType="begin"/>
      </w:r>
      <w:r>
        <w:rPr>
          <w:sz w:val="32"/>
          <w:szCs w:val="32"/>
        </w:rPr>
        <w:instrText xml:space="preserve"> PAGEREF _Toc22046 \h </w:instrText>
      </w:r>
      <w:r>
        <w:rPr>
          <w:sz w:val="32"/>
          <w:szCs w:val="32"/>
        </w:rPr>
        <w:fldChar w:fldCharType="separate"/>
      </w:r>
      <w:r>
        <w:rPr>
          <w:sz w:val="32"/>
          <w:szCs w:val="32"/>
        </w:rPr>
        <w:t>4</w:t>
      </w:r>
      <w:r>
        <w:rPr>
          <w:sz w:val="32"/>
          <w:szCs w:val="32"/>
        </w:rPr>
        <w:fldChar w:fldCharType="end"/>
      </w:r>
      <w:r>
        <w:rPr>
          <w:rFonts w:hint="default"/>
          <w:sz w:val="32"/>
          <w:szCs w:val="32"/>
          <w:lang w:val="en-US" w:eastAsia="zh-CN"/>
        </w:rPr>
        <w:fldChar w:fldCharType="end"/>
      </w:r>
    </w:p>
    <w:p w14:paraId="504362AB">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_Toc2240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（四）部门2024年度职责履行及履职效益</w:t>
      </w:r>
      <w:r>
        <w:rPr>
          <w:sz w:val="32"/>
          <w:szCs w:val="32"/>
        </w:rPr>
        <w:tab/>
      </w:r>
      <w:r>
        <w:rPr>
          <w:sz w:val="32"/>
          <w:szCs w:val="32"/>
        </w:rPr>
        <w:fldChar w:fldCharType="begin"/>
      </w:r>
      <w:r>
        <w:rPr>
          <w:sz w:val="32"/>
          <w:szCs w:val="32"/>
        </w:rPr>
        <w:instrText xml:space="preserve"> PAGEREF _Toc2240 \h </w:instrText>
      </w:r>
      <w:r>
        <w:rPr>
          <w:sz w:val="32"/>
          <w:szCs w:val="32"/>
        </w:rPr>
        <w:fldChar w:fldCharType="separate"/>
      </w:r>
      <w:r>
        <w:rPr>
          <w:sz w:val="32"/>
          <w:szCs w:val="32"/>
        </w:rPr>
        <w:t>5</w:t>
      </w:r>
      <w:r>
        <w:rPr>
          <w:sz w:val="32"/>
          <w:szCs w:val="32"/>
        </w:rPr>
        <w:fldChar w:fldCharType="end"/>
      </w:r>
      <w:r>
        <w:rPr>
          <w:rFonts w:hint="default"/>
          <w:sz w:val="32"/>
          <w:szCs w:val="32"/>
          <w:lang w:val="en-US" w:eastAsia="zh-CN"/>
        </w:rPr>
        <w:fldChar w:fldCharType="end"/>
      </w:r>
    </w:p>
    <w:p w14:paraId="4C5D3DD0">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_Toc19252 </w:instrText>
      </w:r>
      <w:r>
        <w:rPr>
          <w:rFonts w:hint="default"/>
          <w:sz w:val="32"/>
          <w:szCs w:val="32"/>
          <w:lang w:val="en-US" w:eastAsia="zh-CN"/>
        </w:rPr>
        <w:fldChar w:fldCharType="separate"/>
      </w:r>
      <w:r>
        <w:rPr>
          <w:rFonts w:hint="eastAsia" w:ascii="黑体" w:hAnsi="黑体" w:eastAsia="黑体" w:cs="黑体"/>
          <w:sz w:val="32"/>
          <w:szCs w:val="32"/>
          <w:lang w:eastAsia="zh-CN"/>
        </w:rPr>
        <w:t>三、部门</w:t>
      </w:r>
      <w:r>
        <w:rPr>
          <w:rFonts w:hint="eastAsia" w:ascii="黑体" w:hAnsi="黑体" w:eastAsia="黑体" w:cs="黑体"/>
          <w:sz w:val="32"/>
          <w:szCs w:val="32"/>
          <w:lang w:val="en-US" w:eastAsia="zh-CN"/>
        </w:rPr>
        <w:t>预算及</w:t>
      </w:r>
      <w:r>
        <w:rPr>
          <w:rFonts w:hint="eastAsia" w:ascii="黑体" w:hAnsi="黑体" w:eastAsia="黑体" w:cs="黑体"/>
          <w:sz w:val="32"/>
          <w:szCs w:val="32"/>
          <w:lang w:eastAsia="zh-CN"/>
        </w:rPr>
        <w:t>整体支出概况</w:t>
      </w:r>
      <w:r>
        <w:rPr>
          <w:sz w:val="32"/>
          <w:szCs w:val="32"/>
        </w:rPr>
        <w:tab/>
      </w:r>
      <w:r>
        <w:rPr>
          <w:sz w:val="32"/>
          <w:szCs w:val="32"/>
        </w:rPr>
        <w:fldChar w:fldCharType="begin"/>
      </w:r>
      <w:r>
        <w:rPr>
          <w:sz w:val="32"/>
          <w:szCs w:val="32"/>
        </w:rPr>
        <w:instrText xml:space="preserve"> PAGEREF _Toc19252 \h </w:instrText>
      </w:r>
      <w:r>
        <w:rPr>
          <w:sz w:val="32"/>
          <w:szCs w:val="32"/>
        </w:rPr>
        <w:fldChar w:fldCharType="separate"/>
      </w:r>
      <w:r>
        <w:rPr>
          <w:sz w:val="32"/>
          <w:szCs w:val="32"/>
        </w:rPr>
        <w:t>16</w:t>
      </w:r>
      <w:r>
        <w:rPr>
          <w:sz w:val="32"/>
          <w:szCs w:val="32"/>
        </w:rPr>
        <w:fldChar w:fldCharType="end"/>
      </w:r>
      <w:r>
        <w:rPr>
          <w:rFonts w:hint="default"/>
          <w:sz w:val="32"/>
          <w:szCs w:val="32"/>
          <w:lang w:val="en-US" w:eastAsia="zh-CN"/>
        </w:rPr>
        <w:fldChar w:fldCharType="end"/>
      </w:r>
    </w:p>
    <w:p w14:paraId="3EB08113">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_Toc16382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（一）</w:t>
      </w:r>
      <w:r>
        <w:rPr>
          <w:rFonts w:hint="eastAsia" w:ascii="楷体" w:hAnsi="楷体" w:eastAsia="楷体" w:cs="楷体"/>
          <w:bCs/>
          <w:sz w:val="32"/>
          <w:szCs w:val="32"/>
          <w:lang w:eastAsia="zh-CN"/>
        </w:rPr>
        <w:t>预算</w:t>
      </w:r>
      <w:r>
        <w:rPr>
          <w:rFonts w:hint="eastAsia" w:ascii="楷体" w:hAnsi="楷体" w:eastAsia="楷体" w:cs="楷体"/>
          <w:bCs/>
          <w:sz w:val="32"/>
          <w:szCs w:val="32"/>
          <w:lang w:val="en-US" w:eastAsia="zh-CN"/>
        </w:rPr>
        <w:t>配置</w:t>
      </w:r>
      <w:r>
        <w:rPr>
          <w:rFonts w:hint="eastAsia" w:ascii="楷体" w:hAnsi="楷体" w:eastAsia="楷体" w:cs="楷体"/>
          <w:bCs/>
          <w:sz w:val="32"/>
          <w:szCs w:val="32"/>
          <w:lang w:eastAsia="zh-CN"/>
        </w:rPr>
        <w:t>情况</w:t>
      </w:r>
      <w:r>
        <w:rPr>
          <w:rFonts w:hint="eastAsia" w:ascii="楷体" w:hAnsi="楷体" w:eastAsia="楷体" w:cs="楷体"/>
          <w:bCs/>
          <w:sz w:val="32"/>
          <w:szCs w:val="32"/>
          <w:lang w:val="en-US" w:eastAsia="zh-CN"/>
        </w:rPr>
        <w:t>及分析</w:t>
      </w:r>
      <w:r>
        <w:rPr>
          <w:sz w:val="32"/>
          <w:szCs w:val="32"/>
        </w:rPr>
        <w:tab/>
      </w:r>
      <w:r>
        <w:rPr>
          <w:sz w:val="32"/>
          <w:szCs w:val="32"/>
        </w:rPr>
        <w:fldChar w:fldCharType="begin"/>
      </w:r>
      <w:r>
        <w:rPr>
          <w:sz w:val="32"/>
          <w:szCs w:val="32"/>
        </w:rPr>
        <w:instrText xml:space="preserve"> PAGEREF _Toc16382 \h </w:instrText>
      </w:r>
      <w:r>
        <w:rPr>
          <w:sz w:val="32"/>
          <w:szCs w:val="32"/>
        </w:rPr>
        <w:fldChar w:fldCharType="separate"/>
      </w:r>
      <w:r>
        <w:rPr>
          <w:sz w:val="32"/>
          <w:szCs w:val="32"/>
        </w:rPr>
        <w:t>16</w:t>
      </w:r>
      <w:r>
        <w:rPr>
          <w:sz w:val="32"/>
          <w:szCs w:val="32"/>
        </w:rPr>
        <w:fldChar w:fldCharType="end"/>
      </w:r>
      <w:r>
        <w:rPr>
          <w:rFonts w:hint="default"/>
          <w:sz w:val="32"/>
          <w:szCs w:val="32"/>
          <w:lang w:val="en-US" w:eastAsia="zh-CN"/>
        </w:rPr>
        <w:fldChar w:fldCharType="end"/>
      </w:r>
    </w:p>
    <w:p w14:paraId="0C19483C">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_Toc2978 </w:instrText>
      </w:r>
      <w:r>
        <w:rPr>
          <w:rFonts w:hint="default"/>
          <w:sz w:val="32"/>
          <w:szCs w:val="32"/>
          <w:lang w:val="en-US" w:eastAsia="zh-CN"/>
        </w:rPr>
        <w:fldChar w:fldCharType="separate"/>
      </w:r>
      <w:r>
        <w:rPr>
          <w:rFonts w:hint="eastAsia" w:ascii="楷体" w:hAnsi="楷体" w:eastAsia="楷体" w:cs="楷体"/>
          <w:bCs/>
          <w:sz w:val="32"/>
          <w:szCs w:val="32"/>
          <w:lang w:eastAsia="zh-CN"/>
        </w:rPr>
        <w:t>（二）预算执行</w:t>
      </w:r>
      <w:r>
        <w:rPr>
          <w:rFonts w:hint="eastAsia" w:ascii="楷体" w:hAnsi="楷体" w:eastAsia="楷体" w:cs="楷体"/>
          <w:bCs/>
          <w:sz w:val="32"/>
          <w:szCs w:val="32"/>
          <w:lang w:val="en-US" w:eastAsia="zh-CN"/>
        </w:rPr>
        <w:t>情况及分析</w:t>
      </w:r>
      <w:r>
        <w:rPr>
          <w:sz w:val="32"/>
          <w:szCs w:val="32"/>
        </w:rPr>
        <w:tab/>
      </w:r>
      <w:r>
        <w:rPr>
          <w:sz w:val="32"/>
          <w:szCs w:val="32"/>
        </w:rPr>
        <w:fldChar w:fldCharType="begin"/>
      </w:r>
      <w:r>
        <w:rPr>
          <w:sz w:val="32"/>
          <w:szCs w:val="32"/>
        </w:rPr>
        <w:instrText xml:space="preserve"> PAGEREF _Toc2978 \h </w:instrText>
      </w:r>
      <w:r>
        <w:rPr>
          <w:sz w:val="32"/>
          <w:szCs w:val="32"/>
        </w:rPr>
        <w:fldChar w:fldCharType="separate"/>
      </w:r>
      <w:r>
        <w:rPr>
          <w:sz w:val="32"/>
          <w:szCs w:val="32"/>
        </w:rPr>
        <w:t>17</w:t>
      </w:r>
      <w:r>
        <w:rPr>
          <w:sz w:val="32"/>
          <w:szCs w:val="32"/>
        </w:rPr>
        <w:fldChar w:fldCharType="end"/>
      </w:r>
      <w:r>
        <w:rPr>
          <w:rFonts w:hint="default"/>
          <w:sz w:val="32"/>
          <w:szCs w:val="32"/>
          <w:lang w:val="en-US" w:eastAsia="zh-CN"/>
        </w:rPr>
        <w:fldChar w:fldCharType="end"/>
      </w:r>
    </w:p>
    <w:p w14:paraId="79A3BF2E">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_Toc20322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（三）整体支出汇总及分析</w:t>
      </w:r>
      <w:r>
        <w:rPr>
          <w:sz w:val="32"/>
          <w:szCs w:val="32"/>
        </w:rPr>
        <w:tab/>
      </w:r>
      <w:r>
        <w:rPr>
          <w:sz w:val="32"/>
          <w:szCs w:val="32"/>
        </w:rPr>
        <w:fldChar w:fldCharType="begin"/>
      </w:r>
      <w:r>
        <w:rPr>
          <w:sz w:val="32"/>
          <w:szCs w:val="32"/>
        </w:rPr>
        <w:instrText xml:space="preserve"> PAGEREF _Toc20322 \h </w:instrText>
      </w:r>
      <w:r>
        <w:rPr>
          <w:sz w:val="32"/>
          <w:szCs w:val="32"/>
        </w:rPr>
        <w:fldChar w:fldCharType="separate"/>
      </w:r>
      <w:r>
        <w:rPr>
          <w:sz w:val="32"/>
          <w:szCs w:val="32"/>
        </w:rPr>
        <w:t>19</w:t>
      </w:r>
      <w:r>
        <w:rPr>
          <w:sz w:val="32"/>
          <w:szCs w:val="32"/>
        </w:rPr>
        <w:fldChar w:fldCharType="end"/>
      </w:r>
      <w:r>
        <w:rPr>
          <w:rFonts w:hint="default"/>
          <w:sz w:val="32"/>
          <w:szCs w:val="32"/>
          <w:lang w:val="en-US" w:eastAsia="zh-CN"/>
        </w:rPr>
        <w:fldChar w:fldCharType="end"/>
      </w:r>
    </w:p>
    <w:p w14:paraId="485B2170">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_Toc25102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（四）</w:t>
      </w:r>
      <w:r>
        <w:rPr>
          <w:rFonts w:hint="eastAsia" w:ascii="楷体" w:hAnsi="楷体" w:eastAsia="楷体" w:cs="楷体"/>
          <w:bCs/>
          <w:sz w:val="32"/>
          <w:szCs w:val="32"/>
          <w:lang w:eastAsia="zh-CN"/>
        </w:rPr>
        <w:t>预算</w:t>
      </w:r>
      <w:r>
        <w:rPr>
          <w:rFonts w:hint="eastAsia" w:ascii="楷体" w:hAnsi="楷体" w:eastAsia="楷体" w:cs="楷体"/>
          <w:bCs/>
          <w:sz w:val="32"/>
          <w:szCs w:val="32"/>
          <w:lang w:val="en-US" w:eastAsia="zh-CN"/>
        </w:rPr>
        <w:t>管理情况及分析</w:t>
      </w:r>
      <w:r>
        <w:rPr>
          <w:sz w:val="32"/>
          <w:szCs w:val="32"/>
        </w:rPr>
        <w:tab/>
      </w:r>
      <w:r>
        <w:rPr>
          <w:sz w:val="32"/>
          <w:szCs w:val="32"/>
        </w:rPr>
        <w:fldChar w:fldCharType="begin"/>
      </w:r>
      <w:r>
        <w:rPr>
          <w:sz w:val="32"/>
          <w:szCs w:val="32"/>
        </w:rPr>
        <w:instrText xml:space="preserve"> PAGEREF _Toc25102 \h </w:instrText>
      </w:r>
      <w:r>
        <w:rPr>
          <w:sz w:val="32"/>
          <w:szCs w:val="32"/>
        </w:rPr>
        <w:fldChar w:fldCharType="separate"/>
      </w:r>
      <w:r>
        <w:rPr>
          <w:sz w:val="32"/>
          <w:szCs w:val="32"/>
        </w:rPr>
        <w:t>20</w:t>
      </w:r>
      <w:r>
        <w:rPr>
          <w:sz w:val="32"/>
          <w:szCs w:val="32"/>
        </w:rPr>
        <w:fldChar w:fldCharType="end"/>
      </w:r>
      <w:r>
        <w:rPr>
          <w:rFonts w:hint="default"/>
          <w:sz w:val="32"/>
          <w:szCs w:val="32"/>
          <w:lang w:val="en-US" w:eastAsia="zh-CN"/>
        </w:rPr>
        <w:fldChar w:fldCharType="end"/>
      </w:r>
    </w:p>
    <w:p w14:paraId="3E667A21">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_Toc23154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（五）工资管理情况及分析</w:t>
      </w:r>
      <w:r>
        <w:rPr>
          <w:sz w:val="32"/>
          <w:szCs w:val="32"/>
        </w:rPr>
        <w:tab/>
      </w:r>
      <w:r>
        <w:rPr>
          <w:sz w:val="32"/>
          <w:szCs w:val="32"/>
        </w:rPr>
        <w:fldChar w:fldCharType="begin"/>
      </w:r>
      <w:r>
        <w:rPr>
          <w:sz w:val="32"/>
          <w:szCs w:val="32"/>
        </w:rPr>
        <w:instrText xml:space="preserve"> PAGEREF _Toc23154 \h </w:instrText>
      </w:r>
      <w:r>
        <w:rPr>
          <w:sz w:val="32"/>
          <w:szCs w:val="32"/>
        </w:rPr>
        <w:fldChar w:fldCharType="separate"/>
      </w:r>
      <w:r>
        <w:rPr>
          <w:sz w:val="32"/>
          <w:szCs w:val="32"/>
        </w:rPr>
        <w:t>21</w:t>
      </w:r>
      <w:r>
        <w:rPr>
          <w:sz w:val="32"/>
          <w:szCs w:val="32"/>
        </w:rPr>
        <w:fldChar w:fldCharType="end"/>
      </w:r>
      <w:r>
        <w:rPr>
          <w:rFonts w:hint="default"/>
          <w:sz w:val="32"/>
          <w:szCs w:val="32"/>
          <w:lang w:val="en-US" w:eastAsia="zh-CN"/>
        </w:rPr>
        <w:fldChar w:fldCharType="end"/>
      </w:r>
    </w:p>
    <w:p w14:paraId="6050C7BE">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_Toc16761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（六）项目支出管理情况及分析</w:t>
      </w:r>
      <w:r>
        <w:rPr>
          <w:sz w:val="32"/>
          <w:szCs w:val="32"/>
        </w:rPr>
        <w:tab/>
      </w:r>
      <w:r>
        <w:rPr>
          <w:sz w:val="32"/>
          <w:szCs w:val="32"/>
        </w:rPr>
        <w:fldChar w:fldCharType="begin"/>
      </w:r>
      <w:r>
        <w:rPr>
          <w:sz w:val="32"/>
          <w:szCs w:val="32"/>
        </w:rPr>
        <w:instrText xml:space="preserve"> PAGEREF _Toc16761 \h </w:instrText>
      </w:r>
      <w:r>
        <w:rPr>
          <w:sz w:val="32"/>
          <w:szCs w:val="32"/>
        </w:rPr>
        <w:fldChar w:fldCharType="separate"/>
      </w:r>
      <w:r>
        <w:rPr>
          <w:sz w:val="32"/>
          <w:szCs w:val="32"/>
        </w:rPr>
        <w:t>21</w:t>
      </w:r>
      <w:r>
        <w:rPr>
          <w:sz w:val="32"/>
          <w:szCs w:val="32"/>
        </w:rPr>
        <w:fldChar w:fldCharType="end"/>
      </w:r>
      <w:r>
        <w:rPr>
          <w:rFonts w:hint="default"/>
          <w:sz w:val="32"/>
          <w:szCs w:val="32"/>
          <w:lang w:val="en-US" w:eastAsia="zh-CN"/>
        </w:rPr>
        <w:fldChar w:fldCharType="end"/>
      </w:r>
    </w:p>
    <w:p w14:paraId="148A5C50">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_Toc14204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（七）</w:t>
      </w:r>
      <w:r>
        <w:rPr>
          <w:rFonts w:hint="eastAsia" w:ascii="楷体" w:hAnsi="楷体" w:eastAsia="楷体" w:cs="楷体"/>
          <w:bCs/>
          <w:sz w:val="32"/>
          <w:szCs w:val="32"/>
          <w:highlight w:val="none"/>
          <w:lang w:val="en-US" w:eastAsia="zh-CN"/>
        </w:rPr>
        <w:t>固定资产管理情况及分析</w:t>
      </w:r>
      <w:r>
        <w:rPr>
          <w:sz w:val="32"/>
          <w:szCs w:val="32"/>
        </w:rPr>
        <w:tab/>
      </w:r>
      <w:r>
        <w:rPr>
          <w:sz w:val="32"/>
          <w:szCs w:val="32"/>
        </w:rPr>
        <w:fldChar w:fldCharType="begin"/>
      </w:r>
      <w:r>
        <w:rPr>
          <w:sz w:val="32"/>
          <w:szCs w:val="32"/>
        </w:rPr>
        <w:instrText xml:space="preserve"> PAGEREF _Toc14204 \h </w:instrText>
      </w:r>
      <w:r>
        <w:rPr>
          <w:sz w:val="32"/>
          <w:szCs w:val="32"/>
        </w:rPr>
        <w:fldChar w:fldCharType="separate"/>
      </w:r>
      <w:r>
        <w:rPr>
          <w:sz w:val="32"/>
          <w:szCs w:val="32"/>
        </w:rPr>
        <w:t>21</w:t>
      </w:r>
      <w:r>
        <w:rPr>
          <w:sz w:val="32"/>
          <w:szCs w:val="32"/>
        </w:rPr>
        <w:fldChar w:fldCharType="end"/>
      </w:r>
      <w:r>
        <w:rPr>
          <w:rFonts w:hint="default"/>
          <w:sz w:val="32"/>
          <w:szCs w:val="32"/>
          <w:lang w:val="en-US" w:eastAsia="zh-CN"/>
        </w:rPr>
        <w:fldChar w:fldCharType="end"/>
      </w:r>
    </w:p>
    <w:p w14:paraId="4B14CCF2">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_Toc16671 </w:instrText>
      </w:r>
      <w:r>
        <w:rPr>
          <w:rFonts w:hint="default"/>
          <w:sz w:val="32"/>
          <w:szCs w:val="32"/>
          <w:lang w:val="en-US" w:eastAsia="zh-CN"/>
        </w:rPr>
        <w:fldChar w:fldCharType="separate"/>
      </w:r>
      <w:r>
        <w:rPr>
          <w:rFonts w:hint="eastAsia" w:ascii="楷体" w:hAnsi="楷体" w:eastAsia="楷体" w:cs="楷体"/>
          <w:bCs/>
          <w:sz w:val="32"/>
          <w:szCs w:val="32"/>
          <w:highlight w:val="none"/>
          <w:lang w:val="en-US" w:eastAsia="zh-CN"/>
        </w:rPr>
        <w:t>（八）厉行节约保障措施的执行情况及其政策效果</w:t>
      </w:r>
      <w:r>
        <w:rPr>
          <w:sz w:val="32"/>
          <w:szCs w:val="32"/>
        </w:rPr>
        <w:tab/>
      </w:r>
      <w:r>
        <w:rPr>
          <w:sz w:val="32"/>
          <w:szCs w:val="32"/>
        </w:rPr>
        <w:fldChar w:fldCharType="begin"/>
      </w:r>
      <w:r>
        <w:rPr>
          <w:sz w:val="32"/>
          <w:szCs w:val="32"/>
        </w:rPr>
        <w:instrText xml:space="preserve"> PAGEREF _Toc16671 \h </w:instrText>
      </w:r>
      <w:r>
        <w:rPr>
          <w:sz w:val="32"/>
          <w:szCs w:val="32"/>
        </w:rPr>
        <w:fldChar w:fldCharType="separate"/>
      </w:r>
      <w:r>
        <w:rPr>
          <w:sz w:val="32"/>
          <w:szCs w:val="32"/>
        </w:rPr>
        <w:t>21</w:t>
      </w:r>
      <w:r>
        <w:rPr>
          <w:sz w:val="32"/>
          <w:szCs w:val="32"/>
        </w:rPr>
        <w:fldChar w:fldCharType="end"/>
      </w:r>
      <w:r>
        <w:rPr>
          <w:rFonts w:hint="default"/>
          <w:sz w:val="32"/>
          <w:szCs w:val="32"/>
          <w:lang w:val="en-US" w:eastAsia="zh-CN"/>
        </w:rPr>
        <w:fldChar w:fldCharType="end"/>
      </w:r>
    </w:p>
    <w:p w14:paraId="7A534587">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_Toc23135 </w:instrText>
      </w:r>
      <w:r>
        <w:rPr>
          <w:rFonts w:hint="default"/>
          <w:sz w:val="32"/>
          <w:szCs w:val="32"/>
          <w:lang w:val="en-US" w:eastAsia="zh-CN"/>
        </w:rPr>
        <w:fldChar w:fldCharType="separate"/>
      </w: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lang w:val="en-US" w:eastAsia="zh-CN"/>
        </w:rPr>
        <w:t>部门</w:t>
      </w:r>
      <w:r>
        <w:rPr>
          <w:rFonts w:hint="eastAsia" w:ascii="黑体" w:hAnsi="黑体" w:eastAsia="黑体" w:cs="黑体"/>
          <w:sz w:val="32"/>
          <w:szCs w:val="32"/>
          <w:highlight w:val="none"/>
          <w:lang w:eastAsia="zh-CN"/>
        </w:rPr>
        <w:t>绩效目标</w:t>
      </w:r>
      <w:r>
        <w:rPr>
          <w:sz w:val="32"/>
          <w:szCs w:val="32"/>
        </w:rPr>
        <w:tab/>
      </w:r>
      <w:r>
        <w:rPr>
          <w:sz w:val="32"/>
          <w:szCs w:val="32"/>
        </w:rPr>
        <w:fldChar w:fldCharType="begin"/>
      </w:r>
      <w:r>
        <w:rPr>
          <w:sz w:val="32"/>
          <w:szCs w:val="32"/>
        </w:rPr>
        <w:instrText xml:space="preserve"> PAGEREF _Toc23135 \h </w:instrText>
      </w:r>
      <w:r>
        <w:rPr>
          <w:sz w:val="32"/>
          <w:szCs w:val="32"/>
        </w:rPr>
        <w:fldChar w:fldCharType="separate"/>
      </w:r>
      <w:r>
        <w:rPr>
          <w:sz w:val="32"/>
          <w:szCs w:val="32"/>
        </w:rPr>
        <w:t>21</w:t>
      </w:r>
      <w:r>
        <w:rPr>
          <w:sz w:val="32"/>
          <w:szCs w:val="32"/>
        </w:rPr>
        <w:fldChar w:fldCharType="end"/>
      </w:r>
      <w:r>
        <w:rPr>
          <w:rFonts w:hint="default"/>
          <w:sz w:val="32"/>
          <w:szCs w:val="32"/>
          <w:lang w:val="en-US" w:eastAsia="zh-CN"/>
        </w:rPr>
        <w:fldChar w:fldCharType="end"/>
      </w:r>
    </w:p>
    <w:p w14:paraId="12993229">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_Toc16528 </w:instrText>
      </w:r>
      <w:r>
        <w:rPr>
          <w:rFonts w:hint="default"/>
          <w:sz w:val="32"/>
          <w:szCs w:val="32"/>
          <w:lang w:val="en-US" w:eastAsia="zh-CN"/>
        </w:rPr>
        <w:fldChar w:fldCharType="separate"/>
      </w:r>
      <w:r>
        <w:rPr>
          <w:rFonts w:hint="eastAsia" w:ascii="楷体" w:hAnsi="楷体" w:eastAsia="楷体" w:cs="楷体"/>
          <w:bCs/>
          <w:sz w:val="32"/>
          <w:szCs w:val="32"/>
          <w:lang w:eastAsia="zh-CN"/>
        </w:rPr>
        <w:t>（一）总体目标</w:t>
      </w:r>
      <w:r>
        <w:rPr>
          <w:sz w:val="32"/>
          <w:szCs w:val="32"/>
        </w:rPr>
        <w:tab/>
      </w:r>
      <w:r>
        <w:rPr>
          <w:sz w:val="32"/>
          <w:szCs w:val="32"/>
        </w:rPr>
        <w:fldChar w:fldCharType="begin"/>
      </w:r>
      <w:r>
        <w:rPr>
          <w:sz w:val="32"/>
          <w:szCs w:val="32"/>
        </w:rPr>
        <w:instrText xml:space="preserve"> PAGEREF _Toc16528 \h </w:instrText>
      </w:r>
      <w:r>
        <w:rPr>
          <w:sz w:val="32"/>
          <w:szCs w:val="32"/>
        </w:rPr>
        <w:fldChar w:fldCharType="separate"/>
      </w:r>
      <w:r>
        <w:rPr>
          <w:sz w:val="32"/>
          <w:szCs w:val="32"/>
        </w:rPr>
        <w:t>21</w:t>
      </w:r>
      <w:r>
        <w:rPr>
          <w:sz w:val="32"/>
          <w:szCs w:val="32"/>
        </w:rPr>
        <w:fldChar w:fldCharType="end"/>
      </w:r>
      <w:r>
        <w:rPr>
          <w:rFonts w:hint="default"/>
          <w:sz w:val="32"/>
          <w:szCs w:val="32"/>
          <w:lang w:val="en-US" w:eastAsia="zh-CN"/>
        </w:rPr>
        <w:fldChar w:fldCharType="end"/>
      </w:r>
    </w:p>
    <w:p w14:paraId="256199D5">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_Toc15067 </w:instrText>
      </w:r>
      <w:r>
        <w:rPr>
          <w:rFonts w:hint="default"/>
          <w:sz w:val="32"/>
          <w:szCs w:val="32"/>
          <w:lang w:val="en-US" w:eastAsia="zh-CN"/>
        </w:rPr>
        <w:fldChar w:fldCharType="separate"/>
      </w:r>
      <w:r>
        <w:rPr>
          <w:rFonts w:hint="eastAsia" w:ascii="楷体" w:hAnsi="楷体" w:eastAsia="楷体" w:cs="楷体"/>
          <w:bCs/>
          <w:sz w:val="32"/>
          <w:szCs w:val="32"/>
          <w:lang w:eastAsia="zh-CN"/>
        </w:rPr>
        <w:t>（</w:t>
      </w:r>
      <w:r>
        <w:rPr>
          <w:rFonts w:hint="eastAsia" w:ascii="楷体" w:hAnsi="楷体" w:eastAsia="楷体" w:cs="楷体"/>
          <w:bCs/>
          <w:sz w:val="32"/>
          <w:szCs w:val="32"/>
          <w:lang w:val="en-US" w:eastAsia="zh-CN"/>
        </w:rPr>
        <w:t>二</w:t>
      </w:r>
      <w:r>
        <w:rPr>
          <w:rFonts w:hint="eastAsia" w:ascii="楷体" w:hAnsi="楷体" w:eastAsia="楷体" w:cs="楷体"/>
          <w:bCs/>
          <w:sz w:val="32"/>
          <w:szCs w:val="32"/>
          <w:lang w:eastAsia="zh-CN"/>
        </w:rPr>
        <w:t>）分类目标</w:t>
      </w:r>
      <w:r>
        <w:rPr>
          <w:sz w:val="32"/>
          <w:szCs w:val="32"/>
        </w:rPr>
        <w:tab/>
      </w:r>
      <w:r>
        <w:rPr>
          <w:sz w:val="32"/>
          <w:szCs w:val="32"/>
        </w:rPr>
        <w:fldChar w:fldCharType="begin"/>
      </w:r>
      <w:r>
        <w:rPr>
          <w:sz w:val="32"/>
          <w:szCs w:val="32"/>
        </w:rPr>
        <w:instrText xml:space="preserve"> PAGEREF _Toc15067 \h </w:instrText>
      </w:r>
      <w:r>
        <w:rPr>
          <w:sz w:val="32"/>
          <w:szCs w:val="32"/>
        </w:rPr>
        <w:fldChar w:fldCharType="separate"/>
      </w:r>
      <w:r>
        <w:rPr>
          <w:sz w:val="32"/>
          <w:szCs w:val="32"/>
        </w:rPr>
        <w:t>22</w:t>
      </w:r>
      <w:r>
        <w:rPr>
          <w:sz w:val="32"/>
          <w:szCs w:val="32"/>
        </w:rPr>
        <w:fldChar w:fldCharType="end"/>
      </w:r>
      <w:r>
        <w:rPr>
          <w:rFonts w:hint="default"/>
          <w:sz w:val="32"/>
          <w:szCs w:val="32"/>
          <w:lang w:val="en-US" w:eastAsia="zh-CN"/>
        </w:rPr>
        <w:fldChar w:fldCharType="end"/>
      </w:r>
    </w:p>
    <w:p w14:paraId="42988B5B">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_Toc15698 </w:instrText>
      </w:r>
      <w:r>
        <w:rPr>
          <w:rFonts w:hint="default"/>
          <w:sz w:val="32"/>
          <w:szCs w:val="32"/>
          <w:lang w:val="en-US" w:eastAsia="zh-CN"/>
        </w:rPr>
        <w:fldChar w:fldCharType="separate"/>
      </w:r>
      <w:r>
        <w:rPr>
          <w:rFonts w:hint="eastAsia" w:ascii="黑体" w:hAnsi="黑体" w:eastAsia="黑体" w:cs="黑体"/>
          <w:sz w:val="32"/>
          <w:szCs w:val="32"/>
          <w:highlight w:val="none"/>
          <w:lang w:val="en-US" w:eastAsia="zh-CN"/>
        </w:rPr>
        <w:t>五、部门</w:t>
      </w:r>
      <w:r>
        <w:rPr>
          <w:rFonts w:hint="eastAsia" w:ascii="黑体" w:hAnsi="黑体" w:eastAsia="黑体" w:cs="黑体"/>
          <w:sz w:val="32"/>
          <w:szCs w:val="32"/>
          <w:highlight w:val="none"/>
          <w:lang w:eastAsia="zh-CN"/>
        </w:rPr>
        <w:t>绩效考评情况</w:t>
      </w:r>
      <w:r>
        <w:rPr>
          <w:sz w:val="32"/>
          <w:szCs w:val="32"/>
        </w:rPr>
        <w:tab/>
      </w:r>
      <w:r>
        <w:rPr>
          <w:sz w:val="32"/>
          <w:szCs w:val="32"/>
        </w:rPr>
        <w:fldChar w:fldCharType="begin"/>
      </w:r>
      <w:r>
        <w:rPr>
          <w:sz w:val="32"/>
          <w:szCs w:val="32"/>
        </w:rPr>
        <w:instrText xml:space="preserve"> PAGEREF _Toc15698 \h </w:instrText>
      </w:r>
      <w:r>
        <w:rPr>
          <w:sz w:val="32"/>
          <w:szCs w:val="32"/>
        </w:rPr>
        <w:fldChar w:fldCharType="separate"/>
      </w:r>
      <w:r>
        <w:rPr>
          <w:sz w:val="32"/>
          <w:szCs w:val="32"/>
        </w:rPr>
        <w:t>24</w:t>
      </w:r>
      <w:r>
        <w:rPr>
          <w:sz w:val="32"/>
          <w:szCs w:val="32"/>
        </w:rPr>
        <w:fldChar w:fldCharType="end"/>
      </w:r>
      <w:r>
        <w:rPr>
          <w:rFonts w:hint="default"/>
          <w:sz w:val="32"/>
          <w:szCs w:val="32"/>
          <w:lang w:val="en-US" w:eastAsia="zh-CN"/>
        </w:rPr>
        <w:fldChar w:fldCharType="end"/>
      </w:r>
    </w:p>
    <w:p w14:paraId="0A2408D8">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_Toc14868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（一）评价框架</w:t>
      </w:r>
      <w:r>
        <w:rPr>
          <w:sz w:val="32"/>
          <w:szCs w:val="32"/>
        </w:rPr>
        <w:tab/>
      </w:r>
      <w:r>
        <w:rPr>
          <w:sz w:val="32"/>
          <w:szCs w:val="32"/>
        </w:rPr>
        <w:fldChar w:fldCharType="begin"/>
      </w:r>
      <w:r>
        <w:rPr>
          <w:sz w:val="32"/>
          <w:szCs w:val="32"/>
        </w:rPr>
        <w:instrText xml:space="preserve"> PAGEREF _Toc14868 \h </w:instrText>
      </w:r>
      <w:r>
        <w:rPr>
          <w:sz w:val="32"/>
          <w:szCs w:val="32"/>
        </w:rPr>
        <w:fldChar w:fldCharType="separate"/>
      </w:r>
      <w:r>
        <w:rPr>
          <w:sz w:val="32"/>
          <w:szCs w:val="32"/>
        </w:rPr>
        <w:t>24</w:t>
      </w:r>
      <w:r>
        <w:rPr>
          <w:sz w:val="32"/>
          <w:szCs w:val="32"/>
        </w:rPr>
        <w:fldChar w:fldCharType="end"/>
      </w:r>
      <w:r>
        <w:rPr>
          <w:rFonts w:hint="default"/>
          <w:sz w:val="32"/>
          <w:szCs w:val="32"/>
          <w:lang w:val="en-US" w:eastAsia="zh-CN"/>
        </w:rPr>
        <w:fldChar w:fldCharType="end"/>
      </w:r>
    </w:p>
    <w:p w14:paraId="6E6F50D0">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_Toc28363 </w:instrText>
      </w:r>
      <w:r>
        <w:rPr>
          <w:rFonts w:hint="default"/>
          <w:sz w:val="32"/>
          <w:szCs w:val="32"/>
          <w:lang w:val="en-US" w:eastAsia="zh-CN"/>
        </w:rPr>
        <w:fldChar w:fldCharType="separate"/>
      </w:r>
      <w:r>
        <w:rPr>
          <w:rFonts w:hint="eastAsia" w:ascii="楷体" w:hAnsi="楷体" w:eastAsia="楷体" w:cs="楷体"/>
          <w:bCs/>
          <w:sz w:val="32"/>
          <w:szCs w:val="32"/>
          <w:highlight w:val="none"/>
          <w:lang w:val="en-US" w:eastAsia="zh-CN"/>
        </w:rPr>
        <w:t>（二）评价分析</w:t>
      </w:r>
      <w:r>
        <w:rPr>
          <w:sz w:val="32"/>
          <w:szCs w:val="32"/>
        </w:rPr>
        <w:tab/>
      </w:r>
      <w:r>
        <w:rPr>
          <w:sz w:val="32"/>
          <w:szCs w:val="32"/>
        </w:rPr>
        <w:fldChar w:fldCharType="begin"/>
      </w:r>
      <w:r>
        <w:rPr>
          <w:sz w:val="32"/>
          <w:szCs w:val="32"/>
        </w:rPr>
        <w:instrText xml:space="preserve"> PAGEREF _Toc28363 \h </w:instrText>
      </w:r>
      <w:r>
        <w:rPr>
          <w:sz w:val="32"/>
          <w:szCs w:val="32"/>
        </w:rPr>
        <w:fldChar w:fldCharType="separate"/>
      </w:r>
      <w:r>
        <w:rPr>
          <w:sz w:val="32"/>
          <w:szCs w:val="32"/>
        </w:rPr>
        <w:t>24</w:t>
      </w:r>
      <w:r>
        <w:rPr>
          <w:sz w:val="32"/>
          <w:szCs w:val="32"/>
        </w:rPr>
        <w:fldChar w:fldCharType="end"/>
      </w:r>
      <w:r>
        <w:rPr>
          <w:rFonts w:hint="default"/>
          <w:sz w:val="32"/>
          <w:szCs w:val="32"/>
          <w:lang w:val="en-US" w:eastAsia="zh-CN"/>
        </w:rPr>
        <w:fldChar w:fldCharType="end"/>
      </w:r>
    </w:p>
    <w:p w14:paraId="5F5C0244">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_Toc26982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（三）评价结果</w:t>
      </w:r>
      <w:r>
        <w:rPr>
          <w:sz w:val="32"/>
          <w:szCs w:val="32"/>
        </w:rPr>
        <w:tab/>
      </w:r>
      <w:r>
        <w:rPr>
          <w:sz w:val="32"/>
          <w:szCs w:val="32"/>
        </w:rPr>
        <w:fldChar w:fldCharType="begin"/>
      </w:r>
      <w:r>
        <w:rPr>
          <w:sz w:val="32"/>
          <w:szCs w:val="32"/>
        </w:rPr>
        <w:instrText xml:space="preserve"> PAGEREF _Toc26982 \h </w:instrText>
      </w:r>
      <w:r>
        <w:rPr>
          <w:sz w:val="32"/>
          <w:szCs w:val="32"/>
        </w:rPr>
        <w:fldChar w:fldCharType="separate"/>
      </w:r>
      <w:r>
        <w:rPr>
          <w:sz w:val="32"/>
          <w:szCs w:val="32"/>
        </w:rPr>
        <w:t>42</w:t>
      </w:r>
      <w:r>
        <w:rPr>
          <w:sz w:val="32"/>
          <w:szCs w:val="32"/>
        </w:rPr>
        <w:fldChar w:fldCharType="end"/>
      </w:r>
      <w:r>
        <w:rPr>
          <w:rFonts w:hint="default"/>
          <w:sz w:val="32"/>
          <w:szCs w:val="32"/>
          <w:lang w:val="en-US" w:eastAsia="zh-CN"/>
        </w:rPr>
        <w:fldChar w:fldCharType="end"/>
      </w:r>
    </w:p>
    <w:p w14:paraId="7FD67802">
      <w:pPr>
        <w:keepNext w:val="0"/>
        <w:keepLines w:val="0"/>
        <w:pageBreakBefore w:val="0"/>
        <w:widowControl/>
        <w:tabs>
          <w:tab w:val="left" w:pos="475"/>
        </w:tabs>
        <w:kinsoku/>
        <w:wordWrap/>
        <w:overflowPunct/>
        <w:topLinePunct w:val="0"/>
        <w:autoSpaceDE/>
        <w:autoSpaceDN/>
        <w:bidi w:val="0"/>
        <w:adjustRightInd/>
        <w:snapToGrid/>
        <w:spacing w:line="560" w:lineRule="exact"/>
        <w:textAlignment w:val="auto"/>
        <w:rPr>
          <w:rFonts w:hint="default"/>
          <w:sz w:val="28"/>
          <w:szCs w:val="28"/>
          <w:lang w:val="en-US" w:eastAsia="zh-CN"/>
        </w:rPr>
      </w:pPr>
      <w:r>
        <w:rPr>
          <w:rFonts w:hint="default"/>
          <w:sz w:val="32"/>
          <w:szCs w:val="32"/>
          <w:lang w:val="en-US" w:eastAsia="zh-CN"/>
        </w:rPr>
        <w:fldChar w:fldCharType="end"/>
      </w:r>
    </w:p>
    <w:p w14:paraId="6A3BD969">
      <w:pPr>
        <w:pStyle w:val="11"/>
        <w:tabs>
          <w:tab w:val="left" w:pos="2694"/>
        </w:tabs>
        <w:rPr>
          <w:rFonts w:hint="default" w:asciiTheme="minorHAnsi" w:hAnsiTheme="minorHAnsi" w:eastAsiaTheme="minorEastAsia" w:cstheme="minorBidi"/>
          <w:kern w:val="0"/>
          <w:sz w:val="28"/>
          <w:szCs w:val="28"/>
          <w:lang w:val="en-US" w:eastAsia="zh-CN" w:bidi="ar"/>
        </w:rPr>
      </w:pPr>
    </w:p>
    <w:p w14:paraId="6C01F959">
      <w:pPr>
        <w:bidi w:val="0"/>
        <w:rPr>
          <w:rFonts w:hint="default"/>
          <w:lang w:val="en-US" w:eastAsia="zh-CN"/>
        </w:rPr>
      </w:pPr>
    </w:p>
    <w:p w14:paraId="23CB58C1">
      <w:pPr>
        <w:tabs>
          <w:tab w:val="left" w:pos="7025"/>
        </w:tabs>
        <w:bidi w:val="0"/>
        <w:jc w:val="left"/>
        <w:rPr>
          <w:rFonts w:hint="default"/>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32" w:charSpace="0"/>
        </w:sectPr>
      </w:pPr>
    </w:p>
    <w:p w14:paraId="72E892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2024年中共雁峰区委组织部部门整体支出绩效评价报告</w:t>
      </w:r>
    </w:p>
    <w:p w14:paraId="1A4E3C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（征求意见稿）</w:t>
      </w:r>
    </w:p>
    <w:p w14:paraId="18CF86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湘浩元</w:t>
      </w:r>
      <w:r>
        <w:rPr>
          <w:rFonts w:hint="eastAsia" w:ascii="仿宋" w:hAnsi="仿宋" w:eastAsia="仿宋" w:cs="仿宋"/>
          <w:sz w:val="32"/>
          <w:szCs w:val="32"/>
          <w:lang w:val="en-US" w:eastAsia="zh-CN"/>
        </w:rPr>
        <w:t>评</w:t>
      </w:r>
      <w:r>
        <w:rPr>
          <w:rFonts w:hint="eastAsia" w:ascii="仿宋" w:hAnsi="仿宋" w:eastAsia="仿宋" w:cs="仿宋"/>
          <w:sz w:val="32"/>
          <w:szCs w:val="32"/>
          <w:lang w:eastAsia="zh-CN"/>
        </w:rPr>
        <w:t>字[202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]第</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号</w:t>
      </w:r>
    </w:p>
    <w:p w14:paraId="6846085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雁峰区财政局：</w:t>
      </w:r>
    </w:p>
    <w:p w14:paraId="69ABBD9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们接受委托，对2024年中共雁峰区委组织部（以下简称“区委组织部”）的部门整体支出进行了绩效评价。建立健全内部控制制度，保护资金与资产的安全和完整，保证会计资料和其他绩效评价的相关资料的真实性、合法性和完整性，是区委组织部的责任。我们的责任是在区委组织部提供资料基础上，对2024年的部门整体支出绩效进行评价。</w:t>
      </w:r>
    </w:p>
    <w:p w14:paraId="46E904E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在评价过程中，我们按照《中国注册会计师执业准则》相关规定进行，根据独立、客观、公正的原则，实施了包括听取情况介绍、进行实地核查、发放调查问卷、对照复核等方式，对有关情况和基础材料进行核实与分析等我们认为必要的评价程序。绩效评价工作已完成，现报告如下</w:t>
      </w:r>
      <w:bookmarkStart w:id="0" w:name="_Toc11075"/>
      <w:r>
        <w:rPr>
          <w:rFonts w:hint="eastAsia" w:ascii="仿宋" w:hAnsi="仿宋" w:eastAsia="仿宋" w:cs="仿宋"/>
          <w:sz w:val="32"/>
          <w:szCs w:val="32"/>
          <w:lang w:val="en-US" w:eastAsia="zh-CN"/>
        </w:rPr>
        <w:t>：</w:t>
      </w:r>
    </w:p>
    <w:p w14:paraId="63EE632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仿宋" w:hAnsi="仿宋" w:eastAsia="仿宋" w:cs="仿宋"/>
          <w:sz w:val="32"/>
          <w:szCs w:val="32"/>
        </w:rPr>
      </w:pPr>
      <w:bookmarkStart w:id="1" w:name="_Toc9891"/>
      <w:bookmarkStart w:id="2" w:name="_Toc20417"/>
      <w:bookmarkStart w:id="3" w:name="_Toc18591"/>
      <w:bookmarkStart w:id="4" w:name="_Toc20127"/>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绩效评价基本</w:t>
      </w:r>
      <w:r>
        <w:rPr>
          <w:rFonts w:hint="eastAsia" w:ascii="黑体" w:hAnsi="黑体" w:eastAsia="黑体" w:cs="黑体"/>
          <w:sz w:val="32"/>
          <w:szCs w:val="32"/>
        </w:rPr>
        <w:t>情况</w:t>
      </w:r>
      <w:bookmarkEnd w:id="1"/>
      <w:bookmarkEnd w:id="2"/>
      <w:bookmarkEnd w:id="3"/>
      <w:bookmarkEnd w:id="4"/>
    </w:p>
    <w:p w14:paraId="2FBD8C1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5" w:name="_Toc2812"/>
      <w:bookmarkStart w:id="6" w:name="_Toc23126"/>
      <w:bookmarkStart w:id="7" w:name="_Toc13350"/>
      <w:bookmarkStart w:id="8" w:name="_Toc3257"/>
      <w:bookmarkStart w:id="9" w:name="_Toc26464"/>
      <w:r>
        <w:rPr>
          <w:rFonts w:hint="eastAsia" w:ascii="楷体" w:hAnsi="楷体" w:eastAsia="楷体" w:cs="楷体"/>
          <w:b/>
          <w:bCs/>
          <w:sz w:val="32"/>
          <w:szCs w:val="32"/>
        </w:rPr>
        <w:t>（一）</w:t>
      </w:r>
      <w:r>
        <w:rPr>
          <w:rFonts w:hint="eastAsia" w:ascii="楷体" w:hAnsi="楷体" w:eastAsia="楷体" w:cs="楷体"/>
          <w:b/>
          <w:bCs/>
          <w:sz w:val="32"/>
          <w:szCs w:val="32"/>
          <w:lang w:val="en-US" w:eastAsia="zh-CN"/>
        </w:rPr>
        <w:t>评价</w:t>
      </w:r>
      <w:r>
        <w:rPr>
          <w:rFonts w:hint="eastAsia" w:ascii="楷体" w:hAnsi="楷体" w:eastAsia="楷体" w:cs="楷体"/>
          <w:b/>
          <w:bCs/>
          <w:sz w:val="32"/>
          <w:szCs w:val="32"/>
        </w:rPr>
        <w:t>对象和范围</w:t>
      </w:r>
      <w:bookmarkEnd w:id="5"/>
      <w:bookmarkEnd w:id="6"/>
      <w:bookmarkEnd w:id="7"/>
      <w:bookmarkEnd w:id="8"/>
      <w:bookmarkEnd w:id="9"/>
    </w:p>
    <w:p w14:paraId="068AC20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bookmarkStart w:id="10" w:name="_Toc29635"/>
      <w:bookmarkStart w:id="11" w:name="_Toc7691"/>
      <w:bookmarkStart w:id="12" w:name="_Toc8069"/>
      <w:r>
        <w:rPr>
          <w:rFonts w:hint="eastAsia" w:ascii="仿宋" w:hAnsi="仿宋" w:eastAsia="仿宋" w:cs="仿宋"/>
          <w:sz w:val="32"/>
          <w:szCs w:val="32"/>
          <w:lang w:val="en-US" w:eastAsia="zh-CN"/>
        </w:rPr>
        <w:t>评价对象为2024年中共雁峰区委组织部整体支出绩效。评价范围包括不限于目标设定、预算配置、预算执行情况、预算管理、职责履行、履职效益和新增财政支出、一般性支出、会议支出、办公经费支出、机构编制和工资管理、厉行节约保障措施等方面的执行情况及其政策效果，以及项目支出的管理、使用、结余、效益情况。</w:t>
      </w:r>
    </w:p>
    <w:bookmarkEnd w:id="10"/>
    <w:bookmarkEnd w:id="11"/>
    <w:bookmarkEnd w:id="12"/>
    <w:p w14:paraId="408394B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13" w:name="_Toc29607"/>
      <w:bookmarkStart w:id="14" w:name="_Toc1228"/>
      <w:bookmarkStart w:id="15" w:name="_Toc24072"/>
      <w:bookmarkStart w:id="16" w:name="_Toc7231"/>
      <w:bookmarkStart w:id="17" w:name="_Toc25241"/>
      <w:bookmarkStart w:id="18" w:name="_Toc4694"/>
      <w:bookmarkStart w:id="19" w:name="_Hlk172128948"/>
      <w:r>
        <w:rPr>
          <w:rFonts w:hint="eastAsia" w:ascii="楷体" w:hAnsi="楷体" w:eastAsia="楷体" w:cs="楷体"/>
          <w:b/>
          <w:bCs/>
          <w:sz w:val="32"/>
          <w:szCs w:val="32"/>
        </w:rPr>
        <w:t>（二）</w:t>
      </w:r>
      <w:r>
        <w:rPr>
          <w:rFonts w:hint="eastAsia" w:ascii="楷体" w:hAnsi="楷体" w:eastAsia="楷体" w:cs="楷体"/>
          <w:b/>
          <w:bCs/>
          <w:sz w:val="32"/>
          <w:szCs w:val="32"/>
          <w:lang w:val="en-US" w:eastAsia="zh-CN"/>
        </w:rPr>
        <w:t>评价</w:t>
      </w:r>
      <w:r>
        <w:rPr>
          <w:rFonts w:hint="eastAsia" w:ascii="楷体" w:hAnsi="楷体" w:eastAsia="楷体" w:cs="楷体"/>
          <w:b/>
          <w:bCs/>
          <w:sz w:val="32"/>
          <w:szCs w:val="32"/>
        </w:rPr>
        <w:t>依据</w:t>
      </w:r>
      <w:bookmarkEnd w:id="13"/>
      <w:bookmarkEnd w:id="14"/>
    </w:p>
    <w:p w14:paraId="7E63994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1、《中共中央 国务院关于全面实施预算绩效管理的意见》（中发〔2018〕34号）；</w:t>
      </w:r>
    </w:p>
    <w:p w14:paraId="70207DD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2、《中共湖南省委办公厅 湖南省人民政府办公厅关于全面实施预算绩效管理的实施意见》（湘办发〔2019〕10号）；</w:t>
      </w:r>
    </w:p>
    <w:p w14:paraId="054B859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3、《财政部关于印发〈项目支出绩效评价管理办法〉的通知》（财预〔2020〕10号）。</w:t>
      </w:r>
    </w:p>
    <w:p w14:paraId="393EE0E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4、财政部</w:t>
      </w:r>
      <w:r>
        <w:rPr>
          <w:rFonts w:hint="eastAsia" w:ascii="仿宋" w:hAnsi="仿宋" w:eastAsia="仿宋" w:cs="仿宋"/>
          <w:sz w:val="32"/>
          <w:szCs w:val="32"/>
          <w:lang w:val="en-US" w:eastAsia="zh-CN"/>
        </w:rPr>
        <w:t>关于印发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地方政府债券发行管理办法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财库</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43号。</w:t>
      </w:r>
    </w:p>
    <w:p w14:paraId="095FF3A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5、《中华人民共和国预算法》</w:t>
      </w:r>
    </w:p>
    <w:p w14:paraId="58819D1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6、《财政专项资金管理办法》</w:t>
      </w:r>
    </w:p>
    <w:p w14:paraId="4C76F82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7、关于印发《衡阳市市直机关会议费管理办法》的通知衡财行〔2018〕463号。</w:t>
      </w:r>
    </w:p>
    <w:p w14:paraId="4CD93FB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8、关于印发《行政事业单位内部控制规范（试行）》的通知财会〔2012〕21号。</w:t>
      </w:r>
    </w:p>
    <w:p w14:paraId="531721E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9、事业单位国有资产管理暂行办法（2019修订）。</w:t>
      </w:r>
    </w:p>
    <w:p w14:paraId="4391BE9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10、关于印发《湖南省省直党政机关和参公事业单位国有资产管理办法》的通知湘政办发〔2021〕59号。</w:t>
      </w:r>
    </w:p>
    <w:p w14:paraId="63EC011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11、关于印发《衡阳市市直行政事业单位国有资产配置管理办法》的通知衡财资〔2021〕482号。</w:t>
      </w:r>
    </w:p>
    <w:p w14:paraId="4C67DEC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12、关于印发《湖南省省级行政事业单位通用办公设备和办公家具配置限额标准》的通知湘政资〔2020〕15号。</w:t>
      </w:r>
    </w:p>
    <w:p w14:paraId="36A5A86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13、关于修改《事业单位国有资产管理暂行办法》的决定财政部令第100号。</w:t>
      </w:r>
    </w:p>
    <w:p w14:paraId="1BAE7B5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14、关于印发《衡阳市市直机关差旅费管理办法》的通知衡财行〔2019〕248号。</w:t>
      </w:r>
    </w:p>
    <w:p w14:paraId="3AEBA1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15、违反中央八项规定精神问题月报数据填报说明。</w:t>
      </w:r>
    </w:p>
    <w:p w14:paraId="5D2E823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16、党政机关厉行节约反对浪费条例2013。</w:t>
      </w:r>
    </w:p>
    <w:p w14:paraId="0D4C801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17、中央八项规定中对于国家公职人员涉及财务的80项禁止行为。</w:t>
      </w:r>
    </w:p>
    <w:p w14:paraId="4AF561C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18、关于《明确市直党政机关公务活动用餐有关事项》的通知衡财行〔2018〕467号。</w:t>
      </w:r>
    </w:p>
    <w:p w14:paraId="71A41B9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19、衡阳市市直机关培训费管理办法衡财行[2017]409号。</w:t>
      </w:r>
    </w:p>
    <w:p w14:paraId="34DA055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衡阳市财政局文件衡财行[2018]467号关于明确市直党政机关公务活动用餐有关事项的通知。</w:t>
      </w:r>
    </w:p>
    <w:p w14:paraId="73E24FF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21、中共衡阳市委办公室 衡阳市人民政府办公室文件衡办发[2025]6号《衡阳市委党政机关国内公务接待管理办法》的通知。</w:t>
      </w:r>
    </w:p>
    <w:p w14:paraId="18017CD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22、</w:t>
      </w:r>
      <w:r>
        <w:rPr>
          <w:rFonts w:hint="eastAsia" w:ascii="仿宋" w:hAnsi="仿宋" w:eastAsia="仿宋" w:cs="仿宋"/>
          <w:sz w:val="32"/>
          <w:szCs w:val="32"/>
          <w:lang w:eastAsia="zh-CN"/>
        </w:rPr>
        <w:t>预算批复时确定的绩效目标及指标，预算部门年度预算执行情况，年度决算报告等相关材料。</w:t>
      </w:r>
    </w:p>
    <w:p w14:paraId="1CC63E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23、</w:t>
      </w:r>
      <w:r>
        <w:rPr>
          <w:rFonts w:hint="eastAsia" w:ascii="仿宋" w:hAnsi="仿宋" w:eastAsia="仿宋" w:cs="仿宋"/>
          <w:sz w:val="32"/>
          <w:szCs w:val="32"/>
          <w:lang w:eastAsia="zh-CN"/>
        </w:rPr>
        <w:t>其他与本次</w:t>
      </w:r>
      <w:r>
        <w:rPr>
          <w:rFonts w:hint="eastAsia" w:ascii="仿宋" w:hAnsi="仿宋" w:eastAsia="仿宋" w:cs="仿宋"/>
          <w:sz w:val="32"/>
          <w:szCs w:val="32"/>
          <w:lang w:val="en-US" w:eastAsia="zh-CN"/>
        </w:rPr>
        <w:t>绩效评价</w:t>
      </w:r>
      <w:r>
        <w:rPr>
          <w:rFonts w:hint="eastAsia" w:ascii="仿宋" w:hAnsi="仿宋" w:eastAsia="仿宋" w:cs="仿宋"/>
          <w:sz w:val="32"/>
          <w:szCs w:val="32"/>
          <w:lang w:eastAsia="zh-CN"/>
        </w:rPr>
        <w:t>有关的政策文件。</w:t>
      </w:r>
    </w:p>
    <w:p w14:paraId="15E7ED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3" w:firstLineChars="200"/>
        <w:jc w:val="both"/>
        <w:textAlignment w:val="auto"/>
        <w:outlineLvl w:val="1"/>
        <w:rPr>
          <w:rFonts w:hint="default" w:ascii="楷体" w:hAnsi="楷体" w:eastAsia="楷体" w:cs="楷体"/>
          <w:b/>
          <w:bCs/>
          <w:sz w:val="32"/>
          <w:szCs w:val="32"/>
          <w:lang w:val="en-US"/>
        </w:rPr>
      </w:pPr>
      <w:bookmarkStart w:id="20" w:name="_Toc9463"/>
      <w:r>
        <w:rPr>
          <w:rFonts w:hint="eastAsia" w:ascii="楷体" w:hAnsi="楷体" w:eastAsia="楷体" w:cs="楷体"/>
          <w:b/>
          <w:bCs/>
          <w:sz w:val="32"/>
          <w:szCs w:val="32"/>
        </w:rPr>
        <w:t>（三）</w:t>
      </w:r>
      <w:bookmarkEnd w:id="15"/>
      <w:bookmarkEnd w:id="16"/>
      <w:r>
        <w:rPr>
          <w:rFonts w:hint="eastAsia" w:ascii="楷体" w:hAnsi="楷体" w:eastAsia="楷体" w:cs="楷体"/>
          <w:b/>
          <w:bCs/>
          <w:sz w:val="32"/>
          <w:szCs w:val="32"/>
          <w:lang w:val="en-US" w:eastAsia="zh-CN"/>
        </w:rPr>
        <w:t>评价方法和目的</w:t>
      </w:r>
      <w:bookmarkEnd w:id="17"/>
      <w:bookmarkEnd w:id="18"/>
      <w:bookmarkEnd w:id="20"/>
    </w:p>
    <w:p w14:paraId="242A6CB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我们</w:t>
      </w:r>
      <w:r>
        <w:rPr>
          <w:rFonts w:hint="eastAsia" w:ascii="仿宋" w:hAnsi="仿宋" w:eastAsia="仿宋" w:cs="仿宋"/>
          <w:sz w:val="32"/>
          <w:szCs w:val="32"/>
          <w:lang w:eastAsia="zh-CN"/>
        </w:rPr>
        <w:t>通过</w:t>
      </w:r>
      <w:r>
        <w:rPr>
          <w:rFonts w:hint="eastAsia" w:ascii="仿宋" w:hAnsi="仿宋" w:eastAsia="仿宋" w:cs="仿宋"/>
          <w:sz w:val="32"/>
          <w:szCs w:val="32"/>
          <w:lang w:val="en-US" w:eastAsia="zh-CN"/>
        </w:rPr>
        <w:t>听取情况介绍、进行实地核查、发放调查问卷、对照复核及分析等方式，对区委组织部提供的相关资料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进行核对与审查，分析与评价内部管理及控制情况，贯彻落实厉行节约、严控“三公”经费、降低一般运行经费、加强项目支出管理、核实资金结余情况，</w:t>
      </w:r>
      <w:r>
        <w:rPr>
          <w:rFonts w:hint="eastAsia" w:ascii="仿宋" w:hAnsi="仿宋" w:eastAsia="仿宋" w:cs="仿宋"/>
          <w:sz w:val="32"/>
          <w:szCs w:val="32"/>
          <w:highlight w:val="none"/>
          <w:lang w:val="en-US" w:eastAsia="zh-CN"/>
        </w:rPr>
        <w:t>强化政府责任与透明度，全面衡量公共资金使用的经济性、效率性、效益性和可持续性，系统性地检视资金使用全流程，确保公共资源发挥</w:t>
      </w:r>
      <w:r>
        <w:rPr>
          <w:rFonts w:hint="eastAsia" w:ascii="仿宋" w:hAnsi="仿宋" w:eastAsia="仿宋" w:cs="仿宋"/>
          <w:sz w:val="32"/>
          <w:szCs w:val="32"/>
          <w:lang w:val="en-US" w:eastAsia="zh-CN"/>
        </w:rPr>
        <w:t>最大价值，同时为政策调整和预算优化提供依据。</w:t>
      </w:r>
    </w:p>
    <w:bookmarkEnd w:id="0"/>
    <w:bookmarkEnd w:id="19"/>
    <w:p w14:paraId="76AE3A3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sz w:val="32"/>
          <w:szCs w:val="32"/>
          <w:lang w:eastAsia="zh-CN"/>
        </w:rPr>
      </w:pPr>
      <w:bookmarkStart w:id="21" w:name="_Toc32697"/>
      <w:bookmarkStart w:id="22" w:name="_Toc24561"/>
      <w:bookmarkStart w:id="23" w:name="_Toc21063"/>
      <w:r>
        <w:rPr>
          <w:rFonts w:hint="eastAsia" w:ascii="黑体" w:hAnsi="黑体" w:eastAsia="黑体" w:cs="黑体"/>
          <w:sz w:val="32"/>
          <w:szCs w:val="32"/>
          <w:lang w:val="en-US" w:eastAsia="zh-CN"/>
        </w:rPr>
        <w:t>部门基本</w:t>
      </w:r>
      <w:r>
        <w:rPr>
          <w:rFonts w:hint="eastAsia" w:ascii="黑体" w:hAnsi="黑体" w:eastAsia="黑体" w:cs="黑体"/>
          <w:sz w:val="32"/>
          <w:szCs w:val="32"/>
          <w:lang w:eastAsia="zh-CN"/>
        </w:rPr>
        <w:t>情况</w:t>
      </w:r>
      <w:bookmarkEnd w:id="21"/>
      <w:bookmarkEnd w:id="22"/>
      <w:bookmarkEnd w:id="23"/>
    </w:p>
    <w:p w14:paraId="2A24FB9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24" w:name="_Toc11827"/>
      <w:r>
        <w:rPr>
          <w:rFonts w:hint="eastAsia" w:ascii="楷体" w:hAnsi="楷体" w:eastAsia="楷体" w:cs="楷体"/>
          <w:b/>
          <w:bCs/>
          <w:sz w:val="32"/>
          <w:szCs w:val="32"/>
          <w:lang w:eastAsia="zh-CN"/>
        </w:rPr>
        <w:t>部门</w:t>
      </w:r>
      <w:r>
        <w:rPr>
          <w:rFonts w:hint="eastAsia" w:ascii="楷体" w:hAnsi="楷体" w:eastAsia="楷体" w:cs="楷体"/>
          <w:b/>
          <w:bCs/>
          <w:sz w:val="32"/>
          <w:szCs w:val="32"/>
          <w:lang w:val="en-US" w:eastAsia="zh-CN"/>
        </w:rPr>
        <w:t>基本信息</w:t>
      </w:r>
      <w:bookmarkEnd w:id="24"/>
    </w:p>
    <w:p w14:paraId="3664BA6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楷体" w:hAnsi="楷体" w:eastAsia="楷体" w:cs="楷体"/>
          <w:b/>
          <w:bCs/>
          <w:sz w:val="32"/>
          <w:szCs w:val="32"/>
          <w:lang w:val="en-US" w:eastAsia="zh-CN"/>
        </w:rPr>
      </w:pPr>
      <w:r>
        <w:rPr>
          <w:rFonts w:hint="default" w:ascii="仿宋" w:hAnsi="仿宋" w:eastAsia="仿宋" w:cs="仿宋"/>
          <w:sz w:val="32"/>
          <w:szCs w:val="32"/>
          <w:lang w:val="en-US" w:eastAsia="zh-CN"/>
        </w:rPr>
        <w:t>统一社会信用代码11430403587015112G</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预算级次</w:t>
      </w:r>
      <w:r>
        <w:rPr>
          <w:rFonts w:hint="eastAsia" w:ascii="仿宋" w:hAnsi="仿宋" w:eastAsia="仿宋" w:cs="仿宋"/>
          <w:sz w:val="32"/>
          <w:szCs w:val="32"/>
          <w:lang w:val="en-US" w:eastAsia="zh-CN"/>
        </w:rPr>
        <w:t>为乡</w:t>
      </w:r>
      <w:r>
        <w:rPr>
          <w:rFonts w:hint="default" w:ascii="仿宋" w:hAnsi="仿宋" w:eastAsia="仿宋" w:cs="仿宋"/>
          <w:sz w:val="32"/>
          <w:szCs w:val="32"/>
          <w:lang w:val="en-US" w:eastAsia="zh-CN"/>
        </w:rPr>
        <w:t>级</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单位预算级次</w:t>
      </w:r>
      <w:r>
        <w:rPr>
          <w:rFonts w:hint="eastAsia" w:ascii="仿宋" w:hAnsi="仿宋" w:eastAsia="仿宋" w:cs="仿宋"/>
          <w:sz w:val="32"/>
          <w:szCs w:val="32"/>
          <w:lang w:val="en-US" w:eastAsia="zh-CN"/>
        </w:rPr>
        <w:t>为</w:t>
      </w:r>
      <w:r>
        <w:rPr>
          <w:rFonts w:hint="default" w:ascii="仿宋" w:hAnsi="仿宋" w:eastAsia="仿宋" w:cs="仿宋"/>
          <w:sz w:val="32"/>
          <w:szCs w:val="32"/>
          <w:lang w:val="en-US" w:eastAsia="zh-CN"/>
        </w:rPr>
        <w:t>一级预算单位</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单位经费保障方式</w:t>
      </w:r>
      <w:r>
        <w:rPr>
          <w:rFonts w:hint="eastAsia" w:ascii="仿宋" w:hAnsi="仿宋" w:eastAsia="仿宋" w:cs="仿宋"/>
          <w:sz w:val="32"/>
          <w:szCs w:val="32"/>
          <w:lang w:val="en-US" w:eastAsia="zh-CN"/>
        </w:rPr>
        <w:t>为</w:t>
      </w:r>
      <w:r>
        <w:rPr>
          <w:rFonts w:hint="default" w:ascii="仿宋" w:hAnsi="仿宋" w:eastAsia="仿宋" w:cs="仿宋"/>
          <w:sz w:val="32"/>
          <w:szCs w:val="32"/>
          <w:lang w:val="en-US" w:eastAsia="zh-CN"/>
        </w:rPr>
        <w:t>全额</w:t>
      </w:r>
      <w:r>
        <w:rPr>
          <w:rFonts w:hint="eastAsia" w:ascii="仿宋" w:hAnsi="仿宋" w:eastAsia="仿宋" w:cs="仿宋"/>
          <w:sz w:val="32"/>
          <w:szCs w:val="32"/>
          <w:lang w:val="en-US" w:eastAsia="zh-CN"/>
        </w:rPr>
        <w:t>。</w:t>
      </w:r>
    </w:p>
    <w:p w14:paraId="5EE58AC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highlight w:val="none"/>
          <w:lang w:val="en-US" w:eastAsia="zh-CN"/>
        </w:rPr>
      </w:pPr>
      <w:bookmarkStart w:id="25" w:name="_Toc16907"/>
      <w:r>
        <w:rPr>
          <w:rFonts w:hint="eastAsia" w:ascii="楷体" w:hAnsi="楷体" w:eastAsia="楷体" w:cs="楷体"/>
          <w:b/>
          <w:bCs/>
          <w:sz w:val="32"/>
          <w:szCs w:val="32"/>
          <w:highlight w:val="none"/>
          <w:lang w:eastAsia="zh-CN"/>
        </w:rPr>
        <w:t>（</w:t>
      </w:r>
      <w:r>
        <w:rPr>
          <w:rFonts w:hint="eastAsia" w:ascii="楷体" w:hAnsi="楷体" w:eastAsia="楷体" w:cs="楷体"/>
          <w:b/>
          <w:bCs/>
          <w:sz w:val="32"/>
          <w:szCs w:val="32"/>
          <w:highlight w:val="none"/>
          <w:lang w:val="en-US" w:eastAsia="zh-CN"/>
        </w:rPr>
        <w:t>二</w:t>
      </w:r>
      <w:r>
        <w:rPr>
          <w:rFonts w:hint="eastAsia" w:ascii="楷体" w:hAnsi="楷体" w:eastAsia="楷体" w:cs="楷体"/>
          <w:b/>
          <w:bCs/>
          <w:sz w:val="32"/>
          <w:szCs w:val="32"/>
          <w:highlight w:val="none"/>
          <w:lang w:eastAsia="zh-CN"/>
        </w:rPr>
        <w:t>）部门</w:t>
      </w:r>
      <w:r>
        <w:rPr>
          <w:rFonts w:hint="eastAsia" w:ascii="楷体" w:hAnsi="楷体" w:eastAsia="楷体" w:cs="楷体"/>
          <w:b/>
          <w:bCs/>
          <w:sz w:val="32"/>
          <w:szCs w:val="32"/>
          <w:highlight w:val="none"/>
          <w:lang w:val="en-US" w:eastAsia="zh-CN"/>
        </w:rPr>
        <w:t>主要职责</w:t>
      </w:r>
      <w:bookmarkEnd w:id="25"/>
    </w:p>
    <w:p w14:paraId="66EC695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一是党的组织建设：负责指导和推进全区各领域（机关、国企、社区、非公企业等）基层党组织建设、党员教育管理和发展、党费管理等工作。二是干部工作：负责区管领导班子和领导干部的选拔、考察、任免、管理和监督；负责年轻干部、女干部、党外干部等的培养选拔；负责干部教育培训和日常监督。三是公务员管理：负责全区公务员（含参照管理人员）的录用、登记、考核、奖惩、培训、工资福利、退休等综合管理工作。四是人才工作：牵头制定和实施人才政策，统筹协调各类人才队伍建设，负责高层次人才的引进、服务和管理。五是老干部工作：负责离休和退休干部的宏观管理，落实其政治待遇和生活待遇，组织开展相关活动。六是其他专项工作：可能还包括机构编制管理、绩效考核、党建引领基层治理（如“红色物业”等）。</w:t>
      </w:r>
    </w:p>
    <w:p w14:paraId="40CF435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eastAsia="zh-CN"/>
        </w:rPr>
      </w:pPr>
      <w:bookmarkStart w:id="26" w:name="_Toc22046"/>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部门</w:t>
      </w:r>
      <w:r>
        <w:rPr>
          <w:rFonts w:hint="eastAsia" w:ascii="楷体" w:hAnsi="楷体" w:eastAsia="楷体" w:cs="楷体"/>
          <w:b/>
          <w:bCs/>
          <w:sz w:val="32"/>
          <w:szCs w:val="32"/>
          <w:lang w:eastAsia="zh-CN"/>
        </w:rPr>
        <w:t>组织架构与人员</w:t>
      </w:r>
      <w:bookmarkEnd w:id="26"/>
    </w:p>
    <w:p w14:paraId="70F1384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1.内部机构设置</w:t>
      </w:r>
    </w:p>
    <w:p w14:paraId="294C914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未提供相关资料。</w:t>
      </w:r>
    </w:p>
    <w:p w14:paraId="1956EBC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2.编制及实有人员</w:t>
      </w:r>
    </w:p>
    <w:p w14:paraId="7A3428F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sz w:val="32"/>
          <w:szCs w:val="32"/>
          <w:lang w:val="en-US" w:eastAsia="zh-CN"/>
        </w:rPr>
        <w:t>截至2024年12月31日，退休人员7人。区委组织部编制19个，在编在岗人员23人，</w:t>
      </w:r>
      <w:r>
        <w:rPr>
          <w:rFonts w:hint="eastAsia" w:ascii="仿宋" w:hAnsi="仿宋" w:eastAsia="仿宋" w:cs="仿宋"/>
          <w:b/>
          <w:bCs/>
          <w:sz w:val="32"/>
          <w:szCs w:val="32"/>
          <w:lang w:val="en-US" w:eastAsia="zh-CN"/>
        </w:rPr>
        <w:t>人员控制率121.05%。</w:t>
      </w:r>
    </w:p>
    <w:p w14:paraId="5F8F430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27" w:name="_Toc2240"/>
      <w:r>
        <w:rPr>
          <w:rFonts w:hint="eastAsia" w:ascii="楷体" w:hAnsi="楷体" w:eastAsia="楷体" w:cs="楷体"/>
          <w:b/>
          <w:bCs/>
          <w:sz w:val="32"/>
          <w:szCs w:val="32"/>
          <w:lang w:val="en-US" w:eastAsia="zh-CN"/>
        </w:rPr>
        <w:t>部门2024年度职责履行及履职效益</w:t>
      </w:r>
      <w:bookmarkEnd w:id="27"/>
    </w:p>
    <w:p w14:paraId="293A1F11">
      <w:pPr>
        <w:pStyle w:val="5"/>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w:t>
      </w:r>
      <w:r>
        <w:rPr>
          <w:rFonts w:hint="eastAsia" w:ascii="仿宋" w:hAnsi="仿宋" w:eastAsia="仿宋" w:cs="仿宋"/>
          <w:b/>
          <w:bCs/>
          <w:sz w:val="32"/>
          <w:szCs w:val="32"/>
          <w:lang w:eastAsia="zh-CN"/>
        </w:rPr>
        <w:t>高质量</w:t>
      </w:r>
      <w:r>
        <w:rPr>
          <w:rFonts w:hint="eastAsia" w:ascii="仿宋" w:hAnsi="仿宋" w:eastAsia="仿宋" w:cs="仿宋"/>
          <w:b/>
          <w:bCs/>
          <w:sz w:val="32"/>
          <w:szCs w:val="32"/>
        </w:rPr>
        <w:t>开展党纪学习教育。</w:t>
      </w:r>
      <w:r>
        <w:rPr>
          <w:rFonts w:hint="eastAsia" w:ascii="仿宋" w:hAnsi="仿宋" w:eastAsia="仿宋" w:cs="仿宋"/>
          <w:b w:val="0"/>
          <w:bCs w:val="0"/>
          <w:color w:val="auto"/>
          <w:sz w:val="32"/>
          <w:szCs w:val="24"/>
        </w:rPr>
        <w:t>以高标准严要求推动党纪学习教育</w:t>
      </w:r>
      <w:r>
        <w:rPr>
          <w:rFonts w:hint="eastAsia" w:ascii="仿宋" w:hAnsi="仿宋" w:eastAsia="仿宋" w:cs="仿宋"/>
          <w:b w:val="0"/>
          <w:bCs w:val="0"/>
          <w:color w:val="auto"/>
          <w:sz w:val="32"/>
          <w:szCs w:val="24"/>
          <w:lang w:val="en-US" w:eastAsia="zh-CN"/>
        </w:rPr>
        <w:t>走深走实</w:t>
      </w:r>
      <w:r>
        <w:rPr>
          <w:rFonts w:hint="eastAsia" w:ascii="仿宋" w:hAnsi="仿宋" w:eastAsia="仿宋" w:cs="仿宋"/>
          <w:b w:val="0"/>
          <w:bCs w:val="0"/>
          <w:color w:val="auto"/>
          <w:sz w:val="32"/>
          <w:szCs w:val="24"/>
        </w:rPr>
        <w:t>，引导党员、干部真正把纪律规矩转化为政治自觉、思想自觉、行动自觉。</w:t>
      </w:r>
      <w:r>
        <w:rPr>
          <w:rFonts w:hint="eastAsia" w:ascii="仿宋" w:hAnsi="仿宋" w:eastAsia="仿宋" w:cs="仿宋"/>
          <w:b/>
          <w:bCs/>
          <w:color w:val="auto"/>
          <w:sz w:val="32"/>
          <w:szCs w:val="24"/>
        </w:rPr>
        <w:t>一是原原本本学《条例》。</w:t>
      </w:r>
      <w:r>
        <w:rPr>
          <w:rFonts w:hint="eastAsia" w:ascii="仿宋" w:hAnsi="仿宋" w:eastAsia="仿宋" w:cs="仿宋"/>
          <w:color w:val="auto"/>
          <w:sz w:val="32"/>
          <w:szCs w:val="32"/>
        </w:rPr>
        <w:t>组织</w:t>
      </w:r>
      <w:r>
        <w:rPr>
          <w:rFonts w:hint="eastAsia" w:ascii="仿宋" w:hAnsi="仿宋" w:eastAsia="仿宋" w:cs="仿宋"/>
          <w:color w:val="auto"/>
          <w:sz w:val="32"/>
          <w:szCs w:val="32"/>
          <w:lang w:eastAsia="zh-CN"/>
        </w:rPr>
        <w:t>四大家县</w:t>
      </w:r>
      <w:r>
        <w:rPr>
          <w:rFonts w:hint="eastAsia" w:ascii="仿宋" w:hAnsi="仿宋" w:eastAsia="仿宋" w:cs="仿宋"/>
          <w:color w:val="auto"/>
          <w:sz w:val="32"/>
          <w:szCs w:val="32"/>
        </w:rPr>
        <w:t>级领导干部先后开展党纪学习教育读书班1期、专题研讨4次，发放《条例》1万册，推动384个党支部组织9744名党员依托“一月一课一片一实践”抓好个人自学和每月集中讨论，全面把握内涵要义和实践要求。</w:t>
      </w:r>
      <w:r>
        <w:rPr>
          <w:rFonts w:hint="eastAsia" w:ascii="仿宋" w:hAnsi="仿宋" w:eastAsia="仿宋" w:cs="仿宋"/>
          <w:b/>
          <w:bCs/>
          <w:color w:val="auto"/>
          <w:sz w:val="32"/>
          <w:szCs w:val="24"/>
        </w:rPr>
        <w:t>二是强化警示教育。</w:t>
      </w:r>
      <w:r>
        <w:rPr>
          <w:rFonts w:hint="eastAsia" w:ascii="仿宋" w:hAnsi="仿宋" w:eastAsia="仿宋" w:cs="仿宋"/>
          <w:color w:val="auto"/>
          <w:sz w:val="32"/>
          <w:szCs w:val="32"/>
        </w:rPr>
        <w:t>召开区委警示教育会，带动党员观看警示教育片13165人次，参加警示教育实践活动9348人次。先后下发《条例》分则案例解读、《雁峰区基层党员干部违纪违法典型案例汇编》700余册，基层党组织书记讲纪律党课486次，党员、干部讲微党课359次。</w:t>
      </w:r>
      <w:r>
        <w:rPr>
          <w:rFonts w:hint="eastAsia" w:ascii="仿宋" w:hAnsi="仿宋" w:eastAsia="仿宋" w:cs="仿宋"/>
          <w:b/>
          <w:bCs/>
          <w:color w:val="auto"/>
          <w:sz w:val="32"/>
          <w:szCs w:val="24"/>
        </w:rPr>
        <w:t>三是深化解读培训检视。</w:t>
      </w:r>
      <w:r>
        <w:rPr>
          <w:rFonts w:hint="eastAsia" w:ascii="仿宋" w:hAnsi="仿宋" w:eastAsia="仿宋" w:cs="仿宋"/>
          <w:color w:val="auto"/>
          <w:sz w:val="32"/>
          <w:szCs w:val="32"/>
        </w:rPr>
        <w:t>35名县级领导带头自学《条例》解读专栏7门网络课程，基层党组织向党员干部线上推送解读文章和网络课程。“送课下基层”活动中累计向基层党组织送学送教162场次，</w:t>
      </w:r>
      <w:r>
        <w:rPr>
          <w:rFonts w:hint="eastAsia" w:ascii="仿宋" w:hAnsi="仿宋" w:eastAsia="仿宋" w:cs="仿宋"/>
          <w:color w:val="auto"/>
          <w:sz w:val="32"/>
          <w:szCs w:val="32"/>
          <w:lang w:eastAsia="zh-CN"/>
        </w:rPr>
        <w:t>受</w:t>
      </w:r>
      <w:r>
        <w:rPr>
          <w:rFonts w:hint="eastAsia" w:ascii="仿宋" w:hAnsi="仿宋" w:eastAsia="仿宋" w:cs="仿宋"/>
          <w:color w:val="auto"/>
          <w:sz w:val="32"/>
          <w:szCs w:val="32"/>
        </w:rPr>
        <w:t>训4665人次。广大党组织和党员在4次学习讨论中对照《条例》规定，检视单位及个人在遵规守纪等方面的不足并有针对性地强化防范措施，有力推动了全区党纪学习教育走实走深。</w:t>
      </w:r>
    </w:p>
    <w:p w14:paraId="3F06AA13">
      <w:pPr>
        <w:pStyle w:val="5"/>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全链条</w:t>
      </w:r>
      <w:r>
        <w:rPr>
          <w:rFonts w:hint="eastAsia" w:ascii="仿宋" w:hAnsi="仿宋" w:eastAsia="仿宋" w:cs="仿宋"/>
          <w:b/>
          <w:bCs/>
          <w:sz w:val="32"/>
          <w:szCs w:val="32"/>
        </w:rPr>
        <w:t>推进干部队伍建设。</w:t>
      </w:r>
      <w:r>
        <w:rPr>
          <w:rFonts w:hint="eastAsia" w:ascii="仿宋" w:hAnsi="仿宋" w:eastAsia="仿宋" w:cs="仿宋"/>
          <w:sz w:val="32"/>
          <w:szCs w:val="32"/>
        </w:rPr>
        <w:t>严格按照相关规定开展干部培养、选拔、任用和管理工作，着力打造忠诚干净担当的高素质专业化干部队伍。《营造风清气正用人环境 让干部担当作为蔚然成风》《聚力“选育管用” 锻造高素质公务员队伍》《“三个聚焦”增强干部人事档案管理质效》等工作经验被省委组织部红星云、红星网推介。</w:t>
      </w:r>
      <w:r>
        <w:rPr>
          <w:rFonts w:hint="eastAsia" w:ascii="仿宋" w:hAnsi="仿宋" w:eastAsia="仿宋" w:cs="仿宋"/>
          <w:b/>
          <w:bCs/>
          <w:color w:val="auto"/>
          <w:sz w:val="32"/>
          <w:szCs w:val="24"/>
        </w:rPr>
        <w:t>一是扎实开展干部教育培训。</w:t>
      </w:r>
      <w:r>
        <w:rPr>
          <w:rFonts w:hint="eastAsia" w:ascii="仿宋" w:hAnsi="仿宋" w:eastAsia="仿宋" w:cs="仿宋"/>
          <w:sz w:val="32"/>
          <w:szCs w:val="32"/>
          <w:lang w:val="en-US" w:eastAsia="zh-CN"/>
        </w:rPr>
        <w:t>坚持线上线下“双培训”推动干部教育</w:t>
      </w:r>
      <w:r>
        <w:rPr>
          <w:rFonts w:hint="eastAsia" w:ascii="仿宋" w:hAnsi="仿宋" w:eastAsia="仿宋" w:cs="仿宋"/>
          <w:color w:val="auto"/>
          <w:sz w:val="32"/>
          <w:szCs w:val="32"/>
          <w:lang w:val="en-US" w:eastAsia="zh-CN"/>
        </w:rPr>
        <w:t>入脑入心。</w:t>
      </w:r>
      <w:r>
        <w:rPr>
          <w:rFonts w:hint="eastAsia" w:ascii="仿宋" w:hAnsi="仿宋" w:eastAsia="仿宋" w:cs="仿宋"/>
          <w:sz w:val="32"/>
          <w:szCs w:val="32"/>
          <w:lang w:val="en-US" w:eastAsia="zh-CN"/>
        </w:rPr>
        <w:t>实现全区公务员及副科以上干部线上教育学习平台已学率通过率“双百”目标，配合省委、市委党校专题班、主体班调训101人次，为全区重要关键岗位干部征订第六批全国干部学习培训教材278套；党的</w:t>
      </w:r>
      <w:bookmarkStart w:id="52" w:name="_GoBack"/>
      <w:r>
        <w:rPr>
          <w:rFonts w:hint="eastAsia" w:ascii="仿宋" w:hAnsi="仿宋" w:eastAsia="仿宋" w:cs="仿宋"/>
          <w:sz w:val="32"/>
          <w:szCs w:val="32"/>
          <w:lang w:val="en-US" w:eastAsia="zh-CN"/>
        </w:rPr>
        <w:t>二十届三中全会精神</w:t>
      </w:r>
      <w:bookmarkEnd w:id="52"/>
      <w:r>
        <w:rPr>
          <w:rFonts w:hint="eastAsia" w:ascii="仿宋" w:hAnsi="仿宋" w:eastAsia="仿宋" w:cs="仿宋"/>
          <w:sz w:val="32"/>
          <w:szCs w:val="32"/>
          <w:lang w:val="en-US" w:eastAsia="zh-CN"/>
        </w:rPr>
        <w:t>学习全覆盖，依托学习强国、共产党员网、干部在线等平台，结合“一月一课一片一实践”支部活动，开展学习研讨2100余人次，并向7600余名基层党员延伸。</w:t>
      </w:r>
      <w:r>
        <w:rPr>
          <w:rFonts w:hint="eastAsia" w:ascii="仿宋" w:hAnsi="仿宋" w:eastAsia="仿宋" w:cs="仿宋"/>
          <w:b/>
          <w:bCs/>
          <w:color w:val="auto"/>
          <w:sz w:val="32"/>
          <w:szCs w:val="24"/>
        </w:rPr>
        <w:t>二是</w:t>
      </w:r>
      <w:r>
        <w:rPr>
          <w:rFonts w:hint="eastAsia" w:ascii="仿宋" w:hAnsi="仿宋" w:eastAsia="仿宋" w:cs="仿宋"/>
          <w:b/>
          <w:bCs/>
          <w:color w:val="auto"/>
          <w:sz w:val="32"/>
          <w:szCs w:val="24"/>
          <w:lang w:eastAsia="zh-CN"/>
        </w:rPr>
        <w:t>切实做好选人用人工作</w:t>
      </w:r>
      <w:r>
        <w:rPr>
          <w:rFonts w:hint="eastAsia" w:ascii="仿宋" w:hAnsi="仿宋" w:eastAsia="仿宋" w:cs="仿宋"/>
          <w:b/>
          <w:bCs/>
          <w:color w:val="auto"/>
          <w:sz w:val="32"/>
          <w:szCs w:val="24"/>
        </w:rPr>
        <w:t>。</w:t>
      </w:r>
      <w:r>
        <w:rPr>
          <w:rFonts w:hint="eastAsia" w:ascii="仿宋" w:hAnsi="仿宋" w:eastAsia="仿宋" w:cs="仿宋"/>
          <w:sz w:val="32"/>
          <w:szCs w:val="32"/>
          <w:lang w:val="en-US" w:eastAsia="zh-CN"/>
        </w:rPr>
        <w:t>坚持党管干部原则和新时代好干部标准，调</w:t>
      </w:r>
      <w:r>
        <w:rPr>
          <w:rFonts w:hint="eastAsia" w:ascii="仿宋" w:hAnsi="仿宋" w:eastAsia="仿宋" w:cs="仿宋"/>
          <w:color w:val="auto"/>
          <w:sz w:val="32"/>
          <w:szCs w:val="32"/>
        </w:rPr>
        <w:t>整干部</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44</w:t>
      </w:r>
      <w:r>
        <w:rPr>
          <w:rFonts w:hint="eastAsia" w:ascii="仿宋" w:hAnsi="仿宋" w:eastAsia="仿宋" w:cs="仿宋"/>
          <w:color w:val="auto"/>
          <w:sz w:val="32"/>
          <w:szCs w:val="32"/>
          <w:lang w:eastAsia="zh-CN"/>
        </w:rPr>
        <w:t>人次，</w:t>
      </w:r>
      <w:r>
        <w:rPr>
          <w:rFonts w:hint="eastAsia" w:ascii="仿宋" w:hAnsi="仿宋" w:eastAsia="仿宋" w:cs="仿宋"/>
          <w:b w:val="0"/>
          <w:bCs w:val="0"/>
          <w:color w:val="auto"/>
          <w:kern w:val="2"/>
          <w:sz w:val="32"/>
          <w:szCs w:val="32"/>
          <w:highlight w:val="none"/>
          <w:lang w:val="en-US" w:eastAsia="zh-CN" w:bidi="ar-SA"/>
        </w:rPr>
        <w:t>推荐1名90后干部提拔副处</w:t>
      </w:r>
      <w:r>
        <w:rPr>
          <w:rFonts w:hint="eastAsia" w:ascii="仿宋" w:hAnsi="仿宋" w:eastAsia="仿宋" w:cs="仿宋"/>
          <w:color w:val="auto"/>
          <w:sz w:val="32"/>
          <w:szCs w:val="32"/>
          <w:lang w:eastAsia="zh-CN"/>
        </w:rPr>
        <w:t>；</w:t>
      </w:r>
      <w:r>
        <w:rPr>
          <w:rFonts w:hint="eastAsia" w:ascii="仿宋" w:hAnsi="仿宋" w:eastAsia="仿宋" w:cs="仿宋"/>
          <w:sz w:val="32"/>
          <w:szCs w:val="32"/>
          <w:lang w:val="en-US" w:eastAsia="zh-CN"/>
        </w:rPr>
        <w:t>强化干部梯队培养，</w:t>
      </w:r>
      <w:r>
        <w:rPr>
          <w:rFonts w:hint="eastAsia" w:ascii="仿宋" w:hAnsi="仿宋" w:eastAsia="仿宋" w:cs="仿宋"/>
          <w:color w:val="auto"/>
          <w:sz w:val="32"/>
          <w:szCs w:val="32"/>
          <w:lang w:val="en-US" w:eastAsia="zh-CN"/>
        </w:rPr>
        <w:t>全区现有年轻干部87名，占全区科级实职干部近25%，其中区直党政部门现有年轻干部的班子数占比57.5%，乡镇党政班子年轻干部占比39.2%</w:t>
      </w:r>
      <w:r>
        <w:rPr>
          <w:rFonts w:hint="eastAsia" w:ascii="仿宋" w:hAnsi="仿宋" w:eastAsia="仿宋" w:cs="仿宋"/>
          <w:sz w:val="32"/>
          <w:szCs w:val="32"/>
          <w:lang w:val="en-US" w:eastAsia="zh-CN"/>
        </w:rPr>
        <w:t>；积极响应机构改革，率先在全市揭牌成立雁峰区委社会工作部</w:t>
      </w:r>
      <w:r>
        <w:rPr>
          <w:rFonts w:hint="eastAsia" w:ascii="仿宋" w:hAnsi="仿宋" w:eastAsia="仿宋" w:cs="仿宋"/>
          <w:b w:val="0"/>
          <w:bCs w:val="0"/>
          <w:color w:val="0000FF"/>
          <w:kern w:val="2"/>
          <w:sz w:val="32"/>
          <w:szCs w:val="32"/>
          <w:highlight w:val="none"/>
          <w:lang w:val="en-US" w:eastAsia="zh-CN" w:bidi="ar-SA"/>
        </w:rPr>
        <w:t>。</w:t>
      </w:r>
      <w:r>
        <w:rPr>
          <w:rFonts w:hint="eastAsia" w:ascii="仿宋" w:hAnsi="仿宋" w:eastAsia="仿宋" w:cs="仿宋"/>
          <w:b w:val="0"/>
          <w:bCs w:val="0"/>
          <w:color w:val="auto"/>
          <w:kern w:val="2"/>
          <w:sz w:val="32"/>
          <w:szCs w:val="32"/>
          <w:highlight w:val="none"/>
          <w:lang w:val="en-US" w:eastAsia="zh-CN" w:bidi="ar-SA"/>
        </w:rPr>
        <w:t>为镇街各新增1个事业单位副科领导岗位，拓宽镇街事业编制人员上升通道，并从基层和年轻干部中选优选强及时配备到位；开展定点</w:t>
      </w:r>
      <w:r>
        <w:rPr>
          <w:rFonts w:hint="eastAsia" w:ascii="仿宋" w:hAnsi="仿宋" w:eastAsia="仿宋" w:cs="仿宋"/>
          <w:b w:val="0"/>
          <w:bCs/>
          <w:color w:val="auto"/>
          <w:sz w:val="32"/>
          <w:szCs w:val="32"/>
          <w:lang w:eastAsia="zh-CN"/>
        </w:rPr>
        <w:t>帮扶及驻村帮扶工作</w:t>
      </w:r>
      <w:r>
        <w:rPr>
          <w:rFonts w:hint="eastAsia" w:ascii="仿宋" w:hAnsi="仿宋" w:eastAsia="仿宋" w:cs="仿宋"/>
          <w:b w:val="0"/>
          <w:bCs w:val="0"/>
          <w:color w:val="auto"/>
          <w:kern w:val="2"/>
          <w:sz w:val="32"/>
          <w:szCs w:val="32"/>
          <w:highlight w:val="none"/>
          <w:lang w:val="en-US" w:eastAsia="zh-CN" w:bidi="ar-SA"/>
        </w:rPr>
        <w:t>，选派1名优秀年轻干部到定点帮扶县永顺泽家镇挂职锻炼，对接联系两名新疆鄯善县干部到岳屏镇跟班学习。选</w:t>
      </w:r>
      <w:r>
        <w:rPr>
          <w:rFonts w:hint="eastAsia" w:ascii="仿宋" w:hAnsi="仿宋" w:eastAsia="仿宋" w:cs="仿宋"/>
          <w:color w:val="auto"/>
          <w:sz w:val="32"/>
          <w:szCs w:val="32"/>
        </w:rPr>
        <w:t>派涉农工作经验丰富的二级主任科员颜晓文担任山林村驻村第一书记、工作队长。</w:t>
      </w:r>
      <w:r>
        <w:rPr>
          <w:rFonts w:hint="eastAsia" w:ascii="仿宋" w:hAnsi="仿宋" w:eastAsia="仿宋" w:cs="仿宋"/>
          <w:color w:val="auto"/>
          <w:sz w:val="32"/>
          <w:szCs w:val="32"/>
          <w:lang w:eastAsia="zh-CN"/>
        </w:rPr>
        <w:t>第二轮乡村振兴驻村工作开启以来，先后有</w:t>
      </w:r>
      <w:r>
        <w:rPr>
          <w:rFonts w:hint="eastAsia" w:ascii="仿宋" w:hAnsi="仿宋" w:eastAsia="仿宋" w:cs="仿宋"/>
          <w:color w:val="auto"/>
          <w:sz w:val="32"/>
          <w:szCs w:val="32"/>
          <w:lang w:val="en-US" w:eastAsia="zh-CN"/>
        </w:rPr>
        <w:t>3名干部得到晋升提</w:t>
      </w:r>
      <w:r>
        <w:rPr>
          <w:rFonts w:hint="eastAsia" w:ascii="仿宋" w:hAnsi="仿宋" w:eastAsia="仿宋" w:cs="仿宋"/>
          <w:b w:val="0"/>
          <w:bCs w:val="0"/>
          <w:color w:val="auto"/>
          <w:kern w:val="2"/>
          <w:sz w:val="32"/>
          <w:szCs w:val="32"/>
          <w:highlight w:val="none"/>
          <w:lang w:val="en-US" w:eastAsia="zh-CN" w:bidi="ar-SA"/>
        </w:rPr>
        <w:t>拔；加强选调生培养管理工作，依时依规开展好接收、试用期满转正定级、驻村期满考核等工作，及时发放选调生相关补贴6.48万元。</w:t>
      </w:r>
      <w:r>
        <w:rPr>
          <w:rFonts w:hint="eastAsia" w:ascii="仿宋" w:hAnsi="仿宋" w:eastAsia="仿宋" w:cs="仿宋"/>
          <w:b/>
          <w:bCs/>
          <w:color w:val="auto"/>
          <w:sz w:val="32"/>
          <w:szCs w:val="24"/>
          <w:lang w:val="en-US" w:eastAsia="zh-CN"/>
        </w:rPr>
        <w:t>三是建立完善正向激励机制。</w:t>
      </w:r>
      <w:r>
        <w:rPr>
          <w:rFonts w:hint="eastAsia" w:ascii="仿宋" w:hAnsi="仿宋" w:eastAsia="仿宋" w:cs="仿宋"/>
          <w:sz w:val="32"/>
          <w:szCs w:val="32"/>
          <w:lang w:val="en-US" w:eastAsia="zh-CN"/>
        </w:rPr>
        <w:t>职级职员晋升时优先财政、信访两项工作获全省真抓实干成效明显荣誉的18名一线同志，推荐3名同志获评2023年度衡阳市“闯创干”先进个人二等奖和三等奖；持续倾斜基层，2名扎根基层多年的公务员优先晋升四级调研员，镇街三、四级调研员职级职数使用率达80%，实现每个镇街都有1名以上较高职级干部。面向村（社区）党组书记考核招聘6名镇街事业编制人员</w:t>
      </w:r>
      <w:r>
        <w:rPr>
          <w:rFonts w:hint="eastAsia" w:ascii="仿宋" w:hAnsi="仿宋" w:eastAsia="仿宋" w:cs="仿宋"/>
          <w:color w:val="auto"/>
          <w:sz w:val="32"/>
          <w:szCs w:val="32"/>
          <w:lang w:val="en-US" w:eastAsia="zh-CN"/>
        </w:rPr>
        <w:t>；出台《雁峰区未担任领导职务的区管职级公务员管理操作办法（暂行）补充规定》，激励职级公务员奋进担当。</w:t>
      </w:r>
      <w:r>
        <w:rPr>
          <w:rFonts w:hint="eastAsia" w:ascii="仿宋" w:hAnsi="仿宋" w:eastAsia="仿宋" w:cs="仿宋"/>
          <w:b/>
          <w:bCs/>
          <w:color w:val="auto"/>
          <w:sz w:val="32"/>
          <w:szCs w:val="24"/>
          <w:lang w:val="en-US" w:eastAsia="zh-CN"/>
        </w:rPr>
        <w:t>四是开展干部信息重点复审。</w:t>
      </w:r>
      <w:r>
        <w:rPr>
          <w:rFonts w:hint="eastAsia" w:ascii="仿宋" w:hAnsi="仿宋" w:eastAsia="仿宋" w:cs="仿宋"/>
          <w:b w:val="0"/>
          <w:bCs w:val="0"/>
          <w:color w:val="auto"/>
          <w:sz w:val="32"/>
          <w:szCs w:val="32"/>
          <w:highlight w:val="none"/>
          <w:lang w:val="en-US" w:eastAsia="zh-CN"/>
        </w:rPr>
        <w:t>针对70余份关键岗位干部、年轻优秀干部以及存疑问题档案开展重点复审，排查“三龄两历一身份”、入党程序、任免程序等重要信息，确保档案材料完整性。</w:t>
      </w:r>
      <w:r>
        <w:rPr>
          <w:rFonts w:hint="eastAsia" w:ascii="仿宋" w:hAnsi="仿宋" w:eastAsia="仿宋" w:cs="仿宋"/>
          <w:b/>
          <w:bCs/>
          <w:color w:val="auto"/>
          <w:sz w:val="32"/>
          <w:szCs w:val="24"/>
          <w:lang w:val="en-US" w:eastAsia="zh-CN"/>
        </w:rPr>
        <w:t>五是用心服务老干关爱青少年。</w:t>
      </w:r>
      <w:r>
        <w:rPr>
          <w:rFonts w:hint="eastAsia" w:ascii="仿宋" w:hAnsi="仿宋" w:eastAsia="仿宋" w:cs="仿宋"/>
          <w:b w:val="0"/>
          <w:bCs w:val="0"/>
          <w:color w:val="auto"/>
          <w:kern w:val="2"/>
          <w:sz w:val="32"/>
          <w:szCs w:val="32"/>
          <w:highlight w:val="none"/>
          <w:lang w:val="en-US" w:eastAsia="zh-CN" w:bidi="ar-SA"/>
        </w:rPr>
        <w:t>开展“讲好身边故事，传承优良家风”系列活动，老干部集体金婚庆典活动宣传稿在人民日报社主管的国家一类新闻网站发表；做好离休干部“红色档案”收集整理工作，协助离休干部黄厚瑜拍摄大型历史纪录片《为有牺牲多壮志》；推动区委离退休干部党支部和白竹皂社区退休干部党支部创建省、市示范支部；落实关爱青少年“身心”健康双行动，组织小学生体质健康公益检测活动。开展“薪火‘湘’传 强国有我”文艺汇演，获市领导的高度评价。</w:t>
      </w:r>
    </w:p>
    <w:p w14:paraId="13BBABEF">
      <w:pPr>
        <w:pStyle w:val="5"/>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w:t>
      </w:r>
      <w:r>
        <w:rPr>
          <w:rFonts w:hint="eastAsia" w:ascii="仿宋" w:hAnsi="仿宋" w:eastAsia="仿宋" w:cs="仿宋"/>
          <w:b/>
          <w:bCs/>
          <w:sz w:val="32"/>
          <w:szCs w:val="32"/>
          <w:lang w:eastAsia="zh-CN"/>
        </w:rPr>
        <w:t>多措施</w:t>
      </w:r>
      <w:r>
        <w:rPr>
          <w:rFonts w:hint="eastAsia" w:ascii="仿宋" w:hAnsi="仿宋" w:eastAsia="仿宋" w:cs="仿宋"/>
          <w:b/>
          <w:bCs/>
          <w:sz w:val="32"/>
          <w:szCs w:val="32"/>
        </w:rPr>
        <w:t>做优人才选育管用。</w:t>
      </w:r>
      <w:r>
        <w:rPr>
          <w:rFonts w:hint="eastAsia" w:ascii="仿宋" w:hAnsi="仿宋" w:eastAsia="仿宋" w:cs="仿宋"/>
          <w:b w:val="0"/>
          <w:bCs w:val="0"/>
          <w:sz w:val="32"/>
          <w:szCs w:val="32"/>
          <w:lang w:val="en-US" w:eastAsia="zh-CN"/>
        </w:rPr>
        <w:t>始终坚持以习近平总书记关于做好新时代人才工作的重要思想为指导，坚定不移实施新时代人才强区战略，紧扣创新驱动引才聚才，为我区经济社会高质量发展提供坚实的人才保障和智力支撑。</w:t>
      </w:r>
      <w:r>
        <w:rPr>
          <w:rFonts w:hint="eastAsia" w:ascii="仿宋" w:hAnsi="仿宋" w:eastAsia="仿宋" w:cs="仿宋"/>
          <w:b/>
          <w:bCs/>
          <w:sz w:val="32"/>
          <w:szCs w:val="32"/>
          <w:lang w:val="en-US" w:eastAsia="zh-CN"/>
        </w:rPr>
        <w:t>一是坚持党管人才，落实人才优先政策。</w:t>
      </w:r>
      <w:r>
        <w:rPr>
          <w:rFonts w:hint="eastAsia" w:ascii="仿宋" w:hAnsi="仿宋" w:eastAsia="仿宋" w:cs="仿宋"/>
          <w:b/>
          <w:bCs/>
          <w:kern w:val="2"/>
          <w:sz w:val="32"/>
          <w:szCs w:val="32"/>
          <w:lang w:val="en-US" w:eastAsia="zh-CN" w:bidi="ar-SA"/>
        </w:rPr>
        <w:t>坚持党管人才原则。</w:t>
      </w:r>
      <w:r>
        <w:rPr>
          <w:rFonts w:hint="eastAsia" w:ascii="仿宋" w:hAnsi="仿宋" w:eastAsia="仿宋" w:cs="仿宋"/>
          <w:b w:val="0"/>
          <w:bCs w:val="0"/>
          <w:kern w:val="2"/>
          <w:sz w:val="32"/>
          <w:szCs w:val="32"/>
          <w:lang w:val="en-US" w:eastAsia="zh-CN" w:bidi="ar-SA"/>
        </w:rPr>
        <w:t>坚持党对人才工作的全面领导，贯彻落实中央、省委、衡阳市委人才工作会议精神，定期召开人才工作领导小组会议、人才工作联席会议，专题研究人才引进工作。将人才工作目标任务纳入绩效评估考核内容，全面压实“一把手”抓“第一资源”责任，推动形成齐抓共管的人才工作格局。</w:t>
      </w:r>
      <w:r>
        <w:rPr>
          <w:rFonts w:hint="eastAsia" w:ascii="仿宋" w:hAnsi="仿宋" w:eastAsia="仿宋" w:cs="仿宋"/>
          <w:b/>
          <w:bCs/>
          <w:kern w:val="2"/>
          <w:sz w:val="32"/>
          <w:szCs w:val="32"/>
          <w:lang w:val="en-US" w:eastAsia="zh-CN" w:bidi="ar-SA"/>
        </w:rPr>
        <w:t>确保人才政策落地。</w:t>
      </w:r>
      <w:r>
        <w:rPr>
          <w:rFonts w:hint="eastAsia" w:ascii="仿宋" w:hAnsi="仿宋" w:eastAsia="仿宋" w:cs="仿宋"/>
          <w:b w:val="0"/>
          <w:bCs w:val="0"/>
          <w:kern w:val="2"/>
          <w:sz w:val="32"/>
          <w:szCs w:val="32"/>
          <w:lang w:val="en-US" w:eastAsia="zh-CN" w:bidi="ar-SA"/>
        </w:rPr>
        <w:t>落实《雁峰区“十四五”人才发展规划》，领导干部直接联系服务专家人才制度，18名区领导常态化联系服务优秀专家人才，做好走访慰问、意见征询等服务保障工作。</w:t>
      </w:r>
      <w:r>
        <w:rPr>
          <w:rFonts w:hint="eastAsia" w:ascii="仿宋" w:hAnsi="仿宋" w:eastAsia="仿宋" w:cs="仿宋"/>
          <w:b/>
          <w:bCs/>
          <w:color w:val="000000"/>
          <w:kern w:val="0"/>
          <w:sz w:val="32"/>
          <w:szCs w:val="32"/>
          <w:lang w:val="en-US" w:eastAsia="zh-CN" w:bidi="ar"/>
        </w:rPr>
        <w:t>强化人才激励保障。</w:t>
      </w:r>
      <w:r>
        <w:rPr>
          <w:rFonts w:hint="eastAsia" w:ascii="仿宋" w:hAnsi="仿宋" w:eastAsia="仿宋" w:cs="仿宋"/>
          <w:color w:val="000000"/>
          <w:kern w:val="0"/>
          <w:sz w:val="32"/>
          <w:szCs w:val="32"/>
          <w:lang w:val="en-US" w:eastAsia="zh-CN" w:bidi="ar"/>
        </w:rPr>
        <w:t>举行卫健、教育系统表彰大会，共评选出44名基层医疗单位的优秀医生和最美医务工作者，评选出68名优秀教师和教育工作者。推荐4人获评“衡阳市第二届优秀专家人才”，推荐2人获评市“卓越工程师”，推荐1人获2024年市“小荷”科技人才专项立项，推荐11人成功认定衡阳市高层次人才。</w:t>
      </w:r>
      <w:r>
        <w:rPr>
          <w:rFonts w:hint="eastAsia" w:ascii="仿宋" w:hAnsi="仿宋" w:eastAsia="仿宋" w:cs="仿宋"/>
          <w:b/>
          <w:bCs/>
          <w:kern w:val="2"/>
          <w:sz w:val="32"/>
          <w:szCs w:val="32"/>
          <w:lang w:val="en-US" w:eastAsia="zh-CN" w:bidi="ar-SA"/>
        </w:rPr>
        <w:t>二是突出工作重点，加大人才引育力度。持续扩大人才品牌影响力。</w:t>
      </w:r>
      <w:r>
        <w:rPr>
          <w:rFonts w:hint="eastAsia" w:ascii="仿宋" w:hAnsi="仿宋" w:eastAsia="仿宋" w:cs="仿宋"/>
          <w:b w:val="0"/>
          <w:bCs w:val="0"/>
          <w:kern w:val="2"/>
          <w:sz w:val="32"/>
          <w:szCs w:val="32"/>
          <w:lang w:val="en-US" w:eastAsia="zh-CN" w:bidi="ar-SA"/>
        </w:rPr>
        <w:t>继续擦亮</w:t>
      </w:r>
      <w:r>
        <w:rPr>
          <w:rFonts w:hint="eastAsia" w:ascii="仿宋" w:hAnsi="仿宋" w:eastAsia="仿宋" w:cs="仿宋"/>
          <w:color w:val="000000"/>
          <w:kern w:val="0"/>
          <w:sz w:val="32"/>
          <w:szCs w:val="32"/>
          <w:lang w:val="en-US" w:eastAsia="zh-CN" w:bidi="ar"/>
        </w:rPr>
        <w:t>“智汇潇湘·才聚雁峰”人才品牌，积极引导企业参加省、市、区招才引智活动。2024年全区共举办线上线下招聘活动20场，提供就业岗位3万余个，达成就业意向9300余人。聚力单位需求引才育才，通过市校企合作引博士长效机制，为区内企事业单位申报市校企合作引博士需求32人。计划发布《雁峰区2024年事业单位高层次和急缺紧缺专业技术人才引进公告》，为区属事业单位引进急需紧缺人才6名。</w:t>
      </w:r>
      <w:r>
        <w:rPr>
          <w:rFonts w:hint="eastAsia" w:ascii="仿宋" w:hAnsi="仿宋" w:eastAsia="仿宋" w:cs="仿宋"/>
          <w:b/>
          <w:bCs/>
          <w:kern w:val="2"/>
          <w:sz w:val="32"/>
          <w:szCs w:val="32"/>
          <w:lang w:val="en-US" w:eastAsia="zh-CN" w:bidi="ar-SA"/>
        </w:rPr>
        <w:t>扎实做好科技特派员工作。</w:t>
      </w:r>
      <w:r>
        <w:rPr>
          <w:rFonts w:hint="eastAsia" w:ascii="仿宋" w:hAnsi="仿宋" w:eastAsia="仿宋" w:cs="仿宋"/>
          <w:b w:val="0"/>
          <w:bCs w:val="0"/>
          <w:kern w:val="2"/>
          <w:sz w:val="32"/>
          <w:szCs w:val="32"/>
          <w:lang w:val="en-US" w:eastAsia="zh-CN" w:bidi="ar-SA"/>
        </w:rPr>
        <w:t>选派区级科技特派员8名，</w:t>
      </w:r>
      <w:r>
        <w:rPr>
          <w:rFonts w:hint="eastAsia" w:ascii="仿宋" w:hAnsi="仿宋" w:eastAsia="仿宋" w:cs="仿宋"/>
          <w:color w:val="000000"/>
          <w:kern w:val="0"/>
          <w:sz w:val="32"/>
          <w:szCs w:val="32"/>
          <w:lang w:val="en-US" w:eastAsia="zh-CN" w:bidi="ar"/>
        </w:rPr>
        <w:t>其中博士后1人、博士4人，分别来自高校、区直单位、农技服务中心、医院等企事业单位，下派基层单位涵盖工业、农业、医卫等多个领域。积极向上争取专家人才，争取衡阳市派科技特派员4人，均为农业领域专家，为雁峰乡村振兴实现赋能增智。督促科技特派员每个月到派驻单位服务不少于3次、每次不少于1天，每季度开展现场考核。推荐1名市派科技特派员获评2023年全市优秀科技特派员。</w:t>
      </w:r>
      <w:r>
        <w:rPr>
          <w:rFonts w:hint="eastAsia" w:ascii="仿宋" w:hAnsi="仿宋" w:eastAsia="仿宋" w:cs="仿宋"/>
          <w:b/>
          <w:bCs/>
          <w:kern w:val="2"/>
          <w:sz w:val="32"/>
          <w:szCs w:val="32"/>
          <w:lang w:val="en-US" w:eastAsia="zh-CN" w:bidi="ar-SA"/>
        </w:rPr>
        <w:t>全面开展多领域培养人才。</w:t>
      </w:r>
      <w:r>
        <w:rPr>
          <w:rFonts w:hint="eastAsia" w:ascii="仿宋" w:hAnsi="仿宋" w:eastAsia="仿宋" w:cs="仿宋"/>
          <w:color w:val="000000"/>
          <w:kern w:val="0"/>
          <w:sz w:val="32"/>
          <w:szCs w:val="32"/>
          <w:lang w:val="en-US" w:eastAsia="zh-CN" w:bidi="ar"/>
        </w:rPr>
        <w:t>落实市委、市政府“制造立市、文旅兴城”战略部署，特别建立雁峰区文艺团体和文艺人才信息库，收录文艺团体9个、文艺人才68人。高兴小学刘晓燕省级名师工作室成立，“全灵芝市级文化数学名师工作室”被多家媒体推荐，2名教师被确定为全省新时代卓越校长培养对象、卓越教师培养对象。选派6名教师赴外地支教，其中援疆1人，常宁塔山1人，新晃侗族自治县4人。</w:t>
      </w:r>
      <w:r>
        <w:rPr>
          <w:rFonts w:hint="eastAsia" w:ascii="仿宋" w:hAnsi="仿宋" w:eastAsia="仿宋" w:cs="仿宋"/>
          <w:b w:val="0"/>
          <w:bCs w:val="0"/>
          <w:color w:val="000000"/>
          <w:kern w:val="0"/>
          <w:sz w:val="32"/>
          <w:szCs w:val="32"/>
          <w:lang w:val="en-US" w:eastAsia="zh-CN" w:bidi="ar"/>
        </w:rPr>
        <w:t>落实“农民大学生培养计划”，</w:t>
      </w:r>
      <w:r>
        <w:rPr>
          <w:rFonts w:hint="eastAsia" w:ascii="仿宋" w:hAnsi="仿宋" w:eastAsia="仿宋" w:cs="仿宋"/>
          <w:color w:val="000000"/>
          <w:kern w:val="0"/>
          <w:sz w:val="32"/>
          <w:szCs w:val="32"/>
          <w:lang w:val="en-US" w:eastAsia="zh-CN" w:bidi="ar"/>
        </w:rPr>
        <w:t>大力培养高素质农民队伍，2024年共有5人报名参学。</w:t>
      </w:r>
      <w:r>
        <w:rPr>
          <w:rFonts w:hint="eastAsia" w:ascii="仿宋" w:hAnsi="仿宋" w:eastAsia="仿宋" w:cs="仿宋"/>
          <w:b/>
          <w:bCs/>
          <w:sz w:val="32"/>
          <w:szCs w:val="32"/>
          <w:lang w:val="en-US" w:eastAsia="zh-CN"/>
        </w:rPr>
        <w:t>三是营造良好环境，提高人才工作水平。</w:t>
      </w:r>
      <w:r>
        <w:rPr>
          <w:rFonts w:hint="eastAsia" w:ascii="仿宋" w:hAnsi="仿宋" w:eastAsia="仿宋" w:cs="仿宋"/>
          <w:b/>
          <w:bCs/>
          <w:kern w:val="2"/>
          <w:sz w:val="32"/>
          <w:szCs w:val="32"/>
          <w:lang w:val="en-US" w:eastAsia="zh-CN" w:bidi="ar-SA"/>
        </w:rPr>
        <w:t>提升创新创业动能。</w:t>
      </w:r>
      <w:r>
        <w:rPr>
          <w:rFonts w:hint="eastAsia" w:ascii="仿宋" w:hAnsi="仿宋" w:eastAsia="仿宋" w:cs="仿宋"/>
          <w:color w:val="000000"/>
          <w:kern w:val="0"/>
          <w:sz w:val="32"/>
          <w:szCs w:val="32"/>
          <w:lang w:val="en-US" w:eastAsia="zh-CN" w:bidi="ar"/>
        </w:rPr>
        <w:t>开展2024年雁峰区科技活动周及系列活动。举办2024年“创客中国”中小微企业创新创业大赛，共有11位选手参赛，分别来自新一代信息技术、生物技术、新能源、新材料等多个领域，有效激发全区创新潜力，集聚创业资源，推动中小企业转型升级和“专精特新”发展。推荐特变电工天变（湖南）智能科技有限公司的高效节能干式变压器项目荣获2024年“创客中国”湖南省中小微企业创新创业大赛创客组三等奖。召开一起益企·智赋未来—2024年衡阳市中小企业服务月暨“一起益企”中小企业服务行动推进大会，举行科技成果赋智、律企携手同行、“智赋万企”数字化转型等专题讲座与培训，帮助中小企业提振发展信心、恢复发展活力、增强内生动力。</w:t>
      </w:r>
      <w:r>
        <w:rPr>
          <w:rFonts w:hint="eastAsia" w:ascii="仿宋" w:hAnsi="仿宋" w:eastAsia="仿宋" w:cs="仿宋"/>
          <w:b/>
          <w:bCs/>
          <w:kern w:val="2"/>
          <w:sz w:val="32"/>
          <w:szCs w:val="32"/>
          <w:lang w:val="en-US" w:eastAsia="zh-CN" w:bidi="ar-SA"/>
        </w:rPr>
        <w:t>推进科技援企服务。</w:t>
      </w:r>
      <w:r>
        <w:rPr>
          <w:rFonts w:hint="eastAsia" w:ascii="仿宋" w:hAnsi="仿宋" w:eastAsia="仿宋" w:cs="仿宋"/>
          <w:color w:val="000000"/>
          <w:kern w:val="0"/>
          <w:sz w:val="32"/>
          <w:szCs w:val="32"/>
          <w:lang w:val="en-US" w:eastAsia="zh-CN" w:bidi="ar"/>
        </w:rPr>
        <w:t>持续组建科技专家服务团，助力雁峰区农业、企业发展。开展科技专家服务团乡村振兴暨科普进乡村活动，编发资料200余套。举办南华博士团助企服务暨科技人才实践能力提升培训，共5场累计150人次参训。开展常态化指导，帮助星乐农业、华易盛农业、金贝林景等企业申报省市农业科技项目，累计达成产学研合作10项。助力鑫和华科技、蔬菜种子公司申报省级科技特派员服务乡村振兴项目，鸿拓精密申报2024年度中央引导地方专项项目。同时牵线“南华大学-工信部校企协同就业创业创新示范实践基地”，助力雁峰传统产业转型升级发展，促成南华医学院与好皮肤制药产学研合作，拟共同申报2025年省自然科学基金专项。推荐古汉中药、南岳电控2家企业申报衡阳市企业科技创新创业团队项目，南岳电控船电重机科技创新创业团队已通过现场考察。</w:t>
      </w:r>
      <w:r>
        <w:rPr>
          <w:rFonts w:hint="eastAsia" w:ascii="仿宋" w:hAnsi="仿宋" w:eastAsia="仿宋" w:cs="仿宋"/>
          <w:b/>
          <w:bCs/>
          <w:kern w:val="2"/>
          <w:sz w:val="32"/>
          <w:szCs w:val="32"/>
          <w:lang w:val="en-US" w:eastAsia="zh-CN" w:bidi="ar-SA"/>
        </w:rPr>
        <w:t>营造爱才敬才氛围。</w:t>
      </w:r>
      <w:r>
        <w:rPr>
          <w:rFonts w:hint="eastAsia" w:ascii="仿宋" w:hAnsi="仿宋" w:eastAsia="仿宋" w:cs="仿宋"/>
          <w:color w:val="000000"/>
          <w:kern w:val="0"/>
          <w:sz w:val="32"/>
          <w:szCs w:val="32"/>
          <w:lang w:val="en-US" w:eastAsia="zh-CN" w:bidi="ar"/>
        </w:rPr>
        <w:t>每季度开展“书记区长企业家恳谈日”活动，以乡情、真情拉进政企距离。全力提供“保姆式”和“定制式”的精细服务，区领导定期走访慰问专家人才，及时了解思想、工作和生活情况，帮助解决实际困难，落实安家、生活补贴和子女教育等政策，2024年为2名高层次人才解决了子女在雁峰区就近入学的问题。组织优秀青年人才交流活动，在“520”、七夕等时间节点开展“潮玩雁峰 心动全‘橙’”“雁遇云端 爱在首峰”等青年联谊交友活动，着力服务青年婚育和家庭需求。打造“团团夜校”，开展非遗课堂、摄影课堂等青年夜校4期，实现青年成长与雁峰发展“双向奔赴”，让更多优秀青年人才扎根雁峰区，为雁峰高质量发展汇聚磅礴青春力量。</w:t>
      </w:r>
    </w:p>
    <w:p w14:paraId="2C4DC25B">
      <w:pPr>
        <w:pStyle w:val="5"/>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、夯实基层战斗堡垒。</w:t>
      </w:r>
      <w:r>
        <w:rPr>
          <w:rFonts w:hint="eastAsia" w:ascii="仿宋" w:hAnsi="仿宋" w:eastAsia="仿宋" w:cs="仿宋"/>
          <w:strike w:val="0"/>
          <w:sz w:val="32"/>
          <w:szCs w:val="32"/>
          <w:lang w:val="en-US" w:eastAsia="zh-CN"/>
        </w:rPr>
        <w:t>坚持将破解乡村治理“小马拉大车”突出问题贯穿始终，聚焦片组邻“三长制”、软弱涣散党组织整顿等重点难点全面落实年度重点任务。一年来，累计在红星云、红星网、衡阳智慧党建网等平台推介经验信息66篇。党建引领城市更新项目建设经验被湖南日版市州版头条推介；幸福社区退休党支部书记周正国获评全国离退休干部先进个人（已公示）。</w:t>
      </w:r>
      <w:r>
        <w:rPr>
          <w:rFonts w:hint="eastAsia" w:ascii="仿宋" w:hAnsi="仿宋" w:eastAsia="仿宋" w:cs="仿宋"/>
          <w:b/>
          <w:color w:val="auto"/>
          <w:sz w:val="32"/>
          <w:szCs w:val="32"/>
          <w:lang w:eastAsia="zh-CN"/>
        </w:rPr>
        <w:t>一是</w:t>
      </w:r>
      <w:r>
        <w:rPr>
          <w:rFonts w:hint="eastAsia" w:ascii="仿宋" w:hAnsi="仿宋" w:eastAsia="仿宋" w:cs="仿宋"/>
          <w:b/>
          <w:color w:val="auto"/>
          <w:sz w:val="32"/>
          <w:szCs w:val="32"/>
        </w:rPr>
        <w:t>聚焦主线，破解乡村治理“小马拉大车”突出问题。</w:t>
      </w:r>
      <w:r>
        <w:rPr>
          <w:rFonts w:hint="eastAsia" w:ascii="仿宋" w:hAnsi="仿宋" w:eastAsia="仿宋" w:cs="仿宋"/>
          <w:b/>
          <w:bCs/>
          <w:color w:val="auto"/>
          <w:sz w:val="32"/>
          <w:szCs w:val="24"/>
        </w:rPr>
        <w:t>持续规范村级</w:t>
      </w:r>
      <w:r>
        <w:rPr>
          <w:rFonts w:hint="eastAsia" w:ascii="仿宋" w:hAnsi="仿宋" w:eastAsia="仿宋" w:cs="仿宋"/>
          <w:b/>
          <w:bCs/>
          <w:color w:val="auto"/>
          <w:sz w:val="32"/>
          <w:szCs w:val="24"/>
          <w:lang w:eastAsia="zh-CN"/>
        </w:rPr>
        <w:t>组织</w:t>
      </w:r>
      <w:r>
        <w:rPr>
          <w:rFonts w:hint="eastAsia" w:ascii="仿宋" w:hAnsi="仿宋" w:eastAsia="仿宋" w:cs="仿宋"/>
          <w:b/>
          <w:bCs/>
          <w:color w:val="auto"/>
          <w:sz w:val="32"/>
          <w:szCs w:val="24"/>
        </w:rPr>
        <w:t>挂牌。</w:t>
      </w:r>
      <w:r>
        <w:rPr>
          <w:rFonts w:hint="eastAsia" w:ascii="仿宋" w:hAnsi="仿宋" w:eastAsia="仿宋" w:cs="仿宋"/>
          <w:color w:val="auto"/>
          <w:sz w:val="32"/>
          <w:szCs w:val="24"/>
        </w:rPr>
        <w:t>对标</w:t>
      </w:r>
      <w:r>
        <w:rPr>
          <w:rFonts w:hint="eastAsia" w:ascii="仿宋" w:hAnsi="仿宋" w:eastAsia="仿宋" w:cs="仿宋"/>
          <w:color w:val="auto"/>
          <w:sz w:val="32"/>
          <w:szCs w:val="24"/>
          <w:lang w:eastAsia="zh-CN"/>
        </w:rPr>
        <w:t>省委标准，</w:t>
      </w:r>
      <w:r>
        <w:rPr>
          <w:rFonts w:hint="eastAsia" w:ascii="仿宋" w:hAnsi="仿宋" w:eastAsia="仿宋" w:cs="仿宋"/>
          <w:color w:val="auto"/>
          <w:sz w:val="32"/>
          <w:szCs w:val="24"/>
        </w:rPr>
        <w:t>规范镇街</w:t>
      </w:r>
      <w:r>
        <w:rPr>
          <w:rFonts w:hint="eastAsia" w:ascii="仿宋" w:hAnsi="仿宋" w:eastAsia="仿宋" w:cs="仿宋"/>
          <w:color w:val="auto"/>
          <w:sz w:val="32"/>
          <w:szCs w:val="24"/>
          <w:lang w:eastAsia="zh-CN"/>
        </w:rPr>
        <w:t>、村（社区）</w:t>
      </w:r>
      <w:r>
        <w:rPr>
          <w:rFonts w:hint="eastAsia" w:ascii="仿宋" w:hAnsi="仿宋" w:eastAsia="仿宋" w:cs="仿宋"/>
          <w:color w:val="auto"/>
          <w:sz w:val="32"/>
          <w:szCs w:val="24"/>
        </w:rPr>
        <w:t>挂牌</w:t>
      </w:r>
      <w:r>
        <w:rPr>
          <w:rFonts w:hint="eastAsia" w:ascii="仿宋" w:hAnsi="仿宋" w:eastAsia="仿宋" w:cs="仿宋"/>
          <w:color w:val="auto"/>
          <w:sz w:val="32"/>
          <w:szCs w:val="24"/>
          <w:lang w:eastAsia="zh-CN"/>
        </w:rPr>
        <w:t>，集中销毁</w:t>
      </w:r>
      <w:r>
        <w:rPr>
          <w:rFonts w:hint="eastAsia" w:ascii="仿宋" w:hAnsi="仿宋" w:eastAsia="仿宋" w:cs="仿宋"/>
          <w:color w:val="auto"/>
          <w:sz w:val="32"/>
          <w:szCs w:val="24"/>
        </w:rPr>
        <w:t>村（社区）室内室外清理</w:t>
      </w:r>
      <w:r>
        <w:rPr>
          <w:rFonts w:hint="eastAsia" w:ascii="仿宋" w:hAnsi="仿宋" w:eastAsia="仿宋" w:cs="仿宋"/>
          <w:color w:val="auto"/>
          <w:sz w:val="32"/>
          <w:szCs w:val="24"/>
          <w:lang w:eastAsia="zh-CN"/>
        </w:rPr>
        <w:t>的</w:t>
      </w:r>
      <w:r>
        <w:rPr>
          <w:rFonts w:hint="eastAsia" w:ascii="仿宋" w:hAnsi="仿宋" w:eastAsia="仿宋" w:cs="仿宋"/>
          <w:color w:val="auto"/>
          <w:sz w:val="32"/>
          <w:szCs w:val="24"/>
        </w:rPr>
        <w:t>各类挂牌、上墙制度累计3000余块。清理规范村级组织挂牌等为基层减负工作经验先后被人民网等多家央媒推介</w:t>
      </w:r>
      <w:r>
        <w:rPr>
          <w:rFonts w:hint="eastAsia" w:ascii="仿宋" w:hAnsi="仿宋" w:eastAsia="仿宋" w:cs="仿宋"/>
          <w:color w:val="auto"/>
          <w:sz w:val="32"/>
          <w:szCs w:val="24"/>
          <w:lang w:eastAsia="zh-CN"/>
        </w:rPr>
        <w:t>。</w:t>
      </w:r>
      <w:r>
        <w:rPr>
          <w:rFonts w:hint="eastAsia" w:ascii="仿宋" w:hAnsi="仿宋" w:eastAsia="仿宋" w:cs="仿宋"/>
          <w:b/>
          <w:bCs/>
          <w:color w:val="auto"/>
          <w:sz w:val="32"/>
          <w:szCs w:val="24"/>
        </w:rPr>
        <w:t>落实</w:t>
      </w:r>
      <w:r>
        <w:rPr>
          <w:rFonts w:hint="eastAsia" w:ascii="仿宋" w:hAnsi="仿宋" w:eastAsia="仿宋" w:cs="仿宋"/>
          <w:b/>
          <w:bCs/>
          <w:color w:val="auto"/>
          <w:sz w:val="32"/>
          <w:szCs w:val="24"/>
          <w:lang w:eastAsia="zh-CN"/>
        </w:rPr>
        <w:t>基层</w:t>
      </w:r>
      <w:r>
        <w:rPr>
          <w:rFonts w:hint="eastAsia" w:ascii="仿宋" w:hAnsi="仿宋" w:eastAsia="仿宋" w:cs="仿宋"/>
          <w:b/>
          <w:bCs/>
          <w:color w:val="auto"/>
          <w:sz w:val="32"/>
          <w:szCs w:val="24"/>
        </w:rPr>
        <w:t>减负</w:t>
      </w:r>
      <w:r>
        <w:rPr>
          <w:rFonts w:hint="eastAsia" w:ascii="仿宋" w:hAnsi="仿宋" w:eastAsia="仿宋" w:cs="仿宋"/>
          <w:b/>
          <w:bCs/>
          <w:color w:val="auto"/>
          <w:sz w:val="32"/>
          <w:szCs w:val="24"/>
          <w:lang w:eastAsia="zh-CN"/>
        </w:rPr>
        <w:t>举措</w:t>
      </w:r>
      <w:r>
        <w:rPr>
          <w:rFonts w:hint="eastAsia" w:ascii="仿宋" w:hAnsi="仿宋" w:eastAsia="仿宋" w:cs="仿宋"/>
          <w:b/>
          <w:bCs/>
          <w:color w:val="auto"/>
          <w:sz w:val="32"/>
          <w:szCs w:val="24"/>
        </w:rPr>
        <w:t>。</w:t>
      </w:r>
      <w:r>
        <w:rPr>
          <w:rFonts w:hint="eastAsia" w:ascii="仿宋" w:hAnsi="仿宋" w:eastAsia="仿宋" w:cs="仿宋"/>
          <w:color w:val="auto"/>
          <w:sz w:val="32"/>
          <w:szCs w:val="32"/>
        </w:rPr>
        <w:t>落实省市</w:t>
      </w:r>
      <w:r>
        <w:rPr>
          <w:rFonts w:hint="eastAsia" w:ascii="仿宋" w:hAnsi="仿宋" w:eastAsia="仿宋" w:cs="仿宋"/>
          <w:color w:val="auto"/>
          <w:sz w:val="32"/>
          <w:szCs w:val="32"/>
          <w:lang w:val="en-US" w:eastAsia="zh-CN"/>
        </w:rPr>
        <w:t>区三级</w:t>
      </w:r>
      <w:r>
        <w:rPr>
          <w:rFonts w:hint="eastAsia" w:ascii="仿宋" w:hAnsi="仿宋" w:eastAsia="仿宋" w:cs="仿宋"/>
          <w:color w:val="auto"/>
          <w:sz w:val="32"/>
          <w:szCs w:val="32"/>
        </w:rPr>
        <w:t>取消村级组织不应承担或没有能力承担的工作事项</w:t>
      </w:r>
      <w:r>
        <w:rPr>
          <w:rFonts w:hint="eastAsia" w:ascii="仿宋" w:hAnsi="仿宋" w:eastAsia="仿宋" w:cs="仿宋"/>
          <w:color w:val="auto"/>
          <w:sz w:val="32"/>
          <w:szCs w:val="32"/>
          <w:lang w:val="en-US" w:eastAsia="zh-CN"/>
        </w:rPr>
        <w:t>73项，</w:t>
      </w:r>
      <w:r>
        <w:rPr>
          <w:rFonts w:hint="eastAsia" w:ascii="仿宋" w:hAnsi="仿宋" w:eastAsia="仿宋" w:cs="仿宋"/>
          <w:color w:val="auto"/>
          <w:sz w:val="32"/>
          <w:szCs w:val="32"/>
          <w:lang w:eastAsia="zh-CN"/>
        </w:rPr>
        <w:t>取消</w:t>
      </w:r>
      <w:r>
        <w:rPr>
          <w:rFonts w:hint="eastAsia" w:ascii="仿宋" w:hAnsi="仿宋" w:eastAsia="仿宋" w:cs="仿宋"/>
          <w:color w:val="auto"/>
          <w:sz w:val="32"/>
          <w:szCs w:val="32"/>
          <w:lang w:val="en-US" w:eastAsia="zh-CN"/>
        </w:rPr>
        <w:t>36项不应由基层群众自治组织出具的证明事项</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村（社区）干部“坐班制”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严格控制基层干部借调，</w:t>
      </w:r>
      <w:r>
        <w:rPr>
          <w:rFonts w:hint="eastAsia" w:ascii="仿宋" w:hAnsi="仿宋" w:eastAsia="仿宋" w:cs="仿宋"/>
          <w:color w:val="auto"/>
          <w:sz w:val="32"/>
          <w:szCs w:val="32"/>
          <w:highlight w:val="none"/>
          <w:lang w:val="en-US" w:eastAsia="zh-CN"/>
        </w:rPr>
        <w:t>先后开展6</w:t>
      </w:r>
      <w:r>
        <w:rPr>
          <w:rFonts w:hint="eastAsia" w:ascii="仿宋" w:hAnsi="仿宋" w:eastAsia="仿宋" w:cs="仿宋"/>
          <w:color w:val="auto"/>
          <w:kern w:val="2"/>
          <w:sz w:val="32"/>
          <w:szCs w:val="32"/>
          <w:lang w:val="en-US" w:eastAsia="zh-CN" w:bidi="ar-SA"/>
        </w:rPr>
        <w:t>轮违规借调人员清理工作，</w:t>
      </w:r>
      <w:r>
        <w:rPr>
          <w:rFonts w:hint="eastAsia" w:ascii="仿宋" w:hAnsi="仿宋" w:eastAsia="仿宋" w:cs="仿宋"/>
          <w:color w:val="auto"/>
          <w:sz w:val="32"/>
          <w:szCs w:val="32"/>
          <w:lang w:val="en-US" w:eastAsia="zh-CN"/>
        </w:rPr>
        <w:t>持续为基层松绑减负</w:t>
      </w:r>
      <w:r>
        <w:rPr>
          <w:rFonts w:hint="eastAsia" w:ascii="仿宋" w:hAnsi="仿宋" w:eastAsia="仿宋" w:cs="仿宋"/>
          <w:color w:val="auto"/>
          <w:sz w:val="32"/>
          <w:szCs w:val="32"/>
        </w:rPr>
        <w:t>。</w:t>
      </w:r>
      <w:r>
        <w:rPr>
          <w:rFonts w:hint="eastAsia" w:ascii="仿宋" w:hAnsi="仿宋" w:eastAsia="仿宋" w:cs="仿宋"/>
          <w:b/>
          <w:bCs/>
          <w:color w:val="auto"/>
          <w:sz w:val="32"/>
          <w:szCs w:val="24"/>
        </w:rPr>
        <w:t>做好基层干部调配赋能。</w:t>
      </w:r>
      <w:r>
        <w:rPr>
          <w:rFonts w:hint="eastAsia" w:ascii="仿宋" w:hAnsi="仿宋" w:eastAsia="仿宋" w:cs="仿宋"/>
          <w:color w:val="auto"/>
          <w:sz w:val="32"/>
          <w:szCs w:val="32"/>
          <w:lang w:eastAsia="zh-CN"/>
        </w:rPr>
        <w:t>村书记待遇多次“升级”，报酬待遇普遍达上年度农村人均纯收入</w:t>
      </w:r>
      <w:r>
        <w:rPr>
          <w:rFonts w:hint="eastAsia" w:ascii="仿宋" w:hAnsi="仿宋" w:eastAsia="仿宋" w:cs="仿宋"/>
          <w:color w:val="auto"/>
          <w:sz w:val="32"/>
          <w:szCs w:val="32"/>
          <w:lang w:val="en-US" w:eastAsia="zh-CN"/>
        </w:rPr>
        <w:t>2.5倍以上；</w:t>
      </w:r>
      <w:r>
        <w:rPr>
          <w:rFonts w:hint="eastAsia" w:ascii="仿宋" w:hAnsi="仿宋" w:eastAsia="仿宋" w:cs="仿宋"/>
          <w:b w:val="0"/>
          <w:bCs w:val="0"/>
          <w:color w:val="auto"/>
          <w:sz w:val="32"/>
          <w:szCs w:val="24"/>
        </w:rPr>
        <w:t>累计外派37名镇街</w:t>
      </w:r>
      <w:r>
        <w:rPr>
          <w:rFonts w:hint="eastAsia" w:ascii="仿宋" w:hAnsi="仿宋" w:eastAsia="仿宋" w:cs="仿宋"/>
          <w:b w:val="0"/>
          <w:bCs w:val="0"/>
          <w:color w:val="auto"/>
          <w:sz w:val="32"/>
          <w:szCs w:val="24"/>
          <w:lang w:eastAsia="zh-CN"/>
        </w:rPr>
        <w:t>、</w:t>
      </w:r>
      <w:r>
        <w:rPr>
          <w:rFonts w:hint="eastAsia" w:ascii="仿宋" w:hAnsi="仿宋" w:eastAsia="仿宋" w:cs="仿宋"/>
          <w:b w:val="0"/>
          <w:bCs w:val="0"/>
          <w:color w:val="auto"/>
          <w:sz w:val="32"/>
          <w:szCs w:val="24"/>
        </w:rPr>
        <w:t>村组干部参加国省市举办的各类专题培训。组织48名村（社区）书记、第一书记赴浙江大学开展党建引领基层治理专题培训，举办基层党组织书记及党建业务骨干培训班、一线党代表培训班，累计培训480人次。</w:t>
      </w:r>
      <w:r>
        <w:rPr>
          <w:rFonts w:hint="eastAsia" w:ascii="仿宋" w:hAnsi="仿宋" w:eastAsia="仿宋" w:cs="仿宋"/>
          <w:b/>
          <w:bCs/>
          <w:color w:val="auto"/>
          <w:sz w:val="32"/>
          <w:szCs w:val="24"/>
        </w:rPr>
        <w:t>整治文山会海和督检考。</w:t>
      </w:r>
      <w:r>
        <w:rPr>
          <w:rFonts w:hint="eastAsia" w:ascii="仿宋" w:hAnsi="仿宋" w:eastAsia="仿宋" w:cs="仿宋"/>
          <w:color w:val="auto"/>
          <w:sz w:val="32"/>
          <w:szCs w:val="24"/>
        </w:rPr>
        <w:t>党建工作每月例会改为2-3个月一次，取消党建重点任务落实情况“红黑榜”通报制度和“清廉村居”培树点创建</w:t>
      </w:r>
      <w:r>
        <w:rPr>
          <w:rFonts w:hint="eastAsia" w:ascii="仿宋" w:hAnsi="仿宋" w:eastAsia="仿宋" w:cs="仿宋"/>
          <w:color w:val="auto"/>
          <w:sz w:val="32"/>
          <w:szCs w:val="24"/>
          <w:lang w:eastAsia="zh-CN"/>
        </w:rPr>
        <w:t>；</w:t>
      </w:r>
      <w:r>
        <w:rPr>
          <w:rFonts w:hint="eastAsia" w:ascii="仿宋" w:hAnsi="仿宋" w:eastAsia="仿宋" w:cs="仿宋"/>
          <w:color w:val="auto"/>
          <w:sz w:val="32"/>
          <w:szCs w:val="24"/>
        </w:rPr>
        <w:t>到村工作同比下降35%，村干部会议缩减54%，接收文件数量下降53%，接受督检考减少63%</w:t>
      </w:r>
      <w:r>
        <w:rPr>
          <w:rFonts w:hint="eastAsia" w:ascii="仿宋" w:hAnsi="仿宋" w:eastAsia="仿宋" w:cs="仿宋"/>
          <w:color w:val="auto"/>
          <w:sz w:val="32"/>
          <w:szCs w:val="24"/>
          <w:lang w:eastAsia="zh-CN"/>
        </w:rPr>
        <w:t>；上年度</w:t>
      </w:r>
      <w:r>
        <w:rPr>
          <w:rFonts w:hint="eastAsia" w:ascii="仿宋" w:hAnsi="仿宋" w:eastAsia="仿宋" w:cs="仿宋"/>
          <w:color w:val="auto"/>
          <w:sz w:val="32"/>
          <w:szCs w:val="24"/>
          <w:lang w:val="en-US" w:eastAsia="zh-CN"/>
        </w:rPr>
        <w:t>对镇街开展的26项各类考核，拟保留合并为10项纳入综合考核，精简率达61.54%；</w:t>
      </w:r>
      <w:r>
        <w:rPr>
          <w:rFonts w:hint="eastAsia" w:ascii="仿宋" w:hAnsi="仿宋" w:eastAsia="仿宋" w:cs="仿宋"/>
          <w:color w:val="auto"/>
          <w:sz w:val="32"/>
          <w:szCs w:val="24"/>
        </w:rPr>
        <w:t>信访事项及时受理率、按期办结率</w:t>
      </w:r>
      <w:r>
        <w:rPr>
          <w:rFonts w:hint="eastAsia" w:ascii="仿宋" w:hAnsi="仿宋" w:eastAsia="仿宋" w:cs="仿宋"/>
          <w:color w:val="auto"/>
          <w:sz w:val="32"/>
          <w:szCs w:val="24"/>
          <w:lang w:eastAsia="zh-CN"/>
        </w:rPr>
        <w:t>及</w:t>
      </w:r>
      <w:r>
        <w:rPr>
          <w:rFonts w:hint="eastAsia" w:ascii="仿宋" w:hAnsi="仿宋" w:eastAsia="仿宋" w:cs="仿宋"/>
          <w:color w:val="auto"/>
          <w:sz w:val="32"/>
          <w:szCs w:val="24"/>
        </w:rPr>
        <w:t>信访程序一次性化解率</w:t>
      </w:r>
      <w:r>
        <w:rPr>
          <w:rFonts w:hint="eastAsia" w:ascii="仿宋" w:hAnsi="仿宋" w:eastAsia="仿宋" w:cs="仿宋"/>
          <w:color w:val="auto"/>
          <w:sz w:val="32"/>
          <w:szCs w:val="24"/>
          <w:lang w:eastAsia="zh-CN"/>
        </w:rPr>
        <w:t>均为</w:t>
      </w:r>
      <w:r>
        <w:rPr>
          <w:rFonts w:hint="eastAsia" w:ascii="仿宋" w:hAnsi="仿宋" w:eastAsia="仿宋" w:cs="仿宋"/>
          <w:color w:val="auto"/>
          <w:sz w:val="32"/>
          <w:szCs w:val="24"/>
        </w:rPr>
        <w:t>100%，稳居全市第一。</w:t>
      </w:r>
      <w:r>
        <w:rPr>
          <w:rFonts w:hint="eastAsia" w:ascii="仿宋" w:hAnsi="仿宋" w:eastAsia="仿宋" w:cs="仿宋"/>
          <w:b/>
          <w:color w:val="auto"/>
          <w:sz w:val="32"/>
          <w:szCs w:val="32"/>
          <w:lang w:eastAsia="zh-CN"/>
        </w:rPr>
        <w:t>二是</w:t>
      </w:r>
      <w:r>
        <w:rPr>
          <w:rFonts w:hint="eastAsia" w:ascii="仿宋" w:hAnsi="仿宋" w:eastAsia="仿宋" w:cs="仿宋"/>
          <w:b/>
          <w:color w:val="auto"/>
          <w:sz w:val="32"/>
          <w:szCs w:val="32"/>
        </w:rPr>
        <w:t>聚焦主导，推深做实片组邻“三长制”。</w:t>
      </w:r>
      <w:r>
        <w:rPr>
          <w:rFonts w:hint="eastAsia" w:ascii="仿宋" w:hAnsi="仿宋" w:eastAsia="仿宋" w:cs="仿宋"/>
          <w:b/>
          <w:color w:val="auto"/>
          <w:sz w:val="32"/>
          <w:szCs w:val="32"/>
          <w:lang w:eastAsia="zh-CN"/>
        </w:rPr>
        <w:t>培育一批典型示范</w:t>
      </w:r>
      <w:r>
        <w:rPr>
          <w:rFonts w:hint="eastAsia" w:ascii="仿宋" w:hAnsi="仿宋" w:eastAsia="仿宋" w:cs="仿宋"/>
          <w:b/>
          <w:color w:val="auto"/>
          <w:sz w:val="32"/>
          <w:szCs w:val="32"/>
        </w:rPr>
        <w:t>。</w:t>
      </w:r>
      <w:r>
        <w:rPr>
          <w:rFonts w:hint="eastAsia" w:ascii="仿宋" w:hAnsi="仿宋" w:eastAsia="仿宋" w:cs="仿宋"/>
          <w:color w:val="auto"/>
          <w:sz w:val="32"/>
          <w:szCs w:val="24"/>
          <w:lang w:eastAsia="zh-CN"/>
        </w:rPr>
        <w:t>坚持示范引领</w:t>
      </w:r>
      <w:r>
        <w:rPr>
          <w:rFonts w:hint="eastAsia" w:ascii="仿宋" w:hAnsi="仿宋" w:eastAsia="仿宋" w:cs="仿宋"/>
          <w:color w:val="auto"/>
          <w:sz w:val="32"/>
          <w:szCs w:val="24"/>
        </w:rPr>
        <w:t>，以点带面带动48个村（社区）科学划片</w:t>
      </w:r>
      <w:r>
        <w:rPr>
          <w:rFonts w:hint="eastAsia" w:ascii="仿宋" w:hAnsi="仿宋" w:eastAsia="仿宋" w:cs="仿宋"/>
          <w:color w:val="auto"/>
          <w:sz w:val="32"/>
          <w:szCs w:val="24"/>
          <w:lang w:val="en-US" w:eastAsia="zh-CN"/>
        </w:rPr>
        <w:t>315</w:t>
      </w:r>
      <w:r>
        <w:rPr>
          <w:rFonts w:hint="eastAsia" w:ascii="仿宋" w:hAnsi="仿宋" w:eastAsia="仿宋" w:cs="仿宋"/>
          <w:color w:val="auto"/>
          <w:sz w:val="32"/>
          <w:szCs w:val="24"/>
        </w:rPr>
        <w:t>个，依法设组</w:t>
      </w:r>
      <w:r>
        <w:rPr>
          <w:rFonts w:hint="eastAsia" w:ascii="仿宋" w:hAnsi="仿宋" w:eastAsia="仿宋" w:cs="仿宋"/>
          <w:color w:val="auto"/>
          <w:sz w:val="32"/>
          <w:szCs w:val="24"/>
          <w:lang w:val="en-US" w:eastAsia="zh-CN"/>
        </w:rPr>
        <w:t>733</w:t>
      </w:r>
      <w:r>
        <w:rPr>
          <w:rFonts w:hint="eastAsia" w:ascii="仿宋" w:hAnsi="仿宋" w:eastAsia="仿宋" w:cs="仿宋"/>
          <w:color w:val="auto"/>
          <w:sz w:val="32"/>
          <w:szCs w:val="24"/>
        </w:rPr>
        <w:t>个，合理设置邻长</w:t>
      </w:r>
      <w:r>
        <w:rPr>
          <w:rFonts w:hint="eastAsia" w:ascii="仿宋" w:hAnsi="仿宋" w:eastAsia="仿宋" w:cs="仿宋"/>
          <w:color w:val="auto"/>
          <w:sz w:val="32"/>
          <w:szCs w:val="24"/>
          <w:lang w:val="en-US" w:eastAsia="zh-CN"/>
        </w:rPr>
        <w:t>5347</w:t>
      </w:r>
      <w:r>
        <w:rPr>
          <w:rFonts w:hint="eastAsia" w:ascii="仿宋" w:hAnsi="仿宋" w:eastAsia="仿宋" w:cs="仿宋"/>
          <w:color w:val="auto"/>
          <w:sz w:val="32"/>
          <w:szCs w:val="24"/>
        </w:rPr>
        <w:t>名</w:t>
      </w:r>
      <w:r>
        <w:rPr>
          <w:rFonts w:hint="eastAsia" w:ascii="仿宋" w:hAnsi="仿宋" w:eastAsia="仿宋" w:cs="仿宋"/>
          <w:color w:val="auto"/>
          <w:sz w:val="32"/>
          <w:szCs w:val="32"/>
          <w:lang w:eastAsia="zh-CN"/>
        </w:rPr>
        <w:t>。深入落实</w:t>
      </w:r>
      <w:r>
        <w:rPr>
          <w:rFonts w:hint="eastAsia" w:ascii="仿宋" w:hAnsi="仿宋" w:eastAsia="仿宋" w:cs="仿宋"/>
          <w:color w:val="auto"/>
          <w:sz w:val="32"/>
          <w:szCs w:val="24"/>
        </w:rPr>
        <w:t>“五个一”措施，</w:t>
      </w:r>
      <w:r>
        <w:rPr>
          <w:rFonts w:hint="eastAsia" w:ascii="仿宋" w:hAnsi="仿宋" w:eastAsia="仿宋" w:cs="仿宋"/>
          <w:color w:val="auto"/>
          <w:sz w:val="32"/>
          <w:szCs w:val="24"/>
          <w:lang w:eastAsia="zh-CN"/>
        </w:rPr>
        <w:t>组织</w:t>
      </w:r>
      <w:r>
        <w:rPr>
          <w:rFonts w:hint="eastAsia" w:ascii="仿宋" w:hAnsi="仿宋" w:eastAsia="仿宋" w:cs="仿宋"/>
          <w:color w:val="auto"/>
          <w:sz w:val="32"/>
          <w:szCs w:val="24"/>
        </w:rPr>
        <w:t>“三长”开展微服务</w:t>
      </w:r>
      <w:r>
        <w:rPr>
          <w:rFonts w:hint="eastAsia" w:ascii="仿宋" w:hAnsi="仿宋" w:eastAsia="仿宋" w:cs="仿宋"/>
          <w:color w:val="auto"/>
          <w:sz w:val="32"/>
          <w:szCs w:val="24"/>
          <w:lang w:val="en-US" w:eastAsia="zh-CN"/>
        </w:rPr>
        <w:t>7587</w:t>
      </w:r>
      <w:r>
        <w:rPr>
          <w:rFonts w:hint="eastAsia" w:ascii="仿宋" w:hAnsi="仿宋" w:eastAsia="仿宋" w:cs="仿宋"/>
          <w:color w:val="auto"/>
          <w:sz w:val="32"/>
          <w:szCs w:val="24"/>
        </w:rPr>
        <w:t>次，解决问题</w:t>
      </w:r>
      <w:r>
        <w:rPr>
          <w:rFonts w:hint="eastAsia" w:ascii="仿宋" w:hAnsi="仿宋" w:eastAsia="仿宋" w:cs="仿宋"/>
          <w:color w:val="auto"/>
          <w:sz w:val="32"/>
          <w:szCs w:val="24"/>
          <w:lang w:val="en-US" w:eastAsia="zh-CN"/>
        </w:rPr>
        <w:t>1612</w:t>
      </w:r>
      <w:r>
        <w:rPr>
          <w:rFonts w:hint="eastAsia" w:ascii="仿宋" w:hAnsi="仿宋" w:eastAsia="仿宋" w:cs="仿宋"/>
          <w:color w:val="auto"/>
          <w:sz w:val="32"/>
          <w:szCs w:val="24"/>
        </w:rPr>
        <w:t>个。为全省社区全面推进片组邻“三长制”专题培训示范班</w:t>
      </w:r>
      <w:r>
        <w:rPr>
          <w:rFonts w:hint="eastAsia" w:ascii="仿宋" w:hAnsi="仿宋" w:eastAsia="仿宋" w:cs="仿宋"/>
          <w:color w:val="auto"/>
          <w:sz w:val="32"/>
          <w:szCs w:val="24"/>
          <w:lang w:eastAsia="zh-CN"/>
        </w:rPr>
        <w:t>提供</w:t>
      </w:r>
      <w:r>
        <w:rPr>
          <w:rFonts w:hint="eastAsia" w:ascii="仿宋" w:hAnsi="仿宋" w:eastAsia="仿宋" w:cs="仿宋"/>
          <w:color w:val="auto"/>
          <w:sz w:val="32"/>
          <w:szCs w:val="24"/>
        </w:rPr>
        <w:t>白竹皂社区、雨花亭社区等4个</w:t>
      </w:r>
      <w:r>
        <w:rPr>
          <w:rFonts w:hint="eastAsia" w:ascii="仿宋" w:hAnsi="仿宋" w:eastAsia="仿宋" w:cs="仿宋"/>
          <w:color w:val="auto"/>
          <w:sz w:val="32"/>
          <w:szCs w:val="24"/>
          <w:lang w:eastAsia="zh-CN"/>
        </w:rPr>
        <w:t>标准高、效果好的</w:t>
      </w:r>
      <w:r>
        <w:rPr>
          <w:rFonts w:hint="eastAsia" w:ascii="仿宋" w:hAnsi="仿宋" w:eastAsia="仿宋" w:cs="仿宋"/>
          <w:color w:val="auto"/>
          <w:sz w:val="32"/>
          <w:szCs w:val="24"/>
        </w:rPr>
        <w:t>现场观摩点</w:t>
      </w:r>
      <w:r>
        <w:rPr>
          <w:rFonts w:hint="eastAsia" w:ascii="仿宋" w:hAnsi="仿宋" w:eastAsia="仿宋" w:cs="仿宋"/>
          <w:color w:val="auto"/>
          <w:sz w:val="32"/>
          <w:szCs w:val="24"/>
          <w:lang w:eastAsia="zh-CN"/>
        </w:rPr>
        <w:t>。</w:t>
      </w:r>
      <w:r>
        <w:rPr>
          <w:rFonts w:hint="eastAsia" w:ascii="仿宋" w:hAnsi="仿宋" w:eastAsia="仿宋" w:cs="仿宋"/>
          <w:b/>
          <w:color w:val="auto"/>
          <w:sz w:val="32"/>
          <w:szCs w:val="32"/>
        </w:rPr>
        <w:t>健全一套工作机制。</w:t>
      </w:r>
      <w:r>
        <w:rPr>
          <w:rFonts w:hint="eastAsia" w:ascii="仿宋" w:hAnsi="仿宋" w:eastAsia="仿宋" w:cs="仿宋"/>
          <w:color w:val="auto"/>
          <w:sz w:val="32"/>
          <w:szCs w:val="32"/>
        </w:rPr>
        <w:t>优化片组邻“三长制”组织架构、宣传栏、公示牌，规范“三长制”工作区域划分，完善邻长联系走访机制、快速响应机制、结对服务机以及问题解决机制，并将“五邻”工作法、“五色花”基层治理模式充分融入到“三长制”</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rPr>
        <w:t>，实现基层治理“多格合一”、提质增效。</w:t>
      </w:r>
      <w:r>
        <w:rPr>
          <w:rFonts w:hint="eastAsia" w:ascii="仿宋" w:hAnsi="仿宋" w:eastAsia="仿宋" w:cs="仿宋"/>
          <w:b/>
          <w:bCs/>
          <w:color w:val="auto"/>
          <w:sz w:val="32"/>
          <w:szCs w:val="32"/>
          <w:lang w:eastAsia="zh-CN"/>
        </w:rPr>
        <w:t>开展一次业务培训。</w:t>
      </w:r>
      <w:r>
        <w:rPr>
          <w:rFonts w:hint="eastAsia" w:ascii="仿宋" w:hAnsi="仿宋" w:eastAsia="仿宋" w:cs="仿宋"/>
          <w:color w:val="auto"/>
          <w:sz w:val="32"/>
          <w:szCs w:val="32"/>
        </w:rPr>
        <w:t>整合石鼓、珠晖、高新、衡南</w:t>
      </w:r>
      <w:r>
        <w:rPr>
          <w:rFonts w:hint="eastAsia" w:ascii="仿宋" w:hAnsi="仿宋" w:eastAsia="仿宋" w:cs="仿宋"/>
          <w:color w:val="auto"/>
          <w:sz w:val="32"/>
          <w:szCs w:val="32"/>
          <w:lang w:eastAsia="zh-CN"/>
        </w:rPr>
        <w:t>等</w:t>
      </w:r>
      <w:r>
        <w:rPr>
          <w:rFonts w:hint="eastAsia" w:ascii="仿宋" w:hAnsi="仿宋" w:eastAsia="仿宋" w:cs="仿宋"/>
          <w:color w:val="auto"/>
          <w:sz w:val="32"/>
          <w:szCs w:val="32"/>
        </w:rPr>
        <w:t>实地教学点和市委党校师资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组织150余名“三长”</w:t>
      </w:r>
      <w:r>
        <w:rPr>
          <w:rFonts w:hint="eastAsia" w:ascii="仿宋" w:hAnsi="仿宋" w:eastAsia="仿宋" w:cs="仿宋"/>
          <w:color w:val="auto"/>
          <w:sz w:val="32"/>
          <w:szCs w:val="32"/>
          <w:lang w:eastAsia="zh-CN"/>
        </w:rPr>
        <w:t>参加</w:t>
      </w:r>
      <w:r>
        <w:rPr>
          <w:rFonts w:hint="eastAsia" w:ascii="仿宋" w:hAnsi="仿宋" w:eastAsia="仿宋" w:cs="仿宋"/>
          <w:color w:val="auto"/>
          <w:sz w:val="32"/>
          <w:szCs w:val="32"/>
        </w:rPr>
        <w:t>全面推进片组邻“三长制”业务培训</w:t>
      </w:r>
      <w:r>
        <w:rPr>
          <w:rFonts w:hint="eastAsia" w:ascii="仿宋" w:hAnsi="仿宋" w:eastAsia="仿宋" w:cs="仿宋"/>
          <w:color w:val="auto"/>
          <w:sz w:val="32"/>
          <w:szCs w:val="32"/>
          <w:lang w:eastAsia="zh-CN"/>
        </w:rPr>
        <w:t>班</w:t>
      </w:r>
      <w:r>
        <w:rPr>
          <w:rFonts w:hint="eastAsia" w:ascii="仿宋" w:hAnsi="仿宋" w:eastAsia="仿宋" w:cs="仿宋"/>
          <w:color w:val="auto"/>
          <w:sz w:val="32"/>
          <w:szCs w:val="32"/>
        </w:rPr>
        <w:t>，为全区片组邻“三长制”工作升级</w:t>
      </w:r>
      <w:r>
        <w:rPr>
          <w:rFonts w:hint="eastAsia" w:ascii="仿宋" w:hAnsi="仿宋" w:eastAsia="仿宋" w:cs="仿宋"/>
          <w:color w:val="auto"/>
          <w:sz w:val="32"/>
          <w:szCs w:val="32"/>
          <w:lang w:val="en-US" w:eastAsia="zh-CN"/>
        </w:rPr>
        <w:t>3.0版</w:t>
      </w:r>
      <w:r>
        <w:rPr>
          <w:rFonts w:hint="eastAsia" w:ascii="仿宋" w:hAnsi="仿宋" w:eastAsia="仿宋" w:cs="仿宋"/>
          <w:color w:val="auto"/>
          <w:sz w:val="32"/>
          <w:szCs w:val="32"/>
        </w:rPr>
        <w:t>奠定了坚实基础。</w:t>
      </w:r>
      <w:r>
        <w:rPr>
          <w:rFonts w:hint="eastAsia" w:ascii="仿宋" w:hAnsi="仿宋" w:eastAsia="仿宋" w:cs="仿宋"/>
          <w:b/>
          <w:color w:val="auto"/>
          <w:sz w:val="32"/>
          <w:szCs w:val="32"/>
          <w:lang w:eastAsia="zh-CN"/>
        </w:rPr>
        <w:t>三是</w:t>
      </w:r>
      <w:r>
        <w:rPr>
          <w:rFonts w:hint="eastAsia" w:ascii="仿宋" w:hAnsi="仿宋" w:eastAsia="仿宋" w:cs="仿宋"/>
          <w:b/>
          <w:color w:val="auto"/>
          <w:sz w:val="32"/>
          <w:szCs w:val="32"/>
        </w:rPr>
        <w:t>聚焦主业，强化基层党组织建设。</w:t>
      </w:r>
      <w:r>
        <w:rPr>
          <w:rFonts w:hint="eastAsia" w:ascii="仿宋" w:hAnsi="仿宋" w:eastAsia="仿宋" w:cs="仿宋"/>
          <w:strike w:val="0"/>
          <w:dstrike w:val="0"/>
          <w:color w:val="auto"/>
          <w:sz w:val="32"/>
          <w:szCs w:val="32"/>
        </w:rPr>
        <w:t>常态化践行“四下基层”制度，</w:t>
      </w:r>
      <w:r>
        <w:rPr>
          <w:rFonts w:hint="eastAsia" w:ascii="仿宋" w:hAnsi="仿宋" w:eastAsia="仿宋" w:cs="仿宋"/>
          <w:strike w:val="0"/>
          <w:dstrike w:val="0"/>
          <w:color w:val="auto"/>
          <w:sz w:val="32"/>
          <w:szCs w:val="32"/>
          <w:lang w:eastAsia="zh-CN"/>
        </w:rPr>
        <w:t>一</w:t>
      </w:r>
      <w:r>
        <w:rPr>
          <w:rFonts w:hint="eastAsia" w:ascii="仿宋" w:hAnsi="仿宋" w:eastAsia="仿宋" w:cs="仿宋"/>
          <w:strike w:val="0"/>
          <w:dstrike w:val="0"/>
          <w:color w:val="auto"/>
          <w:sz w:val="32"/>
          <w:szCs w:val="32"/>
        </w:rPr>
        <w:t>年来</w:t>
      </w:r>
      <w:r>
        <w:rPr>
          <w:rFonts w:hint="eastAsia" w:ascii="仿宋" w:hAnsi="仿宋" w:eastAsia="仿宋" w:cs="仿宋"/>
          <w:strike w:val="0"/>
          <w:dstrike w:val="0"/>
          <w:color w:val="auto"/>
          <w:sz w:val="32"/>
          <w:szCs w:val="32"/>
          <w:lang w:eastAsia="zh-CN"/>
        </w:rPr>
        <w:t>区委常委班子成员</w:t>
      </w:r>
      <w:r>
        <w:rPr>
          <w:rFonts w:hint="eastAsia" w:ascii="仿宋" w:hAnsi="仿宋" w:eastAsia="仿宋" w:cs="仿宋"/>
          <w:strike w:val="0"/>
          <w:dstrike w:val="0"/>
          <w:color w:val="auto"/>
          <w:sz w:val="32"/>
          <w:szCs w:val="32"/>
        </w:rPr>
        <w:t>累计开展接访下访、调研386次，</w:t>
      </w:r>
      <w:r>
        <w:rPr>
          <w:rFonts w:hint="eastAsia" w:ascii="仿宋" w:hAnsi="仿宋" w:eastAsia="仿宋" w:cs="仿宋"/>
          <w:strike w:val="0"/>
          <w:dstrike w:val="0"/>
          <w:color w:val="auto"/>
          <w:sz w:val="32"/>
          <w:szCs w:val="32"/>
          <w:lang w:eastAsia="zh-CN"/>
        </w:rPr>
        <w:t>收集问题</w:t>
      </w:r>
      <w:r>
        <w:rPr>
          <w:rFonts w:hint="eastAsia" w:ascii="仿宋" w:hAnsi="仿宋" w:eastAsia="仿宋" w:cs="仿宋"/>
          <w:strike w:val="0"/>
          <w:dstrike w:val="0"/>
          <w:color w:val="auto"/>
          <w:sz w:val="32"/>
          <w:szCs w:val="32"/>
          <w:lang w:val="en-US" w:eastAsia="zh-CN"/>
        </w:rPr>
        <w:t>1390个，</w:t>
      </w:r>
      <w:r>
        <w:rPr>
          <w:rFonts w:hint="eastAsia" w:ascii="仿宋" w:hAnsi="仿宋" w:eastAsia="仿宋" w:cs="仿宋"/>
          <w:strike w:val="0"/>
          <w:dstrike w:val="0"/>
          <w:color w:val="auto"/>
          <w:sz w:val="32"/>
          <w:szCs w:val="32"/>
        </w:rPr>
        <w:t>解决问题</w:t>
      </w:r>
      <w:r>
        <w:rPr>
          <w:rFonts w:hint="eastAsia" w:ascii="仿宋" w:hAnsi="仿宋" w:eastAsia="仿宋" w:cs="仿宋"/>
          <w:strike w:val="0"/>
          <w:dstrike w:val="0"/>
          <w:color w:val="auto"/>
          <w:sz w:val="32"/>
          <w:szCs w:val="32"/>
          <w:lang w:val="en-US" w:eastAsia="zh-CN"/>
        </w:rPr>
        <w:t>1381</w:t>
      </w:r>
      <w:r>
        <w:rPr>
          <w:rFonts w:hint="eastAsia" w:ascii="仿宋" w:hAnsi="仿宋" w:eastAsia="仿宋" w:cs="仿宋"/>
          <w:strike w:val="0"/>
          <w:dstrike w:val="0"/>
          <w:color w:val="auto"/>
          <w:sz w:val="32"/>
          <w:szCs w:val="32"/>
        </w:rPr>
        <w:t>个。</w:t>
      </w:r>
      <w:r>
        <w:rPr>
          <w:rFonts w:hint="eastAsia" w:ascii="仿宋" w:hAnsi="仿宋" w:eastAsia="仿宋" w:cs="仿宋"/>
          <w:b/>
          <w:color w:val="auto"/>
          <w:sz w:val="32"/>
          <w:szCs w:val="32"/>
        </w:rPr>
        <w:t>抓</w:t>
      </w:r>
      <w:r>
        <w:rPr>
          <w:rFonts w:hint="eastAsia" w:ascii="仿宋" w:hAnsi="仿宋" w:eastAsia="仿宋" w:cs="仿宋"/>
          <w:b/>
          <w:color w:val="auto"/>
          <w:sz w:val="32"/>
          <w:szCs w:val="32"/>
          <w:lang w:eastAsia="zh-CN"/>
        </w:rPr>
        <w:t>实</w:t>
      </w:r>
      <w:r>
        <w:rPr>
          <w:rFonts w:hint="eastAsia" w:ascii="仿宋" w:hAnsi="仿宋" w:eastAsia="仿宋" w:cs="仿宋"/>
          <w:b/>
          <w:color w:val="auto"/>
          <w:sz w:val="32"/>
          <w:szCs w:val="32"/>
        </w:rPr>
        <w:t>软弱涣散党组织整顿。</w:t>
      </w:r>
      <w:r>
        <w:rPr>
          <w:rFonts w:hint="eastAsia" w:ascii="仿宋" w:hAnsi="仿宋" w:eastAsia="仿宋" w:cs="仿宋"/>
          <w:color w:val="auto"/>
          <w:sz w:val="32"/>
          <w:szCs w:val="32"/>
        </w:rPr>
        <w:t>开展“过筛子”排查摸底，</w:t>
      </w:r>
      <w:r>
        <w:rPr>
          <w:rFonts w:hint="eastAsia" w:ascii="仿宋" w:hAnsi="仿宋" w:eastAsia="仿宋" w:cs="仿宋"/>
          <w:color w:val="auto"/>
          <w:sz w:val="32"/>
          <w:szCs w:val="32"/>
          <w:lang w:eastAsia="zh-CN"/>
        </w:rPr>
        <w:t>将班子内耗严重、信访问题突出的</w:t>
      </w:r>
      <w:r>
        <w:rPr>
          <w:rFonts w:hint="eastAsia" w:ascii="仿宋" w:hAnsi="仿宋" w:eastAsia="仿宋" w:cs="仿宋"/>
          <w:color w:val="auto"/>
          <w:sz w:val="32"/>
          <w:szCs w:val="32"/>
        </w:rPr>
        <w:t>龙潭社区</w:t>
      </w:r>
      <w:r>
        <w:rPr>
          <w:rFonts w:hint="eastAsia" w:ascii="仿宋" w:hAnsi="仿宋" w:eastAsia="仿宋" w:cs="仿宋"/>
          <w:color w:val="auto"/>
          <w:sz w:val="32"/>
          <w:szCs w:val="32"/>
          <w:lang w:eastAsia="zh-CN"/>
        </w:rPr>
        <w:t>党支部、余德堂社区党委、东洲岛社区党委列为</w:t>
      </w:r>
      <w:r>
        <w:rPr>
          <w:rFonts w:hint="eastAsia" w:ascii="仿宋" w:hAnsi="仿宋" w:eastAsia="仿宋" w:cs="仿宋"/>
          <w:color w:val="auto"/>
          <w:sz w:val="32"/>
          <w:szCs w:val="32"/>
        </w:rPr>
        <w:t>软弱涣散</w:t>
      </w:r>
      <w:r>
        <w:rPr>
          <w:rFonts w:hint="eastAsia" w:ascii="仿宋" w:hAnsi="仿宋" w:eastAsia="仿宋" w:cs="仿宋"/>
          <w:color w:val="auto"/>
          <w:sz w:val="32"/>
          <w:szCs w:val="32"/>
          <w:lang w:eastAsia="zh-CN"/>
        </w:rPr>
        <w:t>党组织</w:t>
      </w:r>
      <w:r>
        <w:rPr>
          <w:rFonts w:hint="eastAsia" w:ascii="仿宋" w:hAnsi="仿宋" w:eastAsia="仿宋" w:cs="仿宋"/>
          <w:color w:val="auto"/>
          <w:sz w:val="32"/>
          <w:szCs w:val="32"/>
        </w:rPr>
        <w:t>，针对存在的</w:t>
      </w:r>
      <w:r>
        <w:rPr>
          <w:rFonts w:hint="eastAsia" w:ascii="仿宋" w:hAnsi="仿宋" w:eastAsia="仿宋" w:cs="仿宋"/>
          <w:color w:val="auto"/>
          <w:sz w:val="32"/>
          <w:szCs w:val="32"/>
          <w:lang w:eastAsia="zh-CN"/>
        </w:rPr>
        <w:t>问题</w:t>
      </w:r>
      <w:r>
        <w:rPr>
          <w:rFonts w:hint="eastAsia" w:ascii="仿宋" w:hAnsi="仿宋" w:eastAsia="仿宋" w:cs="仿宋"/>
          <w:color w:val="auto"/>
          <w:sz w:val="32"/>
          <w:szCs w:val="32"/>
        </w:rPr>
        <w:t>原因</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严格按照“四个一要求”制定整顿方案，</w:t>
      </w:r>
      <w:r>
        <w:rPr>
          <w:rFonts w:hint="eastAsia" w:ascii="仿宋" w:hAnsi="仿宋" w:eastAsia="仿宋" w:cs="仿宋"/>
          <w:color w:val="auto"/>
          <w:sz w:val="32"/>
          <w:szCs w:val="32"/>
          <w:lang w:eastAsia="zh-CN"/>
        </w:rPr>
        <w:t>调整撤换党组织书记</w:t>
      </w:r>
      <w:r>
        <w:rPr>
          <w:rFonts w:hint="eastAsia" w:ascii="仿宋" w:hAnsi="仿宋" w:eastAsia="仿宋" w:cs="仿宋"/>
          <w:color w:val="auto"/>
          <w:sz w:val="32"/>
          <w:szCs w:val="32"/>
          <w:lang w:val="en-US" w:eastAsia="zh-CN"/>
        </w:rPr>
        <w:t>2名，开展3轮专题调研，整顿效果明显</w:t>
      </w:r>
      <w:r>
        <w:rPr>
          <w:rFonts w:hint="eastAsia" w:ascii="仿宋" w:hAnsi="仿宋" w:eastAsia="仿宋" w:cs="仿宋"/>
          <w:color w:val="auto"/>
          <w:sz w:val="32"/>
          <w:szCs w:val="32"/>
        </w:rPr>
        <w:t>。</w:t>
      </w:r>
      <w:r>
        <w:rPr>
          <w:rFonts w:hint="eastAsia" w:ascii="仿宋" w:hAnsi="仿宋" w:eastAsia="仿宋" w:cs="仿宋"/>
          <w:b/>
          <w:color w:val="auto"/>
          <w:sz w:val="32"/>
          <w:szCs w:val="32"/>
          <w:lang w:eastAsia="zh-CN"/>
        </w:rPr>
        <w:t>持续推进支部</w:t>
      </w:r>
      <w:r>
        <w:rPr>
          <w:rFonts w:hint="eastAsia" w:ascii="仿宋" w:hAnsi="仿宋" w:eastAsia="仿宋" w:cs="仿宋"/>
          <w:b/>
          <w:color w:val="auto"/>
          <w:sz w:val="32"/>
          <w:szCs w:val="32"/>
        </w:rPr>
        <w:t>“五化”</w:t>
      </w:r>
      <w:r>
        <w:rPr>
          <w:rFonts w:hint="eastAsia" w:ascii="仿宋" w:hAnsi="仿宋" w:eastAsia="仿宋" w:cs="仿宋"/>
          <w:b/>
          <w:color w:val="auto"/>
          <w:sz w:val="32"/>
          <w:szCs w:val="32"/>
          <w:lang w:eastAsia="zh-CN"/>
        </w:rPr>
        <w:t>建设</w:t>
      </w:r>
      <w:r>
        <w:rPr>
          <w:rFonts w:hint="eastAsia" w:ascii="仿宋" w:hAnsi="仿宋" w:eastAsia="仿宋" w:cs="仿宋"/>
          <w:b/>
          <w:color w:val="auto"/>
          <w:sz w:val="32"/>
          <w:szCs w:val="32"/>
        </w:rPr>
        <w:t>。</w:t>
      </w:r>
      <w:r>
        <w:rPr>
          <w:rFonts w:hint="eastAsia" w:ascii="仿宋" w:hAnsi="仿宋" w:eastAsia="仿宋" w:cs="仿宋"/>
          <w:color w:val="auto"/>
          <w:sz w:val="32"/>
          <w:szCs w:val="32"/>
          <w:lang w:eastAsia="zh-CN"/>
        </w:rPr>
        <w:t>充实完善《基层党组织（党支部）“五化”建设标准》（修订版），以</w:t>
      </w:r>
      <w:r>
        <w:rPr>
          <w:rFonts w:hint="eastAsia" w:ascii="仿宋" w:hAnsi="仿宋" w:eastAsia="仿宋" w:cs="仿宋"/>
          <w:color w:val="auto"/>
          <w:sz w:val="32"/>
          <w:szCs w:val="32"/>
          <w:lang w:val="en-US" w:eastAsia="zh-CN"/>
        </w:rPr>
        <w:t>12个镇街、行业系统为主体，组织384个</w:t>
      </w:r>
      <w:r>
        <w:rPr>
          <w:rFonts w:hint="eastAsia" w:ascii="仿宋" w:hAnsi="仿宋" w:eastAsia="仿宋" w:cs="仿宋"/>
          <w:color w:val="auto"/>
          <w:sz w:val="32"/>
          <w:szCs w:val="32"/>
          <w:lang w:eastAsia="zh-CN"/>
        </w:rPr>
        <w:t>党支部开展“五化”建设“回头看”，持续巩固提升全区党支部“五化”建设成效。</w:t>
      </w:r>
      <w:r>
        <w:rPr>
          <w:rFonts w:hint="eastAsia" w:ascii="仿宋" w:hAnsi="仿宋" w:eastAsia="仿宋" w:cs="仿宋"/>
          <w:b/>
          <w:color w:val="auto"/>
          <w:sz w:val="32"/>
          <w:szCs w:val="32"/>
        </w:rPr>
        <w:t>扎实做好村</w:t>
      </w:r>
      <w:r>
        <w:rPr>
          <w:rFonts w:hint="eastAsia" w:ascii="仿宋" w:hAnsi="仿宋" w:eastAsia="仿宋" w:cs="仿宋"/>
          <w:b/>
          <w:color w:val="auto"/>
          <w:sz w:val="32"/>
          <w:szCs w:val="32"/>
          <w:lang w:eastAsia="zh-CN"/>
        </w:rPr>
        <w:t>班子评估和</w:t>
      </w:r>
      <w:r>
        <w:rPr>
          <w:rFonts w:hint="eastAsia" w:ascii="仿宋" w:hAnsi="仿宋" w:eastAsia="仿宋" w:cs="仿宋"/>
          <w:b/>
          <w:color w:val="auto"/>
          <w:sz w:val="32"/>
          <w:szCs w:val="32"/>
        </w:rPr>
        <w:t>书记后备力量培育。</w:t>
      </w:r>
      <w:r>
        <w:rPr>
          <w:rFonts w:hint="eastAsia" w:ascii="仿宋" w:hAnsi="仿宋" w:eastAsia="仿宋" w:cs="仿宋"/>
          <w:color w:val="auto"/>
          <w:sz w:val="32"/>
          <w:szCs w:val="32"/>
          <w:lang w:eastAsia="zh-CN"/>
        </w:rPr>
        <w:t>组织镇街对村班子届内运行情况以“好”“中”“弱”三个等次研判评估，依据研判结果，依</w:t>
      </w:r>
      <w:r>
        <w:rPr>
          <w:rFonts w:hint="eastAsia" w:ascii="仿宋" w:hAnsi="仿宋" w:eastAsia="仿宋" w:cs="仿宋"/>
          <w:color w:val="auto"/>
          <w:sz w:val="32"/>
          <w:szCs w:val="32"/>
        </w:rPr>
        <w:t>程序</w:t>
      </w:r>
      <w:r>
        <w:rPr>
          <w:rFonts w:hint="eastAsia" w:ascii="仿宋" w:hAnsi="仿宋" w:eastAsia="仿宋" w:cs="仿宋"/>
          <w:color w:val="auto"/>
          <w:sz w:val="32"/>
          <w:szCs w:val="32"/>
          <w:lang w:eastAsia="zh-CN"/>
        </w:rPr>
        <w:t>从党员“创客”致富能手“两委”中择优</w:t>
      </w:r>
      <w:r>
        <w:rPr>
          <w:rFonts w:hint="eastAsia" w:ascii="仿宋" w:hAnsi="仿宋" w:eastAsia="仿宋" w:cs="仿宋"/>
          <w:color w:val="auto"/>
          <w:sz w:val="32"/>
          <w:szCs w:val="32"/>
        </w:rPr>
        <w:t>确定村级党组织书记后备力量28名，其中大专及以上学历28人，平均年龄38岁，</w:t>
      </w:r>
      <w:r>
        <w:rPr>
          <w:rFonts w:hint="eastAsia" w:ascii="仿宋" w:hAnsi="仿宋" w:eastAsia="仿宋" w:cs="仿宋"/>
          <w:color w:val="auto"/>
          <w:sz w:val="32"/>
          <w:szCs w:val="32"/>
          <w:lang w:eastAsia="zh-CN"/>
        </w:rPr>
        <w:t>实现优储目标</w:t>
      </w:r>
      <w:r>
        <w:rPr>
          <w:rFonts w:hint="eastAsia" w:ascii="仿宋" w:hAnsi="仿宋" w:eastAsia="仿宋" w:cs="仿宋"/>
          <w:color w:val="auto"/>
          <w:sz w:val="32"/>
          <w:szCs w:val="32"/>
        </w:rPr>
        <w:t>。</w:t>
      </w:r>
      <w:r>
        <w:rPr>
          <w:rFonts w:hint="eastAsia" w:ascii="仿宋" w:hAnsi="仿宋" w:eastAsia="仿宋" w:cs="仿宋"/>
          <w:b/>
          <w:color w:val="auto"/>
          <w:sz w:val="32"/>
          <w:szCs w:val="32"/>
        </w:rPr>
        <w:t>创新推出基层党建专干稳岗制度。</w:t>
      </w:r>
      <w:r>
        <w:rPr>
          <w:rFonts w:hint="eastAsia" w:ascii="仿宋" w:hAnsi="仿宋" w:eastAsia="仿宋" w:cs="仿宋"/>
          <w:color w:val="auto"/>
          <w:sz w:val="32"/>
          <w:szCs w:val="32"/>
        </w:rPr>
        <w:t>坚持“两选两不选”，</w:t>
      </w:r>
      <w:r>
        <w:rPr>
          <w:rFonts w:hint="eastAsia" w:ascii="仿宋" w:hAnsi="仿宋" w:eastAsia="仿宋" w:cs="仿宋"/>
          <w:color w:val="auto"/>
          <w:sz w:val="32"/>
          <w:szCs w:val="32"/>
          <w:lang w:eastAsia="zh-CN"/>
        </w:rPr>
        <w:t>落实</w:t>
      </w:r>
      <w:r>
        <w:rPr>
          <w:rFonts w:hint="eastAsia" w:ascii="仿宋" w:hAnsi="仿宋" w:eastAsia="仿宋" w:cs="仿宋"/>
          <w:color w:val="auto"/>
          <w:sz w:val="32"/>
          <w:szCs w:val="32"/>
        </w:rPr>
        <w:t>党建专干备案管理和帮带培养</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强化正向激励</w:t>
      </w:r>
      <w:r>
        <w:rPr>
          <w:rFonts w:hint="eastAsia" w:ascii="仿宋" w:hAnsi="仿宋" w:eastAsia="仿宋" w:cs="仿宋"/>
          <w:color w:val="auto"/>
          <w:sz w:val="32"/>
          <w:szCs w:val="32"/>
          <w:lang w:eastAsia="zh-CN"/>
        </w:rPr>
        <w:t>等措施</w:t>
      </w:r>
      <w:r>
        <w:rPr>
          <w:rFonts w:hint="eastAsia" w:ascii="仿宋" w:hAnsi="仿宋" w:eastAsia="仿宋" w:cs="仿宋"/>
          <w:color w:val="auto"/>
          <w:sz w:val="32"/>
          <w:szCs w:val="32"/>
        </w:rPr>
        <w:t>，着力打造一支素质高、业务精、作风实、人员稳的党建专干队伍。目前，全区共配齐配强党建专干456名，其中大专以上学历占比70%，90后党建专干占比30%。今年来共</w:t>
      </w:r>
      <w:r>
        <w:rPr>
          <w:rFonts w:hint="eastAsia" w:ascii="仿宋" w:hAnsi="仿宋" w:eastAsia="仿宋" w:cs="仿宋"/>
          <w:color w:val="auto"/>
          <w:sz w:val="32"/>
          <w:szCs w:val="32"/>
          <w:lang w:eastAsia="zh-CN"/>
        </w:rPr>
        <w:t>有</w:t>
      </w:r>
      <w:r>
        <w:rPr>
          <w:rFonts w:hint="eastAsia" w:ascii="仿宋" w:hAnsi="仿宋" w:eastAsia="仿宋" w:cs="仿宋"/>
          <w:color w:val="auto"/>
          <w:sz w:val="32"/>
          <w:szCs w:val="32"/>
        </w:rPr>
        <w:t>82名党建专干评先评优，党建专干中有10名同志被提拔为副科级领导干部，愿意参与党建工作</w:t>
      </w:r>
      <w:r>
        <w:rPr>
          <w:rFonts w:hint="eastAsia" w:ascii="仿宋" w:hAnsi="仿宋" w:eastAsia="仿宋" w:cs="仿宋"/>
          <w:color w:val="auto"/>
          <w:sz w:val="32"/>
          <w:szCs w:val="32"/>
          <w:lang w:eastAsia="zh-CN"/>
        </w:rPr>
        <w:t>、愿意担任党建专干的</w:t>
      </w:r>
      <w:r>
        <w:rPr>
          <w:rFonts w:hint="eastAsia" w:ascii="仿宋" w:hAnsi="仿宋" w:eastAsia="仿宋" w:cs="仿宋"/>
          <w:color w:val="auto"/>
          <w:sz w:val="32"/>
          <w:szCs w:val="32"/>
        </w:rPr>
        <w:t>良好氛围已经形成。</w:t>
      </w:r>
      <w:r>
        <w:rPr>
          <w:rFonts w:hint="eastAsia" w:ascii="仿宋" w:hAnsi="仿宋" w:eastAsia="仿宋" w:cs="仿宋"/>
          <w:b/>
          <w:color w:val="auto"/>
          <w:sz w:val="32"/>
          <w:szCs w:val="32"/>
          <w:lang w:eastAsia="zh-CN"/>
        </w:rPr>
        <w:t>建好清廉村居</w:t>
      </w:r>
      <w:r>
        <w:rPr>
          <w:rFonts w:hint="eastAsia" w:ascii="仿宋" w:hAnsi="仿宋" w:eastAsia="仿宋" w:cs="仿宋"/>
          <w:b/>
          <w:color w:val="auto"/>
          <w:sz w:val="32"/>
          <w:szCs w:val="32"/>
        </w:rPr>
        <w:t>。</w:t>
      </w:r>
      <w:r>
        <w:rPr>
          <w:rFonts w:hint="eastAsia" w:ascii="仿宋" w:hAnsi="仿宋" w:eastAsia="仿宋" w:cs="仿宋"/>
          <w:color w:val="auto"/>
          <w:sz w:val="32"/>
          <w:szCs w:val="32"/>
          <w:lang w:eastAsia="zh-CN"/>
        </w:rPr>
        <w:t>严格对标班子清廉、干部清正、村务清爽、民风清朗“五清”标准，在隆桥村、高兴社区等</w:t>
      </w:r>
      <w:r>
        <w:rPr>
          <w:rFonts w:hint="eastAsia" w:ascii="仿宋" w:hAnsi="仿宋" w:eastAsia="仿宋" w:cs="仿宋"/>
          <w:color w:val="auto"/>
          <w:sz w:val="32"/>
          <w:szCs w:val="32"/>
          <w:lang w:val="en-US" w:eastAsia="zh-CN"/>
        </w:rPr>
        <w:t>8个村（社区）开展“清廉村居”建设，实现“清廉村居”建设对所有村（社区）的全覆盖，为助力乡村振兴提供了“廉动力”。</w:t>
      </w:r>
      <w:r>
        <w:rPr>
          <w:rFonts w:hint="eastAsia" w:ascii="仿宋" w:hAnsi="仿宋" w:eastAsia="仿宋" w:cs="仿宋"/>
          <w:b/>
          <w:color w:val="auto"/>
          <w:sz w:val="32"/>
          <w:szCs w:val="32"/>
        </w:rPr>
        <w:t>推动村级集体经济发展壮大。</w:t>
      </w:r>
      <w:r>
        <w:rPr>
          <w:rFonts w:hint="eastAsia" w:ascii="仿宋" w:hAnsi="仿宋" w:eastAsia="仿宋" w:cs="仿宋"/>
          <w:color w:val="auto"/>
          <w:sz w:val="32"/>
          <w:szCs w:val="32"/>
          <w:lang w:eastAsia="zh-CN"/>
        </w:rPr>
        <w:t>先后选派</w:t>
      </w:r>
      <w:r>
        <w:rPr>
          <w:rFonts w:hint="eastAsia" w:ascii="仿宋" w:hAnsi="仿宋" w:eastAsia="仿宋" w:cs="仿宋"/>
          <w:color w:val="auto"/>
          <w:sz w:val="32"/>
          <w:szCs w:val="32"/>
          <w:lang w:val="en-US" w:eastAsia="zh-CN"/>
        </w:rPr>
        <w:t>21名村党组织书记、致富带头人、党员创客参加市级以上抓党建促乡村振兴和“田间课堂”培训，引导持续做优花溪山林、白沙苑、文昌宫等一大批产业项目，促进农业增效、农民增收，基本实现村均集体经济收入小幅合理增长目标。</w:t>
      </w:r>
      <w:r>
        <w:rPr>
          <w:rFonts w:hint="eastAsia" w:ascii="仿宋" w:hAnsi="仿宋" w:eastAsia="仿宋" w:cs="仿宋"/>
          <w:color w:val="auto"/>
          <w:sz w:val="32"/>
          <w:szCs w:val="32"/>
          <w:lang w:eastAsia="zh-CN"/>
        </w:rPr>
        <w:t>黄茶岭街道</w:t>
      </w:r>
      <w:r>
        <w:rPr>
          <w:rFonts w:hint="eastAsia" w:ascii="仿宋" w:hAnsi="仿宋" w:eastAsia="仿宋" w:cs="仿宋"/>
          <w:color w:val="auto"/>
          <w:sz w:val="32"/>
          <w:szCs w:val="32"/>
        </w:rPr>
        <w:t>白沙村党总支书记、村委会主任余秘鲁</w:t>
      </w:r>
      <w:r>
        <w:rPr>
          <w:rFonts w:hint="eastAsia" w:ascii="仿宋" w:hAnsi="仿宋" w:eastAsia="仿宋" w:cs="仿宋"/>
          <w:color w:val="auto"/>
          <w:sz w:val="32"/>
          <w:szCs w:val="32"/>
          <w:lang w:eastAsia="zh-CN"/>
        </w:rPr>
        <w:t>因发展壮大村级集体经济事迹突出</w:t>
      </w:r>
      <w:r>
        <w:rPr>
          <w:rFonts w:hint="eastAsia" w:ascii="仿宋" w:hAnsi="仿宋" w:eastAsia="仿宋" w:cs="仿宋"/>
          <w:color w:val="auto"/>
          <w:sz w:val="32"/>
          <w:szCs w:val="32"/>
        </w:rPr>
        <w:t>被评为全省乡村振兴担当作为好支书。</w:t>
      </w:r>
      <w:r>
        <w:rPr>
          <w:rFonts w:hint="eastAsia" w:ascii="仿宋" w:hAnsi="仿宋" w:eastAsia="仿宋" w:cs="仿宋"/>
          <w:b/>
          <w:color w:val="auto"/>
          <w:sz w:val="32"/>
          <w:szCs w:val="32"/>
          <w:lang w:eastAsia="zh-CN"/>
        </w:rPr>
        <w:t>四是</w:t>
      </w:r>
      <w:r>
        <w:rPr>
          <w:rFonts w:hint="eastAsia" w:ascii="仿宋" w:hAnsi="仿宋" w:eastAsia="仿宋" w:cs="仿宋"/>
          <w:b/>
          <w:color w:val="auto"/>
          <w:sz w:val="32"/>
          <w:szCs w:val="32"/>
        </w:rPr>
        <w:t>聚焦主体，做实党员教育管理。</w:t>
      </w:r>
      <w:r>
        <w:rPr>
          <w:rFonts w:hint="eastAsia" w:ascii="仿宋" w:hAnsi="仿宋" w:eastAsia="仿宋" w:cs="仿宋"/>
          <w:b/>
          <w:color w:val="auto"/>
          <w:sz w:val="32"/>
          <w:szCs w:val="32"/>
          <w:lang w:eastAsia="zh-CN"/>
        </w:rPr>
        <w:t>规范党员档案和党费管理。</w:t>
      </w:r>
      <w:r>
        <w:rPr>
          <w:rFonts w:hint="eastAsia" w:ascii="仿宋" w:hAnsi="仿宋" w:eastAsia="仿宋" w:cs="仿宋"/>
          <w:color w:val="auto"/>
          <w:sz w:val="32"/>
          <w:szCs w:val="32"/>
        </w:rPr>
        <w:t>领办市级镇街党员档案室标准化建设</w:t>
      </w:r>
      <w:r>
        <w:rPr>
          <w:rFonts w:hint="eastAsia" w:ascii="仿宋" w:hAnsi="仿宋" w:eastAsia="仿宋" w:cs="仿宋"/>
          <w:color w:val="auto"/>
          <w:sz w:val="32"/>
          <w:szCs w:val="32"/>
          <w:lang w:eastAsia="zh-CN"/>
        </w:rPr>
        <w:t>课题</w:t>
      </w:r>
      <w:r>
        <w:rPr>
          <w:rFonts w:hint="eastAsia" w:ascii="仿宋" w:hAnsi="仿宋" w:eastAsia="仿宋" w:cs="仿宋"/>
          <w:color w:val="auto"/>
          <w:sz w:val="32"/>
          <w:szCs w:val="32"/>
        </w:rPr>
        <w:t>，高标准建设镇街党员档案室3个，基本实现“一人一档”。</w:t>
      </w:r>
      <w:r>
        <w:rPr>
          <w:rFonts w:hint="eastAsia" w:ascii="仿宋" w:hAnsi="仿宋" w:eastAsia="仿宋" w:cs="仿宋"/>
          <w:color w:val="auto"/>
          <w:sz w:val="32"/>
          <w:szCs w:val="32"/>
          <w:lang w:eastAsia="zh-CN"/>
        </w:rPr>
        <w:t>审核</w:t>
      </w:r>
      <w:r>
        <w:rPr>
          <w:rFonts w:hint="eastAsia" w:ascii="仿宋" w:hAnsi="仿宋" w:eastAsia="仿宋" w:cs="仿宋"/>
          <w:color w:val="auto"/>
          <w:sz w:val="32"/>
          <w:szCs w:val="32"/>
        </w:rPr>
        <w:t>区本级党员档案</w:t>
      </w:r>
      <w:r>
        <w:rPr>
          <w:rFonts w:hint="eastAsia" w:ascii="仿宋" w:hAnsi="仿宋" w:eastAsia="仿宋" w:cs="仿宋"/>
          <w:color w:val="auto"/>
          <w:sz w:val="32"/>
          <w:szCs w:val="32"/>
          <w:lang w:val="en-US" w:eastAsia="zh-CN"/>
        </w:rPr>
        <w:t>120</w:t>
      </w:r>
      <w:r>
        <w:rPr>
          <w:rFonts w:hint="eastAsia" w:ascii="仿宋" w:hAnsi="仿宋" w:eastAsia="仿宋" w:cs="仿宋"/>
          <w:color w:val="auto"/>
          <w:sz w:val="32"/>
          <w:szCs w:val="32"/>
        </w:rPr>
        <w:t>份，排查</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21个问题</w:t>
      </w:r>
      <w:r>
        <w:rPr>
          <w:rFonts w:hint="eastAsia" w:ascii="仿宋" w:hAnsi="仿宋" w:eastAsia="仿宋" w:cs="仿宋"/>
          <w:color w:val="auto"/>
          <w:sz w:val="32"/>
          <w:szCs w:val="32"/>
          <w:lang w:eastAsia="zh-CN"/>
        </w:rPr>
        <w:t>均</w:t>
      </w:r>
      <w:r>
        <w:rPr>
          <w:rFonts w:hint="eastAsia" w:ascii="仿宋" w:hAnsi="仿宋" w:eastAsia="仿宋" w:cs="仿宋"/>
          <w:color w:val="auto"/>
          <w:sz w:val="32"/>
          <w:szCs w:val="32"/>
        </w:rPr>
        <w:t>处置</w:t>
      </w:r>
      <w:r>
        <w:rPr>
          <w:rFonts w:hint="eastAsia" w:ascii="仿宋" w:hAnsi="仿宋" w:eastAsia="仿宋" w:cs="仿宋"/>
          <w:color w:val="auto"/>
          <w:sz w:val="32"/>
          <w:szCs w:val="32"/>
          <w:lang w:eastAsia="zh-CN"/>
        </w:rPr>
        <w:t>到位；切实发挥下拨党费效用，</w:t>
      </w:r>
      <w:r>
        <w:rPr>
          <w:rFonts w:hint="eastAsia" w:ascii="仿宋" w:hAnsi="仿宋" w:eastAsia="仿宋" w:cs="仿宋"/>
          <w:color w:val="auto"/>
          <w:sz w:val="32"/>
          <w:szCs w:val="32"/>
        </w:rPr>
        <w:t>累计下拨专项党费</w:t>
      </w:r>
      <w:r>
        <w:rPr>
          <w:rFonts w:hint="eastAsia" w:ascii="仿宋" w:hAnsi="仿宋" w:eastAsia="仿宋" w:cs="仿宋"/>
          <w:color w:val="auto"/>
          <w:sz w:val="32"/>
          <w:szCs w:val="32"/>
          <w:lang w:val="en-US" w:eastAsia="zh-CN"/>
        </w:rPr>
        <w:t>22.9</w:t>
      </w:r>
      <w:r>
        <w:rPr>
          <w:rFonts w:hint="eastAsia" w:ascii="仿宋" w:hAnsi="仿宋" w:eastAsia="仿宋" w:cs="仿宋"/>
          <w:color w:val="auto"/>
          <w:sz w:val="32"/>
          <w:szCs w:val="32"/>
        </w:rPr>
        <w:t>万元用于走访慰问困难党员、老党员</w:t>
      </w:r>
      <w:r>
        <w:rPr>
          <w:rFonts w:hint="eastAsia" w:ascii="仿宋" w:hAnsi="仿宋" w:eastAsia="仿宋" w:cs="仿宋"/>
          <w:color w:val="auto"/>
          <w:sz w:val="32"/>
          <w:szCs w:val="32"/>
          <w:lang w:val="en-US" w:eastAsia="zh-CN"/>
        </w:rPr>
        <w:t>623</w:t>
      </w:r>
      <w:r>
        <w:rPr>
          <w:rFonts w:hint="eastAsia" w:ascii="仿宋" w:hAnsi="仿宋" w:eastAsia="仿宋" w:cs="仿宋"/>
          <w:color w:val="auto"/>
          <w:sz w:val="32"/>
          <w:szCs w:val="32"/>
        </w:rPr>
        <w:t>人。</w:t>
      </w:r>
      <w:r>
        <w:rPr>
          <w:rFonts w:hint="eastAsia" w:ascii="仿宋" w:hAnsi="仿宋" w:eastAsia="仿宋" w:cs="仿宋"/>
          <w:b/>
          <w:color w:val="auto"/>
          <w:sz w:val="32"/>
          <w:szCs w:val="32"/>
        </w:rPr>
        <w:t>激发党员作用发挥。</w:t>
      </w:r>
      <w:r>
        <w:rPr>
          <w:rFonts w:hint="eastAsia" w:ascii="仿宋" w:hAnsi="仿宋" w:eastAsia="仿宋" w:cs="仿宋"/>
          <w:color w:val="auto"/>
          <w:sz w:val="32"/>
          <w:szCs w:val="32"/>
          <w:lang w:val="en" w:eastAsia="zh-CN"/>
        </w:rPr>
        <w:t>充分发挥基层党组织和党员队伍的先锋模范作用，广泛开展“四大行动”助力旅发大会。</w:t>
      </w:r>
      <w:r>
        <w:rPr>
          <w:rFonts w:hint="eastAsia" w:ascii="仿宋" w:hAnsi="仿宋" w:eastAsia="仿宋" w:cs="仿宋"/>
          <w:color w:val="auto"/>
          <w:sz w:val="32"/>
          <w:szCs w:val="32"/>
          <w:lang w:eastAsia="zh-CN"/>
        </w:rPr>
        <w:t>雨花亭片区提质改造项目仅用</w:t>
      </w:r>
      <w:r>
        <w:rPr>
          <w:rFonts w:hint="eastAsia" w:ascii="仿宋" w:hAnsi="仿宋" w:eastAsia="仿宋" w:cs="仿宋"/>
          <w:color w:val="auto"/>
          <w:sz w:val="32"/>
          <w:szCs w:val="32"/>
          <w:lang w:val="en-US" w:eastAsia="zh-CN"/>
        </w:rPr>
        <w:t>60天就高效和谐地完成199户房屋征拆和搬离工作。台风“格美”带来重大汛情发生后，岳屏镇、雁峰街道、黄茶岭街道1000余名党员志愿者闻“汛”而动，夜以继日巡河堤、排险情，展现了共产党员的“硬核”担当。</w:t>
      </w:r>
    </w:p>
    <w:p w14:paraId="31F3E5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、突出政治立部要求，加强组织部门自身建设。</w:t>
      </w:r>
      <w:r>
        <w:rPr>
          <w:rFonts w:hint="eastAsia" w:ascii="仿宋" w:hAnsi="仿宋" w:eastAsia="仿宋" w:cs="仿宋"/>
          <w:b/>
          <w:sz w:val="32"/>
          <w:szCs w:val="32"/>
        </w:rPr>
        <w:t>一是强化党性锤炼。</w:t>
      </w:r>
      <w:r>
        <w:rPr>
          <w:rFonts w:hint="eastAsia" w:ascii="仿宋" w:hAnsi="仿宋" w:eastAsia="仿宋" w:cs="仿宋"/>
          <w:color w:val="auto"/>
          <w:sz w:val="32"/>
          <w:szCs w:val="32"/>
          <w:lang w:val="en-US" w:eastAsia="zh-CN"/>
        </w:rPr>
        <w:t>落实领学机制，坚持部务会带头领学，严格执行部务会“第一议题”学习制度，推动主题教育常态化长效化。2024年组织我部全体干部职工学习习近平总书记重要讲话、重要指示精神，党纪学习教育等20余次，学习研讨4次。</w:t>
      </w:r>
      <w:r>
        <w:rPr>
          <w:rFonts w:hint="eastAsia" w:ascii="仿宋" w:hAnsi="仿宋" w:eastAsia="仿宋" w:cs="仿宋"/>
          <w:color w:val="auto"/>
          <w:sz w:val="32"/>
          <w:szCs w:val="32"/>
        </w:rPr>
        <w:t>部领导及普通党员撰写心得体会2</w:t>
      </w:r>
      <w:r>
        <w:rPr>
          <w:rFonts w:hint="eastAsia" w:ascii="仿宋" w:hAnsi="仿宋" w:eastAsia="仿宋" w:cs="仿宋"/>
          <w:color w:val="auto"/>
          <w:sz w:val="32"/>
          <w:szCs w:val="32"/>
          <w:lang w:val="en-US" w:eastAsia="zh-CN"/>
        </w:rPr>
        <w:t>0余</w:t>
      </w:r>
      <w:r>
        <w:rPr>
          <w:rFonts w:hint="eastAsia" w:ascii="仿宋" w:hAnsi="仿宋" w:eastAsia="仿宋" w:cs="仿宋"/>
          <w:color w:val="auto"/>
          <w:sz w:val="32"/>
          <w:szCs w:val="32"/>
        </w:rPr>
        <w:t>篇。</w:t>
      </w:r>
      <w:r>
        <w:rPr>
          <w:rFonts w:hint="eastAsia" w:ascii="仿宋" w:hAnsi="仿宋" w:eastAsia="仿宋" w:cs="仿宋"/>
          <w:i w:val="0"/>
          <w:iCs w:val="0"/>
          <w:caps w:val="0"/>
          <w:color w:val="auto"/>
          <w:spacing w:val="0"/>
          <w:sz w:val="32"/>
          <w:szCs w:val="32"/>
          <w:shd w:val="clear" w:color="auto" w:fill="FFFFFF"/>
          <w:lang w:val="en-US" w:eastAsia="zh-CN"/>
        </w:rPr>
        <w:t>充分发挥组工干部模范带头作用，组织走访慰问困难党员、群众、文明城市创建等志愿服务活动30余次，</w:t>
      </w:r>
      <w:r>
        <w:rPr>
          <w:rFonts w:hint="eastAsia" w:ascii="仿宋" w:hAnsi="仿宋" w:eastAsia="仿宋" w:cs="仿宋"/>
          <w:color w:val="auto"/>
          <w:sz w:val="32"/>
          <w:szCs w:val="32"/>
        </w:rPr>
        <w:t>为群众解决实际问题7个。</w:t>
      </w:r>
      <w:r>
        <w:rPr>
          <w:rFonts w:hint="eastAsia" w:ascii="仿宋" w:hAnsi="仿宋" w:eastAsia="仿宋" w:cs="仿宋"/>
          <w:b/>
          <w:bCs/>
          <w:color w:val="auto"/>
          <w:sz w:val="32"/>
          <w:szCs w:val="32"/>
          <w:lang w:val="en-US" w:eastAsia="zh-CN"/>
        </w:rPr>
        <w:t>二是建设新时代组工尖兵队伍。</w:t>
      </w:r>
      <w:r>
        <w:rPr>
          <w:rFonts w:hint="eastAsia" w:ascii="仿宋" w:hAnsi="仿宋" w:eastAsia="仿宋" w:cs="仿宋"/>
          <w:b w:val="0"/>
          <w:bCs w:val="0"/>
          <w:color w:val="auto"/>
          <w:sz w:val="32"/>
          <w:szCs w:val="32"/>
          <w:lang w:val="en-US" w:eastAsia="zh-CN"/>
        </w:rPr>
        <w:t>创新开展6期“组工尖兵谈组工”活动，通过组工干部授课、研讨、实践等形式，围绕党员发展全过程、“人才政策和引进人才”以及公务员工资制度等主题，开拓了组工干部眼界思路，丰富专业知识，提升理论素养和思维层次。</w:t>
      </w:r>
      <w:r>
        <w:rPr>
          <w:rFonts w:hint="eastAsia" w:ascii="仿宋" w:hAnsi="仿宋" w:eastAsia="仿宋" w:cs="仿宋"/>
          <w:b/>
          <w:bCs/>
          <w:color w:val="auto"/>
          <w:sz w:val="32"/>
          <w:szCs w:val="32"/>
          <w:lang w:val="en-US" w:eastAsia="zh-CN"/>
        </w:rPr>
        <w:t>三是切实抓好组工宣传阵地。</w:t>
      </w:r>
      <w:r>
        <w:rPr>
          <w:rFonts w:hint="eastAsia" w:ascii="仿宋" w:hAnsi="仿宋" w:eastAsia="仿宋" w:cs="仿宋"/>
          <w:color w:val="auto"/>
          <w:sz w:val="32"/>
          <w:szCs w:val="32"/>
        </w:rPr>
        <w:t>定期</w:t>
      </w:r>
      <w:r>
        <w:rPr>
          <w:rFonts w:hint="eastAsia" w:ascii="仿宋" w:hAnsi="仿宋" w:eastAsia="仿宋" w:cs="仿宋"/>
          <w:color w:val="auto"/>
          <w:sz w:val="32"/>
          <w:szCs w:val="32"/>
          <w:lang w:val="en-US" w:eastAsia="zh-CN"/>
        </w:rPr>
        <w:t>在网络平台</w:t>
      </w:r>
      <w:r>
        <w:rPr>
          <w:rFonts w:hint="eastAsia" w:ascii="仿宋" w:hAnsi="仿宋" w:eastAsia="仿宋" w:cs="仿宋"/>
          <w:color w:val="auto"/>
          <w:sz w:val="32"/>
          <w:szCs w:val="32"/>
        </w:rPr>
        <w:t>发布党的方针政策、组工动态、党建信息等内容，唱响党建主旋律。</w:t>
      </w:r>
      <w:r>
        <w:rPr>
          <w:rFonts w:hint="eastAsia" w:ascii="仿宋" w:hAnsi="仿宋" w:eastAsia="仿宋" w:cs="仿宋"/>
          <w:color w:val="auto"/>
          <w:sz w:val="32"/>
          <w:szCs w:val="32"/>
          <w:lang w:val="en-US" w:eastAsia="zh-CN"/>
        </w:rPr>
        <w:t>专人负责网络舆情监管，每月定期向上级部</w:t>
      </w:r>
      <w:r>
        <w:rPr>
          <w:rFonts w:hint="eastAsia" w:ascii="仿宋" w:hAnsi="仿宋" w:eastAsia="仿宋" w:cs="仿宋"/>
          <w:color w:val="auto"/>
          <w:kern w:val="0"/>
          <w:sz w:val="32"/>
          <w:szCs w:val="32"/>
          <w:lang w:val="en-US" w:eastAsia="zh-CN"/>
        </w:rPr>
        <w:t>门报送涉组涉干舆情</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2024年累计</w:t>
      </w:r>
      <w:r>
        <w:rPr>
          <w:rFonts w:hint="eastAsia" w:ascii="仿宋" w:hAnsi="仿宋" w:eastAsia="仿宋" w:cs="仿宋"/>
          <w:color w:val="auto"/>
          <w:sz w:val="32"/>
          <w:szCs w:val="32"/>
          <w:lang w:val="en-US" w:eastAsia="zh-CN"/>
        </w:rPr>
        <w:t>制作《巾帼她力量 助力旅发会》等红色视频3部，红星云（湖南省委组织部）上稿5篇，共产党员网（中共中央组织部）发表文章5篇，微博上发表贴文18篇，自外而内、由上而下创设良好舆论环境</w:t>
      </w:r>
      <w:r>
        <w:rPr>
          <w:rFonts w:hint="eastAsia" w:ascii="仿宋" w:hAnsi="仿宋" w:eastAsia="仿宋" w:cs="仿宋"/>
          <w:bCs/>
          <w:color w:val="auto"/>
          <w:sz w:val="32"/>
          <w:szCs w:val="32"/>
          <w:lang w:val="en-US" w:eastAsia="zh-CN"/>
        </w:rPr>
        <w:t>。</w:t>
      </w:r>
      <w:r>
        <w:rPr>
          <w:rFonts w:hint="eastAsia" w:ascii="仿宋" w:hAnsi="仿宋" w:eastAsia="仿宋" w:cs="仿宋"/>
          <w:b/>
          <w:bCs/>
          <w:color w:val="auto"/>
          <w:kern w:val="2"/>
          <w:sz w:val="32"/>
          <w:szCs w:val="32"/>
          <w:highlight w:val="none"/>
          <w:lang w:val="en-US" w:eastAsia="zh-CN" w:bidi="ar-SA"/>
        </w:rPr>
        <w:t>四是抓实干部监督管理。</w:t>
      </w:r>
      <w:r>
        <w:rPr>
          <w:rFonts w:hint="eastAsia" w:ascii="仿宋" w:hAnsi="仿宋" w:eastAsia="仿宋" w:cs="仿宋"/>
          <w:b w:val="0"/>
          <w:bCs w:val="0"/>
          <w:color w:val="auto"/>
          <w:kern w:val="2"/>
          <w:sz w:val="32"/>
          <w:szCs w:val="32"/>
          <w:highlight w:val="none"/>
          <w:lang w:val="en-US" w:eastAsia="zh-CN" w:bidi="ar-SA"/>
        </w:rPr>
        <w:t>牵头各组室实时更新“未巡先改”工作动态完成情况，做好干部监督组“未巡先改”资料汇总整理工作，为迎接省委巡视做好准备。</w:t>
      </w:r>
    </w:p>
    <w:p w14:paraId="023AAAB9">
      <w:pPr>
        <w:pStyle w:val="2"/>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outlineLvl w:val="9"/>
        <w:rPr>
          <w:rFonts w:hint="eastAsia"/>
          <w:lang w:val="en-US" w:eastAsia="zh-CN"/>
        </w:rPr>
      </w:pPr>
      <w:r>
        <w:rPr>
          <w:rFonts w:hint="eastAsia" w:ascii="仿宋" w:hAnsi="仿宋" w:eastAsia="仿宋" w:cs="仿宋"/>
          <w:b w:val="0"/>
          <w:bCs w:val="0"/>
          <w:color w:val="auto"/>
          <w:kern w:val="2"/>
          <w:sz w:val="32"/>
          <w:szCs w:val="32"/>
          <w:highlight w:val="none"/>
          <w:lang w:val="en-US" w:eastAsia="zh-CN" w:bidi="ar-SA"/>
        </w:rPr>
        <w:t>履职效益体现在三方面：</w:t>
      </w:r>
      <w:r>
        <w:rPr>
          <w:rFonts w:hint="eastAsia" w:ascii="仿宋" w:hAnsi="仿宋" w:eastAsia="仿宋" w:cs="仿宋"/>
          <w:b/>
          <w:bCs/>
          <w:color w:val="auto"/>
          <w:kern w:val="2"/>
          <w:sz w:val="32"/>
          <w:szCs w:val="32"/>
          <w:highlight w:val="none"/>
          <w:lang w:val="en-US" w:eastAsia="zh-CN" w:bidi="ar-SA"/>
        </w:rPr>
        <w:t>一是注重实效，服务中心大局。</w:t>
      </w:r>
      <w:r>
        <w:rPr>
          <w:rFonts w:hint="eastAsia" w:ascii="仿宋" w:hAnsi="仿宋" w:eastAsia="仿宋" w:cs="仿宋"/>
          <w:b w:val="0"/>
          <w:bCs w:val="0"/>
          <w:color w:val="auto"/>
          <w:kern w:val="2"/>
          <w:sz w:val="32"/>
          <w:szCs w:val="32"/>
          <w:highlight w:val="none"/>
          <w:lang w:val="en-US" w:eastAsia="zh-CN" w:bidi="ar-SA"/>
        </w:rPr>
        <w:t>所有工作均紧密围绕区委中心任务展开，无论是保障重大项目建设（如60天完成征拆），还是应对突发汛情，组织部门都提供了强有力的组织保证和队伍支持。</w:t>
      </w:r>
      <w:r>
        <w:rPr>
          <w:rFonts w:hint="eastAsia" w:ascii="仿宋" w:hAnsi="仿宋" w:eastAsia="仿宋" w:cs="仿宋"/>
          <w:b/>
          <w:bCs/>
          <w:color w:val="auto"/>
          <w:kern w:val="2"/>
          <w:sz w:val="32"/>
          <w:szCs w:val="32"/>
          <w:highlight w:val="none"/>
          <w:lang w:val="en-US" w:eastAsia="zh-CN" w:bidi="ar-SA"/>
        </w:rPr>
        <w:t>二是勇于创新，打造特色品牌。</w:t>
      </w:r>
      <w:r>
        <w:rPr>
          <w:rFonts w:hint="eastAsia" w:ascii="仿宋" w:hAnsi="仿宋" w:eastAsia="仿宋" w:cs="仿宋"/>
          <w:b w:val="0"/>
          <w:bCs w:val="0"/>
          <w:color w:val="auto"/>
          <w:kern w:val="2"/>
          <w:sz w:val="32"/>
          <w:szCs w:val="32"/>
          <w:highlight w:val="none"/>
          <w:lang w:val="en-US" w:eastAsia="zh-CN" w:bidi="ar-SA"/>
        </w:rPr>
        <w:t>在干部激励、人才引进、基层治理（如“三长制”）等方面积极探索，形成了可推广的经验模式，部分工作走在了全市乃至全省前列。</w:t>
      </w:r>
      <w:r>
        <w:rPr>
          <w:rFonts w:hint="eastAsia" w:ascii="仿宋" w:hAnsi="仿宋" w:eastAsia="仿宋" w:cs="仿宋"/>
          <w:b/>
          <w:bCs/>
          <w:color w:val="auto"/>
          <w:kern w:val="2"/>
          <w:sz w:val="32"/>
          <w:szCs w:val="32"/>
          <w:highlight w:val="none"/>
          <w:lang w:val="en-US" w:eastAsia="zh-CN" w:bidi="ar-SA"/>
        </w:rPr>
        <w:t>三是系统推进，实现全面进步。</w:t>
      </w:r>
      <w:r>
        <w:rPr>
          <w:rFonts w:hint="eastAsia" w:ascii="仿宋" w:hAnsi="仿宋" w:eastAsia="仿宋" w:cs="仿宋"/>
          <w:b w:val="0"/>
          <w:bCs w:val="0"/>
          <w:color w:val="auto"/>
          <w:kern w:val="2"/>
          <w:sz w:val="32"/>
          <w:szCs w:val="32"/>
          <w:highlight w:val="none"/>
          <w:lang w:val="en-US" w:eastAsia="zh-CN" w:bidi="ar-SA"/>
        </w:rPr>
        <w:t>工作覆盖了“人”（干部、人才、党员）、“组织”（基层党组织）和“自身”（部门建设）三大维度，构建了相互支撑、协同推进的良好工作格局。</w:t>
      </w:r>
    </w:p>
    <w:p w14:paraId="05CEE2B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sz w:val="32"/>
          <w:szCs w:val="32"/>
          <w:lang w:eastAsia="zh-CN"/>
        </w:rPr>
      </w:pPr>
      <w:bookmarkStart w:id="28" w:name="_Toc19252"/>
      <w:r>
        <w:rPr>
          <w:rFonts w:hint="eastAsia" w:ascii="黑体" w:hAnsi="黑体" w:eastAsia="黑体" w:cs="黑体"/>
          <w:sz w:val="32"/>
          <w:szCs w:val="32"/>
          <w:lang w:eastAsia="zh-CN"/>
        </w:rPr>
        <w:t>部门</w:t>
      </w:r>
      <w:r>
        <w:rPr>
          <w:rFonts w:hint="eastAsia" w:ascii="黑体" w:hAnsi="黑体" w:eastAsia="黑体" w:cs="黑体"/>
          <w:sz w:val="32"/>
          <w:szCs w:val="32"/>
          <w:lang w:val="en-US" w:eastAsia="zh-CN"/>
        </w:rPr>
        <w:t>预算及</w:t>
      </w:r>
      <w:r>
        <w:rPr>
          <w:rFonts w:hint="eastAsia" w:ascii="黑体" w:hAnsi="黑体" w:eastAsia="黑体" w:cs="黑体"/>
          <w:sz w:val="32"/>
          <w:szCs w:val="32"/>
          <w:lang w:eastAsia="zh-CN"/>
        </w:rPr>
        <w:t>整体支出概况</w:t>
      </w:r>
      <w:bookmarkEnd w:id="28"/>
    </w:p>
    <w:p w14:paraId="5E9392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分析逻辑流程：年初预算数→全年预算数（调整后预算数）→账套数→重分类数，重分类后与决算数进行对比分析。由于区委组织部未提供凭证，未进行重分类。</w:t>
      </w:r>
    </w:p>
    <w:p w14:paraId="10336602">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29" w:name="_Toc16382"/>
      <w:r>
        <w:rPr>
          <w:rFonts w:hint="eastAsia" w:ascii="楷体" w:hAnsi="楷体" w:eastAsia="楷体" w:cs="楷体"/>
          <w:b/>
          <w:bCs/>
          <w:sz w:val="32"/>
          <w:szCs w:val="32"/>
          <w:lang w:eastAsia="zh-CN"/>
        </w:rPr>
        <w:t>预算</w:t>
      </w:r>
      <w:r>
        <w:rPr>
          <w:rFonts w:hint="eastAsia" w:ascii="楷体" w:hAnsi="楷体" w:eastAsia="楷体" w:cs="楷体"/>
          <w:b/>
          <w:bCs/>
          <w:sz w:val="32"/>
          <w:szCs w:val="32"/>
          <w:lang w:val="en-US" w:eastAsia="zh-CN"/>
        </w:rPr>
        <w:t>配置</w:t>
      </w:r>
      <w:r>
        <w:rPr>
          <w:rFonts w:hint="eastAsia" w:ascii="楷体" w:hAnsi="楷体" w:eastAsia="楷体" w:cs="楷体"/>
          <w:b/>
          <w:bCs/>
          <w:sz w:val="32"/>
          <w:szCs w:val="32"/>
          <w:lang w:eastAsia="zh-CN"/>
        </w:rPr>
        <w:t>情况</w:t>
      </w:r>
      <w:r>
        <w:rPr>
          <w:rFonts w:hint="eastAsia" w:ascii="楷体" w:hAnsi="楷体" w:eastAsia="楷体" w:cs="楷体"/>
          <w:b/>
          <w:bCs/>
          <w:sz w:val="32"/>
          <w:szCs w:val="32"/>
          <w:lang w:val="en-US" w:eastAsia="zh-CN"/>
        </w:rPr>
        <w:t>及分析</w:t>
      </w:r>
      <w:bookmarkEnd w:id="29"/>
    </w:p>
    <w:p w14:paraId="06B55FC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楷体" w:hAnsi="楷体" w:eastAsia="楷体" w:cs="楷体"/>
          <w:b/>
          <w:bCs/>
          <w:sz w:val="32"/>
          <w:szCs w:val="32"/>
          <w:lang w:val="en-US" w:eastAsia="zh-CN"/>
        </w:rPr>
      </w:pPr>
      <w:r>
        <w:rPr>
          <w:rFonts w:hint="eastAsia" w:ascii="仿宋" w:hAnsi="仿宋" w:eastAsia="仿宋" w:cs="仿宋"/>
          <w:b/>
          <w:bCs/>
          <w:sz w:val="32"/>
          <w:szCs w:val="32"/>
          <w:lang w:val="en-US" w:eastAsia="zh-CN"/>
        </w:rPr>
        <w:t>1.预算配置情况</w:t>
      </w:r>
    </w:p>
    <w:p w14:paraId="725D31D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楷体" w:hAnsi="楷体" w:eastAsia="楷体" w:cs="楷体"/>
          <w:b w:val="0"/>
          <w:bCs w:val="0"/>
          <w:sz w:val="32"/>
          <w:szCs w:val="32"/>
          <w:lang w:eastAsia="zh-CN"/>
        </w:rPr>
      </w:pPr>
      <w:r>
        <w:rPr>
          <w:rFonts w:hint="eastAsia" w:ascii="仿宋" w:hAnsi="仿宋" w:eastAsia="仿宋" w:cs="仿宋"/>
          <w:b w:val="0"/>
          <w:bCs w:val="0"/>
          <w:sz w:val="32"/>
          <w:szCs w:val="32"/>
          <w:lang w:eastAsia="zh-CN"/>
        </w:rPr>
        <w:t>年初预算额</w:t>
      </w:r>
      <w:r>
        <w:rPr>
          <w:rFonts w:hint="eastAsia" w:ascii="仿宋" w:hAnsi="仿宋" w:eastAsia="仿宋" w:cs="仿宋"/>
          <w:b w:val="0"/>
          <w:bCs w:val="0"/>
          <w:sz w:val="32"/>
          <w:szCs w:val="32"/>
          <w:highlight w:val="none"/>
          <w:lang w:eastAsia="zh-CN"/>
        </w:rPr>
        <w:t>度4,118,021.14元，</w:t>
      </w:r>
      <w:r>
        <w:rPr>
          <w:rFonts w:hint="eastAsia" w:ascii="仿宋" w:hAnsi="仿宋" w:eastAsia="仿宋" w:cs="仿宋"/>
          <w:b w:val="0"/>
          <w:bCs w:val="0"/>
          <w:sz w:val="32"/>
          <w:szCs w:val="32"/>
          <w:highlight w:val="none"/>
          <w:lang w:val="en-US" w:eastAsia="zh-CN"/>
        </w:rPr>
        <w:t>预算调整后额度8,190,958.11元</w:t>
      </w:r>
      <w:r>
        <w:rPr>
          <w:rFonts w:hint="eastAsia" w:ascii="仿宋" w:hAnsi="仿宋" w:eastAsia="仿宋" w:cs="仿宋"/>
          <w:b w:val="0"/>
          <w:bCs w:val="0"/>
          <w:sz w:val="32"/>
          <w:szCs w:val="32"/>
          <w:highlight w:val="none"/>
          <w:lang w:eastAsia="zh-CN"/>
        </w:rPr>
        <w:t>。</w:t>
      </w:r>
    </w:p>
    <w:p w14:paraId="7B87E63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lang w:val="en-US" w:eastAsia="zh-CN"/>
        </w:rPr>
        <w:t>2.预算配置</w:t>
      </w:r>
      <w:r>
        <w:rPr>
          <w:rFonts w:hint="eastAsia" w:ascii="仿宋" w:hAnsi="仿宋" w:eastAsia="仿宋" w:cs="仿宋"/>
          <w:b/>
          <w:bCs/>
          <w:sz w:val="32"/>
          <w:szCs w:val="32"/>
          <w:lang w:eastAsia="zh-CN"/>
        </w:rPr>
        <w:t>分析</w:t>
      </w:r>
      <w:r>
        <w:rPr>
          <w:rFonts w:hint="eastAsia" w:ascii="仿宋" w:hAnsi="仿宋" w:eastAsia="仿宋" w:cs="仿宋"/>
          <w:b/>
          <w:bCs/>
          <w:sz w:val="32"/>
          <w:szCs w:val="32"/>
          <w:lang w:val="en-US" w:eastAsia="zh-CN"/>
        </w:rPr>
        <w:t>及调整，</w:t>
      </w:r>
      <w:r>
        <w:rPr>
          <w:rFonts w:hint="eastAsia" w:ascii="仿宋" w:hAnsi="仿宋" w:eastAsia="仿宋" w:cs="仿宋"/>
          <w:b/>
          <w:bCs/>
          <w:sz w:val="32"/>
          <w:szCs w:val="32"/>
          <w:highlight w:val="none"/>
          <w:lang w:val="en-US" w:eastAsia="zh-CN"/>
        </w:rPr>
        <w:t>未提供预算调整的批复。</w:t>
      </w:r>
    </w:p>
    <w:p w14:paraId="0277EEE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配置对比表如下：</w:t>
      </w:r>
    </w:p>
    <w:tbl>
      <w:tblPr>
        <w:tblStyle w:val="14"/>
        <w:tblW w:w="54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6"/>
        <w:gridCol w:w="1999"/>
        <w:gridCol w:w="2000"/>
      </w:tblGrid>
      <w:tr w14:paraId="67F5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481" w:type="dxa"/>
            <w:tcBorders>
              <w:top w:val="single" w:color="000000" w:sz="4" w:space="0"/>
              <w:left w:val="single" w:color="000000" w:sz="4" w:space="0"/>
              <w:bottom w:val="single" w:color="000000" w:sz="4" w:space="0"/>
              <w:right w:val="single" w:color="000000" w:sz="4" w:space="0"/>
            </w:tcBorders>
            <w:shd w:val="clear" w:color="DCE6F1" w:fill="DCE6F1"/>
            <w:vAlign w:val="center"/>
          </w:tcPr>
          <w:p w14:paraId="59F34AE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支出分类</w:t>
            </w:r>
          </w:p>
        </w:tc>
        <w:tc>
          <w:tcPr>
            <w:tcW w:w="2001" w:type="dxa"/>
            <w:tcBorders>
              <w:top w:val="single" w:color="000000" w:sz="4" w:space="0"/>
              <w:left w:val="single" w:color="000000" w:sz="4" w:space="0"/>
              <w:bottom w:val="single" w:color="000000" w:sz="4" w:space="0"/>
              <w:right w:val="single" w:color="000000" w:sz="4" w:space="0"/>
            </w:tcBorders>
            <w:shd w:val="clear" w:color="DCE6F1" w:fill="DCE6F1"/>
            <w:vAlign w:val="center"/>
          </w:tcPr>
          <w:p w14:paraId="4DC006A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年初预算数</w:t>
            </w:r>
          </w:p>
        </w:tc>
        <w:tc>
          <w:tcPr>
            <w:tcW w:w="2001" w:type="dxa"/>
            <w:tcBorders>
              <w:top w:val="single" w:color="000000" w:sz="4" w:space="0"/>
              <w:left w:val="single" w:color="000000" w:sz="4" w:space="0"/>
              <w:bottom w:val="single" w:color="000000" w:sz="4" w:space="0"/>
              <w:right w:val="single" w:color="000000" w:sz="4" w:space="0"/>
            </w:tcBorders>
            <w:shd w:val="clear" w:color="DCE6F1" w:fill="DCE6F1"/>
            <w:vAlign w:val="center"/>
          </w:tcPr>
          <w:p w14:paraId="60D891E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全年预算数</w:t>
            </w:r>
          </w:p>
        </w:tc>
      </w:tr>
      <w:tr w14:paraId="7DBF5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7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人员经费</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0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2,832,321.14 </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3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3,115,808.95 </w:t>
            </w:r>
          </w:p>
        </w:tc>
      </w:tr>
      <w:tr w14:paraId="18B86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481" w:type="dxa"/>
            <w:tcBorders>
              <w:top w:val="single" w:color="000000" w:sz="4" w:space="0"/>
              <w:left w:val="single" w:color="000000" w:sz="4" w:space="0"/>
              <w:bottom w:val="single" w:color="000000" w:sz="4" w:space="0"/>
              <w:right w:val="single" w:color="000000" w:sz="4" w:space="0"/>
            </w:tcBorders>
            <w:shd w:val="clear" w:color="DCE6F1" w:fill="DCE6F1"/>
            <w:vAlign w:val="center"/>
          </w:tcPr>
          <w:p w14:paraId="66498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公用经费</w:t>
            </w:r>
          </w:p>
        </w:tc>
        <w:tc>
          <w:tcPr>
            <w:tcW w:w="2001" w:type="dxa"/>
            <w:tcBorders>
              <w:top w:val="single" w:color="000000" w:sz="4" w:space="0"/>
              <w:left w:val="single" w:color="000000" w:sz="4" w:space="0"/>
              <w:bottom w:val="single" w:color="000000" w:sz="4" w:space="0"/>
              <w:right w:val="single" w:color="000000" w:sz="4" w:space="0"/>
            </w:tcBorders>
            <w:shd w:val="clear" w:color="DCE6F1" w:fill="DCE6F1"/>
            <w:vAlign w:val="center"/>
          </w:tcPr>
          <w:p w14:paraId="725652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259,200.00 </w:t>
            </w:r>
          </w:p>
        </w:tc>
        <w:tc>
          <w:tcPr>
            <w:tcW w:w="2001" w:type="dxa"/>
            <w:tcBorders>
              <w:top w:val="single" w:color="000000" w:sz="4" w:space="0"/>
              <w:left w:val="single" w:color="000000" w:sz="4" w:space="0"/>
              <w:bottom w:val="single" w:color="000000" w:sz="4" w:space="0"/>
              <w:right w:val="single" w:color="000000" w:sz="4" w:space="0"/>
            </w:tcBorders>
            <w:shd w:val="clear" w:color="DCE6F1" w:fill="DCE6F1"/>
            <w:vAlign w:val="center"/>
          </w:tcPr>
          <w:p w14:paraId="4E541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336,707.15 </w:t>
            </w:r>
          </w:p>
        </w:tc>
      </w:tr>
      <w:tr w14:paraId="6F1F6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14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项目支出</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E9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1,026,500.00 </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F9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4,738,442.01 </w:t>
            </w:r>
          </w:p>
        </w:tc>
      </w:tr>
      <w:tr w14:paraId="45E25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481" w:type="dxa"/>
            <w:tcBorders>
              <w:top w:val="single" w:color="000000" w:sz="4" w:space="0"/>
              <w:left w:val="single" w:color="000000" w:sz="4" w:space="0"/>
              <w:bottom w:val="single" w:color="000000" w:sz="4" w:space="0"/>
              <w:right w:val="single" w:color="000000" w:sz="4" w:space="0"/>
            </w:tcBorders>
            <w:shd w:val="clear" w:color="DCE6F1" w:fill="DCE6F1"/>
            <w:vAlign w:val="center"/>
          </w:tcPr>
          <w:p w14:paraId="5D563B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001" w:type="dxa"/>
            <w:tcBorders>
              <w:top w:val="single" w:color="000000" w:sz="4" w:space="0"/>
              <w:left w:val="single" w:color="000000" w:sz="4" w:space="0"/>
              <w:bottom w:val="single" w:color="000000" w:sz="4" w:space="0"/>
              <w:right w:val="single" w:color="000000" w:sz="4" w:space="0"/>
            </w:tcBorders>
            <w:shd w:val="clear" w:color="DCE6F1" w:fill="DCE6F1"/>
            <w:vAlign w:val="center"/>
          </w:tcPr>
          <w:p w14:paraId="0C324C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4,118,021.14 </w:t>
            </w:r>
          </w:p>
        </w:tc>
        <w:tc>
          <w:tcPr>
            <w:tcW w:w="2001" w:type="dxa"/>
            <w:tcBorders>
              <w:top w:val="single" w:color="000000" w:sz="4" w:space="0"/>
              <w:left w:val="single" w:color="000000" w:sz="4" w:space="0"/>
              <w:bottom w:val="single" w:color="000000" w:sz="4" w:space="0"/>
              <w:right w:val="single" w:color="000000" w:sz="4" w:space="0"/>
            </w:tcBorders>
            <w:shd w:val="clear" w:color="DCE6F1" w:fill="DCE6F1"/>
            <w:vAlign w:val="center"/>
          </w:tcPr>
          <w:p w14:paraId="3C4FC9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8,190,958.11 </w:t>
            </w:r>
          </w:p>
        </w:tc>
      </w:tr>
    </w:tbl>
    <w:p w14:paraId="49459220">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预算调整率为98.91%，调整明细如下：</w:t>
      </w:r>
    </w:p>
    <w:p w14:paraId="72D9FC1C">
      <w:pPr>
        <w:pStyle w:val="5"/>
        <w:numPr>
          <w:ilvl w:val="0"/>
          <w:numId w:val="0"/>
        </w:numPr>
        <w:jc w:val="center"/>
        <w:rPr>
          <w:rFonts w:hint="eastAsia" w:ascii="楷体" w:hAnsi="楷体" w:eastAsia="楷体" w:cs="楷体"/>
          <w:b/>
          <w:bCs/>
          <w:sz w:val="32"/>
          <w:szCs w:val="32"/>
          <w:lang w:eastAsia="zh-CN"/>
        </w:rPr>
      </w:pPr>
      <w:r>
        <w:drawing>
          <wp:inline distT="0" distB="0" distL="114300" distR="114300">
            <wp:extent cx="5883910" cy="944880"/>
            <wp:effectExtent l="9525" t="9525" r="12065" b="17145"/>
            <wp:docPr id="4" name="图片 3"/>
            <wp:cNvGraphicFramePr/>
            <a:graphic xmlns:a="http://schemas.openxmlformats.org/drawingml/2006/main">
              <a:graphicData uri="http://schemas.openxmlformats.org/drawingml/2006/picture">
                <pic:pic xmlns:pic="http://schemas.openxmlformats.org/drawingml/2006/picture">
                  <pic:nvPicPr>
                    <pic:cNvPr id="4" name="图片 3"/>
                    <pic:cNvPicPr/>
                  </pic:nvPicPr>
                  <pic:blipFill>
                    <a:blip r:embed="rId7"/>
                  </pic:blipFill>
                  <pic:spPr>
                    <a:xfrm>
                      <a:off x="0" y="0"/>
                      <a:ext cx="5883910" cy="944880"/>
                    </a:xfrm>
                    <a:prstGeom prst="rect">
                      <a:avLst/>
                    </a:prstGeom>
                    <a:solidFill>
                      <a:srgbClr val="FFFFFF"/>
                    </a:solidFill>
                    <a:ln w="9525">
                      <a:solidFill>
                        <a:srgbClr val="000000"/>
                      </a:solidFill>
                    </a:ln>
                  </pic:spPr>
                </pic:pic>
              </a:graphicData>
            </a:graphic>
          </wp:inline>
        </w:drawing>
      </w:r>
    </w:p>
    <w:p w14:paraId="06FF73EE">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eastAsia="zh-CN"/>
        </w:rPr>
      </w:pPr>
      <w:bookmarkStart w:id="30" w:name="_Toc2978"/>
      <w:r>
        <w:rPr>
          <w:rFonts w:hint="eastAsia" w:ascii="楷体" w:hAnsi="楷体" w:eastAsia="楷体" w:cs="楷体"/>
          <w:b/>
          <w:bCs/>
          <w:sz w:val="32"/>
          <w:szCs w:val="32"/>
          <w:lang w:eastAsia="zh-CN"/>
        </w:rPr>
        <w:t>预算执行</w:t>
      </w:r>
      <w:r>
        <w:rPr>
          <w:rFonts w:hint="eastAsia" w:ascii="楷体" w:hAnsi="楷体" w:eastAsia="楷体" w:cs="楷体"/>
          <w:b/>
          <w:bCs/>
          <w:sz w:val="32"/>
          <w:szCs w:val="32"/>
          <w:lang w:val="en-US" w:eastAsia="zh-CN"/>
        </w:rPr>
        <w:t>情况及分析</w:t>
      </w:r>
      <w:bookmarkEnd w:id="30"/>
    </w:p>
    <w:p w14:paraId="3AAAF8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1.预算执行基本信息</w:t>
      </w:r>
    </w:p>
    <w:p w14:paraId="1EB6B4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400"/>
        <w:jc w:val="both"/>
        <w:textAlignment w:val="auto"/>
        <w:outlineLvl w:val="9"/>
        <w:rPr>
          <w:rFonts w:hint="default"/>
          <w:highlight w:val="none"/>
          <w:lang w:val="en-US" w:eastAsia="zh-CN"/>
        </w:rPr>
      </w:pPr>
      <w:r>
        <w:rPr>
          <w:rFonts w:hint="eastAsia" w:ascii="仿宋" w:hAnsi="仿宋" w:eastAsia="仿宋" w:cs="仿宋"/>
          <w:b w:val="0"/>
          <w:bCs w:val="0"/>
          <w:sz w:val="32"/>
          <w:szCs w:val="32"/>
          <w:highlight w:val="none"/>
          <w:lang w:val="en-US" w:eastAsia="zh-CN"/>
        </w:rPr>
        <w:t>（1）收入来源总计8,190,958.11元，其中一般公共预算财政拨款8,190,958.11元。</w:t>
      </w:r>
    </w:p>
    <w:p w14:paraId="1F2EC7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4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（2）预算资金指标支付汇总，由于提供资料与时间受限，未能找到指标与支出差额98,500.00元。</w:t>
      </w:r>
    </w:p>
    <w:p w14:paraId="01F995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80" w:firstLineChars="200"/>
        <w:jc w:val="both"/>
        <w:textAlignment w:val="auto"/>
        <w:outlineLvl w:val="9"/>
        <w:rPr>
          <w:rFonts w:hint="eastAsia" w:ascii="仿宋" w:hAnsi="仿宋" w:eastAsia="仿宋" w:cs="仿宋"/>
          <w:b/>
          <w:bCs/>
          <w:sz w:val="32"/>
          <w:szCs w:val="32"/>
          <w:lang w:val="en-US" w:eastAsia="zh-CN"/>
        </w:rPr>
      </w:pPr>
      <w:r>
        <w:drawing>
          <wp:inline distT="0" distB="0" distL="114300" distR="114300">
            <wp:extent cx="4848225" cy="838200"/>
            <wp:effectExtent l="9525" t="9525" r="19050" b="9525"/>
            <wp:docPr id="11" name="图片 9"/>
            <wp:cNvGraphicFramePr/>
            <a:graphic xmlns:a="http://schemas.openxmlformats.org/drawingml/2006/main">
              <a:graphicData uri="http://schemas.openxmlformats.org/drawingml/2006/picture">
                <pic:pic xmlns:pic="http://schemas.openxmlformats.org/drawingml/2006/picture">
                  <pic:nvPicPr>
                    <pic:cNvPr id="11" name="图片 9"/>
                    <pic:cNvPicPr/>
                  </pic:nvPicPr>
                  <pic:blipFill>
                    <a:blip r:embed="rId8"/>
                  </pic:blipFill>
                  <pic:spPr>
                    <a:xfrm>
                      <a:off x="0" y="0"/>
                      <a:ext cx="4848225" cy="838200"/>
                    </a:xfrm>
                    <a:prstGeom prst="rect">
                      <a:avLst/>
                    </a:prstGeom>
                    <a:solidFill>
                      <a:srgbClr val="FFFFFF"/>
                    </a:solidFill>
                    <a:ln w="9525">
                      <a:solidFill>
                        <a:srgbClr val="000000"/>
                      </a:solidFill>
                    </a:ln>
                  </pic:spPr>
                </pic:pic>
              </a:graphicData>
            </a:graphic>
          </wp:inline>
        </w:drawing>
      </w:r>
    </w:p>
    <w:p w14:paraId="3DDC51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2.预算执行分析</w:t>
      </w:r>
    </w:p>
    <w:p w14:paraId="78AFAB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）进度匹配度</w:t>
      </w:r>
      <w:r>
        <w:rPr>
          <w:rFonts w:hint="eastAsia" w:ascii="仿宋" w:hAnsi="仿宋" w:eastAsia="仿宋" w:cs="仿宋"/>
          <w:b/>
          <w:bCs/>
          <w:sz w:val="32"/>
          <w:szCs w:val="32"/>
          <w:lang w:val="en-US" w:eastAsia="zh-CN"/>
        </w:rPr>
        <w:t>与效率。</w:t>
      </w:r>
      <w:r>
        <w:rPr>
          <w:rFonts w:hint="eastAsia" w:ascii="仿宋" w:hAnsi="仿宋" w:eastAsia="仿宋" w:cs="仿宋"/>
          <w:b w:val="0"/>
          <w:bCs w:val="0"/>
          <w:sz w:val="32"/>
          <w:szCs w:val="32"/>
          <w:lang w:val="en-US" w:eastAsia="zh-CN"/>
        </w:rPr>
        <w:t>资金支付及时，不存在项目等钱情况。2024年1月资金指标使用数占比为47.82%，高于其他月份。指标下达数与指标使用数对比详情列示如下：</w:t>
      </w:r>
    </w:p>
    <w:p w14:paraId="3017C704">
      <w:pPr>
        <w:pStyle w:val="5"/>
        <w:jc w:val="center"/>
        <w:rPr>
          <w:rFonts w:hint="eastAsia" w:ascii="仿宋" w:hAnsi="仿宋" w:eastAsia="仿宋" w:cs="仿宋"/>
          <w:b w:val="0"/>
          <w:bCs w:val="0"/>
          <w:sz w:val="32"/>
          <w:szCs w:val="32"/>
          <w:lang w:val="en-US" w:eastAsia="zh-CN"/>
        </w:rPr>
      </w:pPr>
      <w:r>
        <w:drawing>
          <wp:inline distT="0" distB="0" distL="114300" distR="114300">
            <wp:extent cx="5048250" cy="3752850"/>
            <wp:effectExtent l="9525" t="9525" r="9525" b="9525"/>
            <wp:docPr id="13" name="图片 2"/>
            <wp:cNvGraphicFramePr/>
            <a:graphic xmlns:a="http://schemas.openxmlformats.org/drawingml/2006/main">
              <a:graphicData uri="http://schemas.openxmlformats.org/drawingml/2006/picture">
                <pic:pic xmlns:pic="http://schemas.openxmlformats.org/drawingml/2006/picture">
                  <pic:nvPicPr>
                    <pic:cNvPr id="13" name="图片 2"/>
                    <pic:cNvPicPr/>
                  </pic:nvPicPr>
                  <pic:blipFill>
                    <a:blip r:embed="rId9"/>
                  </pic:blipFill>
                  <pic:spPr>
                    <a:xfrm>
                      <a:off x="0" y="0"/>
                      <a:ext cx="5048250" cy="3752850"/>
                    </a:xfrm>
                    <a:prstGeom prst="rect">
                      <a:avLst/>
                    </a:prstGeom>
                    <a:solidFill>
                      <a:srgbClr val="FFFFFF"/>
                    </a:solidFill>
                    <a:ln w="9525">
                      <a:solidFill>
                        <a:srgbClr val="000000"/>
                      </a:solidFill>
                    </a:ln>
                  </pic:spPr>
                </pic:pic>
              </a:graphicData>
            </a:graphic>
          </wp:inline>
        </w:drawing>
      </w:r>
    </w:p>
    <w:p w14:paraId="3F9EEB01">
      <w:pPr>
        <w:jc w:val="center"/>
        <w:rPr>
          <w:rFonts w:hint="eastAsia" w:ascii="仿宋" w:hAnsi="仿宋" w:eastAsia="仿宋" w:cs="仿宋"/>
          <w:b/>
          <w:bCs/>
          <w:sz w:val="32"/>
          <w:szCs w:val="32"/>
          <w:lang w:val="en-US" w:eastAsia="zh-CN"/>
        </w:rPr>
      </w:pPr>
      <w:r>
        <w:drawing>
          <wp:inline distT="0" distB="0" distL="114300" distR="114300">
            <wp:extent cx="4824095" cy="2743200"/>
            <wp:effectExtent l="4445" t="5080" r="10160" b="13970"/>
            <wp:docPr id="1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37B0A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default"/>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资金</w:t>
      </w:r>
      <w:r>
        <w:rPr>
          <w:rFonts w:hint="eastAsia" w:ascii="仿宋" w:hAnsi="仿宋" w:eastAsia="仿宋" w:cs="仿宋"/>
          <w:b/>
          <w:bCs/>
          <w:sz w:val="32"/>
          <w:szCs w:val="32"/>
          <w:highlight w:val="none"/>
          <w:lang w:eastAsia="zh-CN"/>
        </w:rPr>
        <w:t>合规性检查。</w:t>
      </w:r>
      <w:r>
        <w:rPr>
          <w:rFonts w:hint="eastAsia" w:ascii="仿宋" w:hAnsi="仿宋" w:eastAsia="仿宋" w:cs="仿宋"/>
          <w:b w:val="0"/>
          <w:bCs w:val="0"/>
          <w:sz w:val="32"/>
          <w:szCs w:val="32"/>
          <w:lang w:val="en-US" w:eastAsia="zh-CN"/>
        </w:rPr>
        <w:t>从预算约束、用途合规、程序合规、报销凭证完整性与合规性四个方面进行核查。由于未提供凭证，未能对资金合规性进行检查。</w:t>
      </w:r>
    </w:p>
    <w:p w14:paraId="439DA6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default" w:ascii="仿宋" w:hAnsi="仿宋" w:eastAsia="仿宋" w:cs="仿宋"/>
          <w:b w:val="0"/>
          <w:bCs w:val="0"/>
          <w:sz w:val="32"/>
          <w:szCs w:val="32"/>
          <w:highlight w:val="yellow"/>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）成本控制。</w:t>
      </w:r>
      <w:r>
        <w:rPr>
          <w:rFonts w:hint="eastAsia" w:ascii="仿宋" w:hAnsi="仿宋" w:eastAsia="仿宋" w:cs="仿宋"/>
          <w:b w:val="0"/>
          <w:bCs w:val="0"/>
          <w:sz w:val="32"/>
          <w:szCs w:val="32"/>
          <w:lang w:val="en-US" w:eastAsia="zh-CN"/>
        </w:rPr>
        <w:t>基本支出的绩效评价侧重成本控制和合规性。项目支出的绩效评价关联项目目标，如会议是否推动了政策落地、办公经费是否支撑了专项任务完成等。详情见后附各类支出情况汇总及分析。</w:t>
      </w:r>
    </w:p>
    <w:p w14:paraId="69415C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4</w:t>
      </w:r>
      <w:r>
        <w:rPr>
          <w:rFonts w:hint="eastAsia" w:ascii="仿宋" w:hAnsi="仿宋" w:eastAsia="仿宋" w:cs="仿宋"/>
          <w:b/>
          <w:bCs/>
          <w:sz w:val="32"/>
          <w:szCs w:val="32"/>
          <w:highlight w:val="none"/>
          <w:lang w:eastAsia="zh-CN"/>
        </w:rPr>
        <w:t>）对产出的影响。</w:t>
      </w:r>
      <w:r>
        <w:rPr>
          <w:rFonts w:hint="eastAsia" w:ascii="仿宋" w:hAnsi="仿宋" w:eastAsia="仿宋" w:cs="仿宋"/>
          <w:b w:val="0"/>
          <w:bCs w:val="0"/>
          <w:sz w:val="32"/>
          <w:szCs w:val="32"/>
          <w:highlight w:val="none"/>
          <w:lang w:val="en-US" w:eastAsia="zh-CN"/>
        </w:rPr>
        <w:t>未存在因预算执行合规与否、快慢情况直接影响绩效产出目标的实现的情况。</w:t>
      </w:r>
    </w:p>
    <w:p w14:paraId="7FE879F2">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3" w:firstLineChars="200"/>
        <w:jc w:val="both"/>
        <w:textAlignment w:val="auto"/>
        <w:outlineLvl w:val="9"/>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5</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本年度决算数与上年度决算数对比，增加率34.57%。</w:t>
      </w:r>
    </w:p>
    <w:p w14:paraId="2FC1CD73">
      <w:pPr>
        <w:pStyle w:val="8"/>
        <w:rPr>
          <w:rFonts w:hint="eastAsia"/>
          <w:lang w:val="en-US" w:eastAsia="zh-CN"/>
        </w:rPr>
      </w:pPr>
      <w:r>
        <w:drawing>
          <wp:inline distT="0" distB="0" distL="114300" distR="114300">
            <wp:extent cx="5382895" cy="2363470"/>
            <wp:effectExtent l="9525" t="9525" r="17780" b="27305"/>
            <wp:docPr id="12" name="图片 4"/>
            <wp:cNvGraphicFramePr/>
            <a:graphic xmlns:a="http://schemas.openxmlformats.org/drawingml/2006/main">
              <a:graphicData uri="http://schemas.openxmlformats.org/drawingml/2006/picture">
                <pic:pic xmlns:pic="http://schemas.openxmlformats.org/drawingml/2006/picture">
                  <pic:nvPicPr>
                    <pic:cNvPr id="12" name="图片 4"/>
                    <pic:cNvPicPr/>
                  </pic:nvPicPr>
                  <pic:blipFill>
                    <a:blip r:embed="rId11"/>
                  </pic:blipFill>
                  <pic:spPr>
                    <a:xfrm>
                      <a:off x="0" y="0"/>
                      <a:ext cx="5382895" cy="2363470"/>
                    </a:xfrm>
                    <a:prstGeom prst="rect">
                      <a:avLst/>
                    </a:prstGeom>
                    <a:solidFill>
                      <a:srgbClr val="FFFFFF"/>
                    </a:solidFill>
                    <a:ln w="9525">
                      <a:solidFill>
                        <a:srgbClr val="000000"/>
                      </a:solidFill>
                    </a:ln>
                  </pic:spPr>
                </pic:pic>
              </a:graphicData>
            </a:graphic>
          </wp:inline>
        </w:drawing>
      </w:r>
    </w:p>
    <w:p w14:paraId="16DABC4C">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val="0"/>
          <w:bCs w:val="0"/>
          <w:sz w:val="32"/>
          <w:szCs w:val="32"/>
          <w:lang w:val="en-US" w:eastAsia="zh-CN"/>
        </w:rPr>
      </w:pPr>
      <w:bookmarkStart w:id="31" w:name="_Toc20322"/>
      <w:r>
        <w:rPr>
          <w:rFonts w:hint="eastAsia" w:ascii="楷体" w:hAnsi="楷体" w:eastAsia="楷体" w:cs="楷体"/>
          <w:b/>
          <w:bCs/>
          <w:sz w:val="32"/>
          <w:szCs w:val="32"/>
          <w:lang w:val="en-US" w:eastAsia="zh-CN"/>
        </w:rPr>
        <w:t>整体支出汇总及分析</w:t>
      </w:r>
      <w:bookmarkEnd w:id="31"/>
    </w:p>
    <w:p w14:paraId="6E7074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支出检查范围及内容：是否符合预算用途和相关财经法规条例，有无超范围、超标准支出，报销凭证完整性与合规性，政府采购程序是否规范，招投标是否合规，重大项目开支和大额资金使用是否经单位党组集体研究决策，资金支付是否有完整的审批程序和手续等。</w:t>
      </w:r>
    </w:p>
    <w:p w14:paraId="4645D9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1.整体支出情况</w:t>
      </w:r>
    </w:p>
    <w:p w14:paraId="4B71BD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（1）无整体支出分类及范围</w:t>
      </w:r>
    </w:p>
    <w:p w14:paraId="5F244A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（2）无各类支出从账套数到重分类数的调整过程。</w:t>
      </w:r>
    </w:p>
    <w:p w14:paraId="2A6B8D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（3）无各类支出重分类数与决算数的对比分析</w:t>
      </w:r>
    </w:p>
    <w:p w14:paraId="483A40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2.无基本支出-人员经费重分类数汇总及分析</w:t>
      </w:r>
    </w:p>
    <w:p w14:paraId="27782B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未提供相关资料。</w:t>
      </w:r>
    </w:p>
    <w:p w14:paraId="5F8EBF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pPr>
      <w:r>
        <w:rPr>
          <w:rFonts w:hint="eastAsia" w:ascii="仿宋" w:hAnsi="仿宋" w:eastAsia="仿宋" w:cs="仿宋"/>
          <w:b/>
          <w:bCs/>
          <w:sz w:val="32"/>
          <w:szCs w:val="32"/>
          <w:lang w:val="en-US" w:eastAsia="zh-CN"/>
        </w:rPr>
        <w:t>3.无基本支出-公用经费重分类数汇总及分析</w:t>
      </w:r>
    </w:p>
    <w:p w14:paraId="2BBF60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sz w:val="32"/>
          <w:szCs w:val="32"/>
          <w:highlight w:val="yellow"/>
          <w:lang w:val="en-US" w:eastAsia="zh-CN"/>
        </w:rPr>
      </w:pPr>
      <w:r>
        <w:rPr>
          <w:rFonts w:hint="eastAsia" w:ascii="仿宋" w:hAnsi="仿宋" w:eastAsia="仿宋" w:cs="仿宋"/>
          <w:b/>
          <w:bCs/>
          <w:sz w:val="32"/>
          <w:szCs w:val="32"/>
          <w:lang w:val="en-US" w:eastAsia="zh-CN"/>
        </w:rPr>
        <w:t>未提供相关资料。</w:t>
      </w:r>
    </w:p>
    <w:p w14:paraId="6C95C3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4.无三公经费重分类数汇总及分析</w:t>
      </w:r>
    </w:p>
    <w:p w14:paraId="388FA8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outlineLvl w:val="9"/>
        <w:rPr>
          <w:rFonts w:hint="default"/>
          <w:lang w:val="en-US" w:eastAsia="zh-CN"/>
        </w:rPr>
      </w:pPr>
      <w:r>
        <w:rPr>
          <w:rFonts w:hint="eastAsia"/>
          <w:lang w:val="en-US" w:eastAsia="zh-CN"/>
        </w:rPr>
        <w:t xml:space="preserve"> </w:t>
      </w:r>
      <w:r>
        <w:rPr>
          <w:rFonts w:hint="eastAsia" w:ascii="仿宋" w:hAnsi="仿宋" w:eastAsia="仿宋" w:cs="仿宋"/>
          <w:b/>
          <w:bCs/>
          <w:sz w:val="32"/>
          <w:szCs w:val="32"/>
          <w:lang w:val="en-US" w:eastAsia="zh-CN"/>
        </w:rPr>
        <w:t>未提供相关资料。</w:t>
      </w:r>
    </w:p>
    <w:p w14:paraId="0DCCA9D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5.无会议费情况汇总</w:t>
      </w:r>
    </w:p>
    <w:p w14:paraId="736273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未提供相关资料。</w:t>
      </w:r>
    </w:p>
    <w:p w14:paraId="4222FF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6.无办公经费情况汇总</w:t>
      </w:r>
    </w:p>
    <w:p w14:paraId="02FA753B">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未提供相关资料。</w:t>
      </w:r>
    </w:p>
    <w:p w14:paraId="1448D1C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7.无新增财政性支出情况汇总</w:t>
      </w:r>
    </w:p>
    <w:p w14:paraId="682E9923">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未提供相关资料。</w:t>
      </w:r>
    </w:p>
    <w:p w14:paraId="5FA83342">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32" w:name="_Toc25102"/>
      <w:r>
        <w:rPr>
          <w:rFonts w:hint="eastAsia" w:ascii="楷体" w:hAnsi="楷体" w:eastAsia="楷体" w:cs="楷体"/>
          <w:b/>
          <w:bCs/>
          <w:sz w:val="32"/>
          <w:szCs w:val="32"/>
          <w:lang w:eastAsia="zh-CN"/>
        </w:rPr>
        <w:t>预算</w:t>
      </w:r>
      <w:r>
        <w:rPr>
          <w:rFonts w:hint="eastAsia" w:ascii="楷体" w:hAnsi="楷体" w:eastAsia="楷体" w:cs="楷体"/>
          <w:b/>
          <w:bCs/>
          <w:sz w:val="32"/>
          <w:szCs w:val="32"/>
          <w:lang w:val="en-US" w:eastAsia="zh-CN"/>
        </w:rPr>
        <w:t>管理情况及分析</w:t>
      </w:r>
      <w:bookmarkEnd w:id="32"/>
    </w:p>
    <w:p w14:paraId="7107F7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1.预算管理情况</w:t>
      </w:r>
    </w:p>
    <w:p w14:paraId="4FB2880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（1）部门在预算管理方面建立的制度。</w:t>
      </w:r>
      <w:r>
        <w:rPr>
          <w:rFonts w:hint="eastAsia" w:ascii="仿宋" w:hAnsi="仿宋" w:eastAsia="仿宋" w:cs="仿宋"/>
          <w:b w:val="0"/>
          <w:bCs w:val="0"/>
          <w:sz w:val="32"/>
          <w:szCs w:val="32"/>
          <w:highlight w:val="none"/>
          <w:lang w:val="en-US" w:eastAsia="zh-CN"/>
        </w:rPr>
        <w:t>未提供相关资料。</w:t>
      </w:r>
    </w:p>
    <w:p w14:paraId="5B140CF2">
      <w:pPr>
        <w:keepNext w:val="0"/>
        <w:keepLines w:val="0"/>
        <w:pageBreakBefore w:val="0"/>
        <w:widowControl/>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（2）预算管理相关的信息化工具。</w:t>
      </w:r>
      <w:r>
        <w:rPr>
          <w:rFonts w:hint="eastAsia" w:ascii="Times New Roman" w:hAnsi="Times New Roman" w:eastAsia="仿宋_GB2312" w:cs="Times New Roman"/>
          <w:color w:val="auto"/>
          <w:sz w:val="32"/>
          <w:szCs w:val="32"/>
          <w:highlight w:val="none"/>
          <w:lang w:val="en-US" w:eastAsia="zh-CN"/>
        </w:rPr>
        <w:t>使用财政预算一体化信息系统。</w:t>
      </w:r>
    </w:p>
    <w:p w14:paraId="60BB84EB">
      <w:pPr>
        <w:keepNext w:val="0"/>
        <w:keepLines w:val="0"/>
        <w:pageBreakBefore w:val="0"/>
        <w:widowControl/>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（3）预算信息公开情况。</w:t>
      </w:r>
      <w:r>
        <w:rPr>
          <w:rFonts w:hint="eastAsia" w:ascii="Times New Roman" w:hAnsi="Times New Roman" w:eastAsia="仿宋_GB2312" w:cs="Times New Roman"/>
          <w:b w:val="0"/>
          <w:bCs w:val="0"/>
          <w:color w:val="auto"/>
          <w:sz w:val="32"/>
          <w:szCs w:val="32"/>
          <w:highlight w:val="none"/>
          <w:lang w:val="en-US" w:eastAsia="zh-CN"/>
        </w:rPr>
        <w:t>在</w:t>
      </w:r>
      <w:r>
        <w:rPr>
          <w:rFonts w:hint="eastAsia" w:ascii="Times New Roman" w:hAnsi="Times New Roman" w:eastAsia="仿宋_GB2312" w:cs="Times New Roman"/>
          <w:color w:val="auto"/>
          <w:sz w:val="32"/>
          <w:szCs w:val="32"/>
          <w:highlight w:val="none"/>
          <w:lang w:val="en-US" w:eastAsia="zh-CN"/>
        </w:rPr>
        <w:t>衡阳雁峰区政府网上可以查到区委组织部的2024年预算公开信息。</w:t>
      </w:r>
    </w:p>
    <w:p w14:paraId="74AE0D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2.预算管理分析</w:t>
      </w:r>
    </w:p>
    <w:p w14:paraId="662E1D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（1）制度健全性。</w:t>
      </w:r>
      <w:r>
        <w:rPr>
          <w:rFonts w:hint="eastAsia" w:ascii="仿宋" w:hAnsi="仿宋" w:eastAsia="仿宋" w:cs="仿宋"/>
          <w:b w:val="0"/>
          <w:bCs w:val="0"/>
          <w:sz w:val="32"/>
          <w:szCs w:val="32"/>
          <w:lang w:val="en-US" w:eastAsia="zh-CN"/>
        </w:rPr>
        <w:t>未提供相关资料。</w:t>
      </w:r>
    </w:p>
    <w:p w14:paraId="02209D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（2）执行有效性。</w:t>
      </w:r>
      <w:r>
        <w:rPr>
          <w:rFonts w:hint="eastAsia" w:ascii="仿宋" w:hAnsi="仿宋" w:eastAsia="仿宋" w:cs="仿宋"/>
          <w:b w:val="0"/>
          <w:bCs w:val="0"/>
          <w:sz w:val="32"/>
          <w:szCs w:val="32"/>
          <w:highlight w:val="none"/>
          <w:lang w:val="en-US" w:eastAsia="zh-CN"/>
        </w:rPr>
        <w:t>按照财务管理制度基本有效执行。存在不足之处详见整体支出汇总及分析。</w:t>
      </w:r>
    </w:p>
    <w:p w14:paraId="1100C8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（3）监控预警能力。</w:t>
      </w:r>
      <w:r>
        <w:rPr>
          <w:rFonts w:hint="eastAsia" w:ascii="仿宋" w:hAnsi="仿宋" w:eastAsia="仿宋" w:cs="仿宋"/>
          <w:b w:val="0"/>
          <w:bCs w:val="0"/>
          <w:sz w:val="32"/>
          <w:szCs w:val="32"/>
          <w:highlight w:val="none"/>
          <w:lang w:val="en-US" w:eastAsia="zh-CN"/>
        </w:rPr>
        <w:t>政府会计系统通过“指标-支出-核算”一体化管理，在一定程度上实现了预算执行全流程监控。</w:t>
      </w:r>
    </w:p>
    <w:p w14:paraId="3F3089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（4）信息化支撑。</w:t>
      </w:r>
      <w:r>
        <w:rPr>
          <w:rFonts w:hint="eastAsia" w:ascii="仿宋" w:hAnsi="仿宋" w:eastAsia="仿宋" w:cs="仿宋"/>
          <w:b w:val="0"/>
          <w:bCs w:val="0"/>
          <w:sz w:val="32"/>
          <w:szCs w:val="32"/>
          <w:lang w:val="en-US" w:eastAsia="zh-CN"/>
        </w:rPr>
        <w:t>实现预算编制、执行、核算、决算全流程线上化，有效支撑了预算管理和监控。</w:t>
      </w:r>
    </w:p>
    <w:p w14:paraId="234E29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（5）管理规范性。未提供预算调整批复文件。</w:t>
      </w:r>
    </w:p>
    <w:p w14:paraId="2F3BF7F0">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33" w:name="_Toc23154"/>
      <w:r>
        <w:rPr>
          <w:rFonts w:hint="eastAsia" w:ascii="楷体" w:hAnsi="楷体" w:eastAsia="楷体" w:cs="楷体"/>
          <w:b/>
          <w:bCs/>
          <w:sz w:val="32"/>
          <w:szCs w:val="32"/>
          <w:lang w:val="en-US" w:eastAsia="zh-CN"/>
        </w:rPr>
        <w:t>工资管理情况及分析</w:t>
      </w:r>
      <w:bookmarkEnd w:id="33"/>
    </w:p>
    <w:p w14:paraId="584EFA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1.未提供相关文件。</w:t>
      </w:r>
      <w:r>
        <w:rPr>
          <w:rFonts w:hint="eastAsia" w:ascii="仿宋" w:hAnsi="仿宋" w:eastAsia="仿宋" w:cs="仿宋"/>
          <w:b w:val="0"/>
          <w:bCs w:val="0"/>
          <w:sz w:val="32"/>
          <w:szCs w:val="32"/>
          <w:lang w:val="en-US" w:eastAsia="zh-CN"/>
        </w:rPr>
        <w:t>未提供发放职工津贴与车补的相关文件。未提供工资流程及工资管理制度。未提供相关审计检查文件或资料。</w:t>
      </w:r>
    </w:p>
    <w:p w14:paraId="6323CA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2.未提供相关凭证。</w:t>
      </w:r>
    </w:p>
    <w:p w14:paraId="11FF4B96">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bCs/>
          <w:sz w:val="32"/>
          <w:szCs w:val="32"/>
          <w:lang w:val="en-US" w:eastAsia="zh-CN"/>
        </w:rPr>
      </w:pPr>
      <w:bookmarkStart w:id="34" w:name="_Toc16761"/>
      <w:r>
        <w:rPr>
          <w:rFonts w:hint="eastAsia" w:ascii="楷体" w:hAnsi="楷体" w:eastAsia="楷体" w:cs="楷体"/>
          <w:b/>
          <w:bCs/>
          <w:sz w:val="32"/>
          <w:szCs w:val="32"/>
          <w:lang w:val="en-US" w:eastAsia="zh-CN"/>
        </w:rPr>
        <w:t>项目支出管理情况及分析</w:t>
      </w:r>
      <w:bookmarkEnd w:id="34"/>
    </w:p>
    <w:p w14:paraId="46964CD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区委组织部未提供项目管理制度，未提供政府采购管理制度。</w:t>
      </w:r>
    </w:p>
    <w:p w14:paraId="2D3ADE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1"/>
        <w:rPr>
          <w:rFonts w:hint="eastAsia" w:ascii="楷体" w:hAnsi="楷体" w:eastAsia="楷体" w:cs="楷体"/>
          <w:b/>
          <w:bCs/>
          <w:sz w:val="32"/>
          <w:szCs w:val="32"/>
          <w:highlight w:val="none"/>
          <w:lang w:val="en-US" w:eastAsia="zh-CN"/>
        </w:rPr>
      </w:pPr>
      <w:bookmarkStart w:id="35" w:name="_Toc14204"/>
      <w:r>
        <w:rPr>
          <w:rFonts w:hint="eastAsia" w:ascii="仿宋" w:hAnsi="仿宋" w:eastAsia="仿宋" w:cs="仿宋"/>
          <w:b/>
          <w:bCs/>
          <w:sz w:val="32"/>
          <w:szCs w:val="32"/>
          <w:highlight w:val="none"/>
          <w:lang w:val="en-US" w:eastAsia="zh-CN"/>
        </w:rPr>
        <w:t>（七）</w:t>
      </w:r>
      <w:r>
        <w:rPr>
          <w:rFonts w:hint="eastAsia" w:ascii="楷体" w:hAnsi="楷体" w:eastAsia="楷体" w:cs="楷体"/>
          <w:b/>
          <w:bCs/>
          <w:sz w:val="32"/>
          <w:szCs w:val="32"/>
          <w:highlight w:val="none"/>
          <w:lang w:val="en-US" w:eastAsia="zh-CN"/>
        </w:rPr>
        <w:t>固定资产管理情况及分析</w:t>
      </w:r>
      <w:bookmarkEnd w:id="35"/>
    </w:p>
    <w:p w14:paraId="27D93A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固定资产管理存在规格型号待完善，使用部门信息缺失情况。固定资产2024年原值及折旧变动情况见下表（金额：元）：</w:t>
      </w:r>
    </w:p>
    <w:tbl>
      <w:tblPr>
        <w:tblStyle w:val="1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60"/>
        <w:gridCol w:w="1416"/>
        <w:gridCol w:w="1724"/>
        <w:gridCol w:w="1724"/>
        <w:gridCol w:w="1689"/>
      </w:tblGrid>
      <w:tr w14:paraId="59C28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342" w:type="pct"/>
            <w:tcBorders>
              <w:top w:val="single" w:color="5B9BD5" w:sz="8" w:space="0"/>
              <w:left w:val="single" w:color="5B9BD5" w:sz="8" w:space="0"/>
              <w:bottom w:val="single" w:color="5B9BD5" w:sz="8" w:space="0"/>
              <w:right w:val="single" w:color="9BC2E6" w:sz="8" w:space="0"/>
            </w:tcBorders>
            <w:shd w:val="clear" w:color="auto" w:fill="auto"/>
            <w:vAlign w:val="center"/>
          </w:tcPr>
          <w:p w14:paraId="4F00742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819" w:type="pct"/>
            <w:tcBorders>
              <w:top w:val="single" w:color="5B9BD5" w:sz="8" w:space="0"/>
              <w:left w:val="nil"/>
              <w:bottom w:val="single" w:color="5B9BD5" w:sz="8" w:space="0"/>
              <w:right w:val="single" w:color="9BC2E6" w:sz="8" w:space="0"/>
            </w:tcBorders>
            <w:shd w:val="clear" w:color="auto" w:fill="auto"/>
            <w:noWrap/>
            <w:vAlign w:val="center"/>
          </w:tcPr>
          <w:p w14:paraId="4D590B6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期初余额</w:t>
            </w:r>
          </w:p>
        </w:tc>
        <w:tc>
          <w:tcPr>
            <w:tcW w:w="849" w:type="pct"/>
            <w:tcBorders>
              <w:top w:val="single" w:color="5B9BD5" w:sz="8" w:space="0"/>
              <w:left w:val="nil"/>
              <w:bottom w:val="single" w:color="5B9BD5" w:sz="8" w:space="0"/>
              <w:right w:val="single" w:color="9BC2E6" w:sz="8" w:space="0"/>
            </w:tcBorders>
            <w:shd w:val="clear" w:color="auto" w:fill="auto"/>
            <w:noWrap/>
            <w:vAlign w:val="center"/>
          </w:tcPr>
          <w:p w14:paraId="31BE48A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2024年增加额</w:t>
            </w:r>
          </w:p>
        </w:tc>
        <w:tc>
          <w:tcPr>
            <w:tcW w:w="805" w:type="pct"/>
            <w:tcBorders>
              <w:top w:val="single" w:color="5B9BD5" w:sz="8" w:space="0"/>
              <w:left w:val="nil"/>
              <w:bottom w:val="single" w:color="5B9BD5" w:sz="8" w:space="0"/>
              <w:right w:val="single" w:color="9BC2E6" w:sz="8" w:space="0"/>
            </w:tcBorders>
            <w:shd w:val="clear" w:color="auto" w:fill="auto"/>
            <w:noWrap/>
            <w:vAlign w:val="center"/>
          </w:tcPr>
          <w:p w14:paraId="31C3979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2024年减少额</w:t>
            </w:r>
          </w:p>
        </w:tc>
        <w:tc>
          <w:tcPr>
            <w:tcW w:w="1182" w:type="pct"/>
            <w:tcBorders>
              <w:top w:val="single" w:color="5B9BD5" w:sz="8" w:space="0"/>
              <w:left w:val="nil"/>
              <w:bottom w:val="single" w:color="5B9BD5" w:sz="8" w:space="0"/>
              <w:right w:val="single" w:color="5B9BD5" w:sz="8" w:space="0"/>
            </w:tcBorders>
            <w:shd w:val="clear" w:color="auto" w:fill="auto"/>
            <w:noWrap/>
            <w:vAlign w:val="center"/>
          </w:tcPr>
          <w:p w14:paraId="5A963DD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期末余额</w:t>
            </w:r>
          </w:p>
        </w:tc>
      </w:tr>
      <w:tr w14:paraId="45E93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342" w:type="pct"/>
            <w:tcBorders>
              <w:top w:val="nil"/>
              <w:left w:val="single" w:color="5B9BD5" w:sz="8" w:space="0"/>
              <w:bottom w:val="single" w:color="9BC2E6" w:sz="8" w:space="0"/>
              <w:right w:val="single" w:color="9BC2E6" w:sz="8" w:space="0"/>
            </w:tcBorders>
            <w:shd w:val="clear" w:color="auto" w:fill="DDEBF7"/>
            <w:vAlign w:val="center"/>
          </w:tcPr>
          <w:p w14:paraId="3F5B2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固定资产原值</w:t>
            </w:r>
          </w:p>
        </w:tc>
        <w:tc>
          <w:tcPr>
            <w:tcW w:w="819" w:type="pct"/>
            <w:tcBorders>
              <w:top w:val="nil"/>
              <w:left w:val="nil"/>
              <w:bottom w:val="single" w:color="9BC2E6" w:sz="8" w:space="0"/>
              <w:right w:val="single" w:color="9BC2E6" w:sz="8" w:space="0"/>
            </w:tcBorders>
            <w:shd w:val="clear" w:color="auto" w:fill="DDEBF7"/>
            <w:noWrap/>
            <w:vAlign w:val="bottom"/>
          </w:tcPr>
          <w:p w14:paraId="15B8185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865,489.20</w:t>
            </w:r>
          </w:p>
        </w:tc>
        <w:tc>
          <w:tcPr>
            <w:tcW w:w="849" w:type="pct"/>
            <w:tcBorders>
              <w:top w:val="nil"/>
              <w:left w:val="nil"/>
              <w:bottom w:val="single" w:color="9BC2E6" w:sz="8" w:space="0"/>
              <w:right w:val="single" w:color="9BC2E6" w:sz="8" w:space="0"/>
            </w:tcBorders>
            <w:shd w:val="clear" w:color="auto" w:fill="DDEBF7"/>
            <w:noWrap/>
            <w:vAlign w:val="center"/>
          </w:tcPr>
          <w:p w14:paraId="0E2497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29,800.00</w:t>
            </w:r>
          </w:p>
        </w:tc>
        <w:tc>
          <w:tcPr>
            <w:tcW w:w="805" w:type="pct"/>
            <w:tcBorders>
              <w:top w:val="nil"/>
              <w:left w:val="nil"/>
              <w:bottom w:val="single" w:color="9BC2E6" w:sz="8" w:space="0"/>
              <w:right w:val="single" w:color="9BC2E6" w:sz="8" w:space="0"/>
            </w:tcBorders>
            <w:shd w:val="clear" w:color="auto" w:fill="DDEBF7"/>
            <w:noWrap/>
            <w:vAlign w:val="bottom"/>
          </w:tcPr>
          <w:p w14:paraId="2B2F9822">
            <w:pPr>
              <w:jc w:val="center"/>
              <w:rPr>
                <w:rFonts w:hint="eastAsia" w:ascii="宋体" w:hAnsi="宋体" w:eastAsia="宋体" w:cs="宋体"/>
                <w:i w:val="0"/>
                <w:iCs w:val="0"/>
                <w:color w:val="000000"/>
                <w:sz w:val="24"/>
                <w:szCs w:val="24"/>
                <w:u w:val="none"/>
              </w:rPr>
            </w:pPr>
          </w:p>
        </w:tc>
        <w:tc>
          <w:tcPr>
            <w:tcW w:w="1182" w:type="pct"/>
            <w:tcBorders>
              <w:top w:val="nil"/>
              <w:left w:val="nil"/>
              <w:bottom w:val="single" w:color="9BC2E6" w:sz="8" w:space="0"/>
              <w:right w:val="single" w:color="5B9BD5" w:sz="8" w:space="0"/>
            </w:tcBorders>
            <w:shd w:val="clear" w:color="auto" w:fill="DDEBF7"/>
            <w:noWrap/>
            <w:vAlign w:val="bottom"/>
          </w:tcPr>
          <w:p w14:paraId="7D7A06C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895,289.20</w:t>
            </w:r>
          </w:p>
        </w:tc>
      </w:tr>
      <w:tr w14:paraId="66A60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42" w:type="pct"/>
            <w:tcBorders>
              <w:top w:val="nil"/>
              <w:left w:val="single" w:color="5B9BD5" w:sz="8" w:space="0"/>
              <w:bottom w:val="single" w:color="9BC2E6" w:sz="8" w:space="0"/>
              <w:right w:val="single" w:color="9BC2E6" w:sz="8" w:space="0"/>
            </w:tcBorders>
            <w:shd w:val="clear" w:color="auto" w:fill="auto"/>
            <w:vAlign w:val="center"/>
          </w:tcPr>
          <w:p w14:paraId="1A8647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累计折旧</w:t>
            </w:r>
          </w:p>
        </w:tc>
        <w:tc>
          <w:tcPr>
            <w:tcW w:w="819" w:type="pct"/>
            <w:tcBorders>
              <w:top w:val="nil"/>
              <w:left w:val="nil"/>
              <w:bottom w:val="single" w:color="9BC2E6" w:sz="8" w:space="0"/>
              <w:right w:val="single" w:color="9BC2E6" w:sz="8" w:space="0"/>
            </w:tcBorders>
            <w:shd w:val="clear" w:color="auto" w:fill="auto"/>
            <w:noWrap/>
            <w:vAlign w:val="bottom"/>
          </w:tcPr>
          <w:p w14:paraId="601AE1C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557,274.26</w:t>
            </w:r>
          </w:p>
        </w:tc>
        <w:tc>
          <w:tcPr>
            <w:tcW w:w="849" w:type="pct"/>
            <w:tcBorders>
              <w:top w:val="nil"/>
              <w:left w:val="nil"/>
              <w:bottom w:val="single" w:color="9BC2E6" w:sz="8" w:space="0"/>
              <w:right w:val="single" w:color="9BC2E6" w:sz="8" w:space="0"/>
            </w:tcBorders>
            <w:shd w:val="clear" w:color="auto" w:fill="auto"/>
            <w:noWrap/>
            <w:vAlign w:val="bottom"/>
          </w:tcPr>
          <w:p w14:paraId="1FC129B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99,734.89</w:t>
            </w:r>
          </w:p>
        </w:tc>
        <w:tc>
          <w:tcPr>
            <w:tcW w:w="805" w:type="pct"/>
            <w:tcBorders>
              <w:top w:val="nil"/>
              <w:left w:val="nil"/>
              <w:bottom w:val="single" w:color="9BC2E6" w:sz="8" w:space="0"/>
              <w:right w:val="single" w:color="9BC2E6" w:sz="8" w:space="0"/>
            </w:tcBorders>
            <w:shd w:val="clear" w:color="auto" w:fill="auto"/>
            <w:noWrap/>
            <w:vAlign w:val="bottom"/>
          </w:tcPr>
          <w:p w14:paraId="543092E7">
            <w:pPr>
              <w:jc w:val="center"/>
              <w:rPr>
                <w:rFonts w:hint="eastAsia" w:ascii="宋体" w:hAnsi="宋体" w:eastAsia="宋体" w:cs="宋体"/>
                <w:i w:val="0"/>
                <w:iCs w:val="0"/>
                <w:color w:val="000000"/>
                <w:sz w:val="24"/>
                <w:szCs w:val="24"/>
                <w:u w:val="none"/>
              </w:rPr>
            </w:pPr>
          </w:p>
        </w:tc>
        <w:tc>
          <w:tcPr>
            <w:tcW w:w="1182" w:type="pct"/>
            <w:tcBorders>
              <w:top w:val="nil"/>
              <w:left w:val="nil"/>
              <w:bottom w:val="single" w:color="9BC2E6" w:sz="8" w:space="0"/>
              <w:right w:val="single" w:color="5B9BD5" w:sz="8" w:space="0"/>
            </w:tcBorders>
            <w:shd w:val="clear" w:color="auto" w:fill="DDEBF7"/>
            <w:noWrap/>
            <w:vAlign w:val="bottom"/>
          </w:tcPr>
          <w:p w14:paraId="47132DA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657,009.15</w:t>
            </w:r>
          </w:p>
        </w:tc>
      </w:tr>
      <w:tr w14:paraId="633E1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342" w:type="pct"/>
            <w:tcBorders>
              <w:top w:val="nil"/>
              <w:left w:val="single" w:color="5B9BD5" w:sz="8" w:space="0"/>
              <w:bottom w:val="single" w:color="9BC2E6" w:sz="8" w:space="0"/>
              <w:right w:val="single" w:color="9BC2E6" w:sz="8" w:space="0"/>
            </w:tcBorders>
            <w:shd w:val="clear" w:color="auto" w:fill="DDEBF7"/>
            <w:vAlign w:val="center"/>
          </w:tcPr>
          <w:p w14:paraId="15BC6C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固定资产净值</w:t>
            </w:r>
          </w:p>
        </w:tc>
        <w:tc>
          <w:tcPr>
            <w:tcW w:w="819" w:type="pct"/>
            <w:tcBorders>
              <w:top w:val="nil"/>
              <w:left w:val="nil"/>
              <w:bottom w:val="single" w:color="9BC2E6" w:sz="8" w:space="0"/>
              <w:right w:val="single" w:color="9BC2E6" w:sz="8" w:space="0"/>
            </w:tcBorders>
            <w:shd w:val="clear" w:color="auto" w:fill="DDEBF7"/>
            <w:noWrap/>
            <w:vAlign w:val="bottom"/>
          </w:tcPr>
          <w:p w14:paraId="26E1B9D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308,214.94</w:t>
            </w:r>
          </w:p>
        </w:tc>
        <w:tc>
          <w:tcPr>
            <w:tcW w:w="849" w:type="pct"/>
            <w:tcBorders>
              <w:top w:val="nil"/>
              <w:left w:val="nil"/>
              <w:bottom w:val="single" w:color="9BC2E6" w:sz="8" w:space="0"/>
              <w:right w:val="single" w:color="9BC2E6" w:sz="8" w:space="0"/>
            </w:tcBorders>
            <w:shd w:val="clear" w:color="auto" w:fill="DDEBF7"/>
            <w:noWrap/>
            <w:vAlign w:val="center"/>
          </w:tcPr>
          <w:p w14:paraId="24BA8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-69,934.89</w:t>
            </w:r>
          </w:p>
        </w:tc>
        <w:tc>
          <w:tcPr>
            <w:tcW w:w="805" w:type="pct"/>
            <w:tcBorders>
              <w:top w:val="nil"/>
              <w:left w:val="nil"/>
              <w:bottom w:val="single" w:color="9BC2E6" w:sz="8" w:space="0"/>
              <w:right w:val="single" w:color="9BC2E6" w:sz="8" w:space="0"/>
            </w:tcBorders>
            <w:shd w:val="clear" w:color="auto" w:fill="DDEBF7"/>
            <w:noWrap/>
            <w:vAlign w:val="bottom"/>
          </w:tcPr>
          <w:p w14:paraId="77F89E1D">
            <w:pPr>
              <w:jc w:val="center"/>
              <w:rPr>
                <w:rFonts w:hint="eastAsia" w:ascii="宋体" w:hAnsi="宋体" w:eastAsia="宋体" w:cs="宋体"/>
                <w:i w:val="0"/>
                <w:iCs w:val="0"/>
                <w:color w:val="000000"/>
                <w:sz w:val="24"/>
                <w:szCs w:val="24"/>
                <w:u w:val="none"/>
              </w:rPr>
            </w:pPr>
          </w:p>
        </w:tc>
        <w:tc>
          <w:tcPr>
            <w:tcW w:w="1182" w:type="pct"/>
            <w:tcBorders>
              <w:top w:val="nil"/>
              <w:left w:val="nil"/>
              <w:bottom w:val="single" w:color="9BC2E6" w:sz="8" w:space="0"/>
              <w:right w:val="single" w:color="5B9BD5" w:sz="8" w:space="0"/>
            </w:tcBorders>
            <w:shd w:val="clear" w:color="auto" w:fill="DDEBF7"/>
            <w:noWrap/>
            <w:vAlign w:val="bottom"/>
          </w:tcPr>
          <w:p w14:paraId="1F5768E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238,280.05</w:t>
            </w:r>
          </w:p>
        </w:tc>
      </w:tr>
    </w:tbl>
    <w:p w14:paraId="578640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1"/>
        <w:rPr>
          <w:rFonts w:hint="eastAsia" w:ascii="楷体" w:hAnsi="楷体" w:eastAsia="楷体" w:cs="楷体"/>
          <w:b/>
          <w:bCs/>
          <w:sz w:val="32"/>
          <w:szCs w:val="32"/>
          <w:highlight w:val="none"/>
          <w:lang w:val="en-US" w:eastAsia="zh-CN"/>
        </w:rPr>
      </w:pPr>
      <w:bookmarkStart w:id="36" w:name="_Toc16671"/>
      <w:r>
        <w:rPr>
          <w:rFonts w:hint="eastAsia" w:ascii="楷体" w:hAnsi="楷体" w:eastAsia="楷体" w:cs="楷体"/>
          <w:b/>
          <w:bCs/>
          <w:sz w:val="32"/>
          <w:szCs w:val="32"/>
          <w:highlight w:val="none"/>
          <w:lang w:val="en-US" w:eastAsia="zh-CN"/>
        </w:rPr>
        <w:t>（八）厉行节约保障措施的执行情况及其政策效果</w:t>
      </w:r>
      <w:bookmarkEnd w:id="36"/>
    </w:p>
    <w:p w14:paraId="44BF03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未提供行节约保障措施的执行情况。</w:t>
      </w:r>
    </w:p>
    <w:p w14:paraId="7E5B6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 w:hAnsi="楷体" w:eastAsia="楷体" w:cs="楷体"/>
          <w:b/>
          <w:bCs/>
          <w:sz w:val="32"/>
          <w:szCs w:val="32"/>
          <w:highlight w:val="none"/>
          <w:lang w:eastAsia="zh-CN"/>
        </w:rPr>
      </w:pPr>
      <w:bookmarkStart w:id="37" w:name="_Toc23135"/>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lang w:val="en-US" w:eastAsia="zh-CN"/>
        </w:rPr>
        <w:t>部门</w:t>
      </w:r>
      <w:r>
        <w:rPr>
          <w:rFonts w:hint="eastAsia" w:ascii="黑体" w:hAnsi="黑体" w:eastAsia="黑体" w:cs="黑体"/>
          <w:sz w:val="32"/>
          <w:szCs w:val="32"/>
          <w:highlight w:val="none"/>
          <w:lang w:eastAsia="zh-CN"/>
        </w:rPr>
        <w:t>绩效目标</w:t>
      </w:r>
      <w:bookmarkEnd w:id="37"/>
    </w:p>
    <w:p w14:paraId="5A6DA20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val="0"/>
          <w:bCs w:val="0"/>
          <w:sz w:val="32"/>
          <w:szCs w:val="32"/>
          <w:lang w:eastAsia="zh-CN"/>
        </w:rPr>
      </w:pPr>
      <w:bookmarkStart w:id="38" w:name="_Toc16528"/>
      <w:r>
        <w:rPr>
          <w:rFonts w:hint="eastAsia" w:ascii="楷体" w:hAnsi="楷体" w:eastAsia="楷体" w:cs="楷体"/>
          <w:b/>
          <w:bCs/>
          <w:sz w:val="32"/>
          <w:szCs w:val="32"/>
          <w:lang w:eastAsia="zh-CN"/>
        </w:rPr>
        <w:t>（一）总体目标</w:t>
      </w:r>
      <w:bookmarkEnd w:id="38"/>
    </w:p>
    <w:p w14:paraId="5C6B7CC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lang w:eastAsia="zh-CN"/>
        </w:rPr>
      </w:pPr>
      <w:r>
        <w:rPr>
          <w:rFonts w:hint="eastAsia" w:ascii="仿宋" w:hAnsi="仿宋" w:eastAsia="仿宋" w:cs="仿宋"/>
          <w:b/>
          <w:bCs/>
          <w:sz w:val="32"/>
          <w:szCs w:val="32"/>
          <w:highlight w:val="none"/>
          <w:lang w:val="en-US" w:eastAsia="zh-CN"/>
        </w:rPr>
        <w:t>围绕“强基础、提质量、创品牌、促发展”的总思路，以提升组织工作科学化、规范化、品牌化水平为核心，力争在以下方面取得显著成效。一是政治引领力全面加强。</w:t>
      </w:r>
      <w:r>
        <w:rPr>
          <w:rFonts w:hint="eastAsia" w:ascii="仿宋" w:hAnsi="仿宋" w:eastAsia="仿宋" w:cs="仿宋"/>
          <w:sz w:val="32"/>
          <w:szCs w:val="32"/>
          <w:highlight w:val="none"/>
          <w:lang w:val="en-US" w:eastAsia="zh-CN"/>
        </w:rPr>
        <w:t>推动党的创新理论、纪律规矩内化于心、外化于行，党员干部政治判断力、政治领悟力、政治执行力显著提升。</w:t>
      </w:r>
      <w:r>
        <w:rPr>
          <w:rFonts w:hint="eastAsia" w:ascii="仿宋" w:hAnsi="仿宋" w:eastAsia="仿宋" w:cs="仿宋"/>
          <w:b/>
          <w:bCs/>
          <w:sz w:val="32"/>
          <w:szCs w:val="32"/>
          <w:highlight w:val="none"/>
          <w:lang w:val="en-US" w:eastAsia="zh-CN"/>
        </w:rPr>
        <w:t>二是干部队伍活力持续迸发。</w:t>
      </w:r>
      <w:r>
        <w:rPr>
          <w:rFonts w:hint="eastAsia" w:ascii="仿宋" w:hAnsi="仿宋" w:eastAsia="仿宋" w:cs="仿宋"/>
          <w:sz w:val="32"/>
          <w:szCs w:val="32"/>
          <w:highlight w:val="none"/>
          <w:lang w:val="en-US" w:eastAsia="zh-CN"/>
        </w:rPr>
        <w:t>干部“选育管用”全链条机制更加优化，队伍结构、专业能力、担当精神明显改善，形成风清气正、实干争先的浓厚氛围。</w:t>
      </w:r>
      <w:r>
        <w:rPr>
          <w:rFonts w:hint="eastAsia" w:ascii="仿宋" w:hAnsi="仿宋" w:eastAsia="仿宋" w:cs="仿宋"/>
          <w:b/>
          <w:bCs/>
          <w:sz w:val="32"/>
          <w:szCs w:val="32"/>
          <w:highlight w:val="none"/>
          <w:lang w:val="en-US" w:eastAsia="zh-CN"/>
        </w:rPr>
        <w:t>三是人才集聚效应显著增强。</w:t>
      </w:r>
      <w:r>
        <w:rPr>
          <w:rFonts w:hint="eastAsia" w:ascii="仿宋" w:hAnsi="仿宋" w:eastAsia="仿宋" w:cs="仿宋"/>
          <w:sz w:val="32"/>
          <w:szCs w:val="32"/>
          <w:highlight w:val="none"/>
          <w:lang w:val="en-US" w:eastAsia="zh-CN"/>
        </w:rPr>
        <w:t>人才政策吸引力、平台承载力、服务精准度大幅提升，引才数量与质量双增长，对经济社会高质量发展的支撑作用更加凸显。</w:t>
      </w:r>
      <w:r>
        <w:rPr>
          <w:rFonts w:hint="eastAsia" w:ascii="仿宋" w:hAnsi="仿宋" w:eastAsia="仿宋" w:cs="仿宋"/>
          <w:b/>
          <w:bCs/>
          <w:sz w:val="32"/>
          <w:szCs w:val="32"/>
          <w:highlight w:val="none"/>
          <w:lang w:val="en-US" w:eastAsia="zh-CN"/>
        </w:rPr>
        <w:t>四是基层堡垒作用坚实稳固。</w:t>
      </w:r>
      <w:r>
        <w:rPr>
          <w:rFonts w:hint="eastAsia" w:ascii="仿宋" w:hAnsi="仿宋" w:eastAsia="仿宋" w:cs="仿宋"/>
          <w:sz w:val="32"/>
          <w:szCs w:val="32"/>
          <w:highlight w:val="none"/>
          <w:lang w:val="en-US" w:eastAsia="zh-CN"/>
        </w:rPr>
        <w:t>基层减负增效成果持续巩固，基层治理体系和治理能力现代化水平有效提升，党组织战斗堡垒和党员先锋模范作用在关键时刻充分彰显。</w:t>
      </w:r>
      <w:r>
        <w:rPr>
          <w:rFonts w:hint="eastAsia" w:ascii="仿宋" w:hAnsi="仿宋" w:eastAsia="仿宋" w:cs="仿宋"/>
          <w:b/>
          <w:bCs/>
          <w:sz w:val="32"/>
          <w:szCs w:val="32"/>
          <w:highlight w:val="none"/>
          <w:lang w:val="en-US" w:eastAsia="zh-CN"/>
        </w:rPr>
        <w:t>五是部门自身建设模范过硬。</w:t>
      </w:r>
      <w:r>
        <w:rPr>
          <w:rFonts w:hint="eastAsia" w:ascii="仿宋" w:hAnsi="仿宋" w:eastAsia="仿宋" w:cs="仿宋"/>
          <w:sz w:val="32"/>
          <w:szCs w:val="32"/>
          <w:highlight w:val="none"/>
          <w:lang w:val="en-US" w:eastAsia="zh-CN"/>
        </w:rPr>
        <w:t>组工干部政治素养、专业能力、作风建设全面过硬，组织工作的公信力、影响力和服务中心大局的贡献度进一步提高。</w:t>
      </w:r>
    </w:p>
    <w:p w14:paraId="495FBA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outlineLvl w:val="1"/>
        <w:rPr>
          <w:rFonts w:hint="eastAsia" w:ascii="仿宋" w:hAnsi="仿宋" w:eastAsia="仿宋" w:cs="仿宋"/>
          <w:sz w:val="32"/>
          <w:szCs w:val="32"/>
          <w:highlight w:val="none"/>
          <w:lang w:val="en-US" w:eastAsia="zh-CN"/>
        </w:rPr>
      </w:pPr>
      <w:bookmarkStart w:id="39" w:name="_Toc15067"/>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）分类目标</w:t>
      </w:r>
      <w:bookmarkEnd w:id="39"/>
      <w:bookmarkStart w:id="40" w:name="_Toc6424"/>
      <w:bookmarkStart w:id="41" w:name="_Toc29770"/>
    </w:p>
    <w:p w14:paraId="30180EA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1.党纪学习教育走深走实。分类绩效目标：党纪学习教育入脑入心，纪律规矩转化为政治自觉、思想自觉、行动自觉。学习覆盖度。</w:t>
      </w:r>
      <w:r>
        <w:rPr>
          <w:rFonts w:hint="eastAsia" w:ascii="仿宋" w:hAnsi="仿宋" w:eastAsia="仿宋" w:cs="仿宋"/>
          <w:sz w:val="32"/>
          <w:szCs w:val="32"/>
          <w:highlight w:val="none"/>
          <w:lang w:val="en-US" w:eastAsia="zh-CN"/>
        </w:rPr>
        <w:t>党员《条例》学习参与率不低于95%；县级领导干部专题研讨不少于4次。</w:t>
      </w:r>
      <w:r>
        <w:rPr>
          <w:rFonts w:hint="eastAsia" w:ascii="仿宋" w:hAnsi="仿宋" w:eastAsia="仿宋" w:cs="仿宋"/>
          <w:b/>
          <w:bCs/>
          <w:sz w:val="32"/>
          <w:szCs w:val="32"/>
          <w:highlight w:val="none"/>
          <w:lang w:val="en-US" w:eastAsia="zh-CN"/>
        </w:rPr>
        <w:t>警示教育效果。</w:t>
      </w:r>
      <w:r>
        <w:rPr>
          <w:rFonts w:hint="eastAsia" w:ascii="仿宋" w:hAnsi="仿宋" w:eastAsia="仿宋" w:cs="仿宋"/>
          <w:sz w:val="32"/>
          <w:szCs w:val="32"/>
          <w:highlight w:val="none"/>
          <w:lang w:val="en-US" w:eastAsia="zh-CN"/>
        </w:rPr>
        <w:t>组织全区性警示教育大会不少于1次；党员干部观看警示教育片、参与实践活动的总人次年增长率不低于5%。</w:t>
      </w:r>
      <w:r>
        <w:rPr>
          <w:rFonts w:hint="eastAsia" w:ascii="仿宋" w:hAnsi="仿宋" w:eastAsia="仿宋" w:cs="仿宋"/>
          <w:b/>
          <w:bCs/>
          <w:sz w:val="32"/>
          <w:szCs w:val="32"/>
          <w:highlight w:val="none"/>
          <w:lang w:val="en-US" w:eastAsia="zh-CN"/>
        </w:rPr>
        <w:t>学用转化率。</w:t>
      </w:r>
      <w:r>
        <w:rPr>
          <w:rFonts w:hint="eastAsia" w:ascii="仿宋" w:hAnsi="仿宋" w:eastAsia="仿宋" w:cs="仿宋"/>
          <w:sz w:val="32"/>
          <w:szCs w:val="32"/>
          <w:highlight w:val="none"/>
          <w:lang w:val="en-US" w:eastAsia="zh-CN"/>
        </w:rPr>
        <w:t>组织开展学习检视讨论不少于4次；推动党支部纪律党课、微党课总次数年增长10%。</w:t>
      </w:r>
    </w:p>
    <w:p w14:paraId="6F52B21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2.干部队伍“选育管用”优化。分类绩效目标：</w:t>
      </w:r>
      <w:r>
        <w:rPr>
          <w:rFonts w:hint="eastAsia" w:ascii="仿宋" w:hAnsi="仿宋" w:eastAsia="仿宋" w:cs="仿宋"/>
          <w:sz w:val="32"/>
          <w:szCs w:val="32"/>
          <w:highlight w:val="none"/>
          <w:lang w:val="en-US" w:eastAsia="zh-CN"/>
        </w:rPr>
        <w:t>打造忠诚干净担当的高素质专业化干部队伍，营造风清气正用人环境。</w:t>
      </w:r>
      <w:r>
        <w:rPr>
          <w:rFonts w:hint="eastAsia" w:ascii="仿宋" w:hAnsi="仿宋" w:eastAsia="仿宋" w:cs="仿宋"/>
          <w:b/>
          <w:bCs/>
          <w:sz w:val="32"/>
          <w:szCs w:val="32"/>
          <w:highlight w:val="none"/>
          <w:lang w:val="en-US" w:eastAsia="zh-CN"/>
        </w:rPr>
        <w:t>结构优化度。</w:t>
      </w:r>
      <w:r>
        <w:rPr>
          <w:rFonts w:hint="eastAsia" w:ascii="仿宋" w:hAnsi="仿宋" w:eastAsia="仿宋" w:cs="仿宋"/>
          <w:sz w:val="32"/>
          <w:szCs w:val="32"/>
          <w:highlight w:val="none"/>
          <w:lang w:val="en-US" w:eastAsia="zh-CN"/>
        </w:rPr>
        <w:t>全年有序调整干部人次，保持年轻干部占科级实职干部比例不低于25%，并稳步优化。</w:t>
      </w:r>
      <w:r>
        <w:rPr>
          <w:rFonts w:hint="eastAsia" w:ascii="仿宋" w:hAnsi="仿宋" w:eastAsia="仿宋" w:cs="仿宋"/>
          <w:b/>
          <w:bCs/>
          <w:sz w:val="32"/>
          <w:szCs w:val="32"/>
          <w:highlight w:val="none"/>
          <w:lang w:val="en-US" w:eastAsia="zh-CN"/>
        </w:rPr>
        <w:t>能力提升度。</w:t>
      </w:r>
      <w:r>
        <w:rPr>
          <w:rFonts w:hint="eastAsia" w:ascii="仿宋" w:hAnsi="仿宋" w:eastAsia="仿宋" w:cs="仿宋"/>
          <w:sz w:val="32"/>
          <w:szCs w:val="32"/>
          <w:highlight w:val="none"/>
          <w:lang w:val="en-US" w:eastAsia="zh-CN"/>
        </w:rPr>
        <w:t>干部线上教育“双百”目标保持率100%；选派参加上级调训人次稳步增加；关键岗位干部教材覆盖率达100%。</w:t>
      </w:r>
      <w:r>
        <w:rPr>
          <w:rFonts w:hint="eastAsia" w:ascii="仿宋" w:hAnsi="仿宋" w:eastAsia="仿宋" w:cs="仿宋"/>
          <w:b/>
          <w:bCs/>
          <w:sz w:val="32"/>
          <w:szCs w:val="32"/>
          <w:highlight w:val="none"/>
          <w:lang w:val="en-US" w:eastAsia="zh-CN"/>
        </w:rPr>
        <w:t>基层导向。</w:t>
      </w:r>
      <w:r>
        <w:rPr>
          <w:rFonts w:hint="eastAsia" w:ascii="仿宋" w:hAnsi="仿宋" w:eastAsia="仿宋" w:cs="仿宋"/>
          <w:sz w:val="32"/>
          <w:szCs w:val="32"/>
          <w:highlight w:val="none"/>
          <w:lang w:val="en-US" w:eastAsia="zh-CN"/>
        </w:rPr>
        <w:t>镇街较高职级干部覆盖保持100%；面向村（社区）党组织书记招聘事业编制人员机制化。</w:t>
      </w:r>
      <w:r>
        <w:rPr>
          <w:rFonts w:hint="eastAsia" w:ascii="仿宋" w:hAnsi="仿宋" w:eastAsia="仿宋" w:cs="仿宋"/>
          <w:b/>
          <w:bCs/>
          <w:sz w:val="32"/>
          <w:szCs w:val="32"/>
          <w:highlight w:val="none"/>
          <w:lang w:val="en-US" w:eastAsia="zh-CN"/>
        </w:rPr>
        <w:t>管理精细度。</w:t>
      </w:r>
      <w:r>
        <w:rPr>
          <w:rFonts w:hint="eastAsia" w:ascii="仿宋" w:hAnsi="仿宋" w:eastAsia="仿宋" w:cs="仿宋"/>
          <w:sz w:val="32"/>
          <w:szCs w:val="32"/>
          <w:highlight w:val="none"/>
          <w:lang w:val="en-US" w:eastAsia="zh-CN"/>
        </w:rPr>
        <w:t>完成关键岗位干部档案复审比率100%；选调生补贴发放及时率100%。</w:t>
      </w:r>
    </w:p>
    <w:p w14:paraId="16703D4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3.人才引育质效显著提升。分类绩效目标：</w:t>
      </w:r>
      <w:r>
        <w:rPr>
          <w:rFonts w:hint="eastAsia" w:ascii="仿宋" w:hAnsi="仿宋" w:eastAsia="仿宋" w:cs="仿宋"/>
          <w:sz w:val="32"/>
          <w:szCs w:val="32"/>
          <w:highlight w:val="none"/>
          <w:lang w:val="en-US" w:eastAsia="zh-CN"/>
        </w:rPr>
        <w:t>实施新时代人才强区战略，为高质量发展提供坚实人才保障和智力支撑。</w:t>
      </w:r>
      <w:r>
        <w:rPr>
          <w:rFonts w:hint="eastAsia" w:ascii="仿宋" w:hAnsi="仿宋" w:eastAsia="仿宋" w:cs="仿宋"/>
          <w:b/>
          <w:bCs/>
          <w:sz w:val="32"/>
          <w:szCs w:val="32"/>
          <w:highlight w:val="none"/>
          <w:lang w:val="en-US" w:eastAsia="zh-CN"/>
        </w:rPr>
        <w:t>引才规模与质量。</w:t>
      </w:r>
      <w:r>
        <w:rPr>
          <w:rFonts w:hint="eastAsia" w:ascii="仿宋" w:hAnsi="仿宋" w:eastAsia="仿宋" w:cs="仿宋"/>
          <w:sz w:val="32"/>
          <w:szCs w:val="32"/>
          <w:highlight w:val="none"/>
          <w:lang w:val="en-US" w:eastAsia="zh-CN"/>
        </w:rPr>
        <w:t>全年举办各类招聘活动不少于20场，提供岗位不少于3万个；成功引进高层次及急缺紧缺人才数量稳中有升。</w:t>
      </w:r>
      <w:r>
        <w:rPr>
          <w:rFonts w:hint="eastAsia" w:ascii="仿宋" w:hAnsi="仿宋" w:eastAsia="仿宋" w:cs="仿宋"/>
          <w:b/>
          <w:bCs/>
          <w:sz w:val="32"/>
          <w:szCs w:val="32"/>
          <w:highlight w:val="none"/>
          <w:lang w:val="en-US" w:eastAsia="zh-CN"/>
        </w:rPr>
        <w:t>平台载体建设。</w:t>
      </w:r>
      <w:r>
        <w:rPr>
          <w:rFonts w:hint="eastAsia" w:ascii="仿宋" w:hAnsi="仿宋" w:eastAsia="仿宋" w:cs="仿宋"/>
          <w:sz w:val="32"/>
          <w:szCs w:val="32"/>
          <w:highlight w:val="none"/>
          <w:lang w:val="en-US" w:eastAsia="zh-CN"/>
        </w:rPr>
        <w:t>新建或提升省级、市级名师（大师）工作室不少于1个；促成产学研合作项目不少于10项。</w:t>
      </w:r>
      <w:r>
        <w:rPr>
          <w:rFonts w:hint="eastAsia" w:ascii="仿宋" w:hAnsi="仿宋" w:eastAsia="仿宋" w:cs="仿宋"/>
          <w:b/>
          <w:bCs/>
          <w:sz w:val="32"/>
          <w:szCs w:val="32"/>
          <w:highlight w:val="none"/>
          <w:lang w:val="en-US" w:eastAsia="zh-CN"/>
        </w:rPr>
        <w:t>服务满意度。</w:t>
      </w:r>
      <w:r>
        <w:rPr>
          <w:rFonts w:hint="eastAsia" w:ascii="仿宋" w:hAnsi="仿宋" w:eastAsia="仿宋" w:cs="仿宋"/>
          <w:sz w:val="32"/>
          <w:szCs w:val="32"/>
          <w:highlight w:val="none"/>
          <w:lang w:val="en-US" w:eastAsia="zh-CN"/>
        </w:rPr>
        <w:t>区领导联系服务专家人才问题解决率不低于90%；高层次人才子女入学等服务需求年度办结率100%。</w:t>
      </w:r>
      <w:r>
        <w:rPr>
          <w:rFonts w:hint="eastAsia" w:ascii="仿宋" w:hAnsi="仿宋" w:eastAsia="仿宋" w:cs="仿宋"/>
          <w:b/>
          <w:bCs/>
          <w:sz w:val="32"/>
          <w:szCs w:val="32"/>
          <w:highlight w:val="none"/>
          <w:lang w:val="en-US" w:eastAsia="zh-CN"/>
        </w:rPr>
        <w:t>品牌影响力。</w:t>
      </w:r>
      <w:r>
        <w:rPr>
          <w:rFonts w:hint="eastAsia" w:ascii="仿宋" w:hAnsi="仿宋" w:eastAsia="仿宋" w:cs="仿宋"/>
          <w:sz w:val="32"/>
          <w:szCs w:val="32"/>
          <w:highlight w:val="none"/>
          <w:lang w:val="en-US" w:eastAsia="zh-CN"/>
        </w:rPr>
        <w:t>“智汇潇湘·才聚雁峰”品牌活动每年至少开展2项特色活动。</w:t>
      </w:r>
    </w:p>
    <w:p w14:paraId="2BB3FF9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4.基层党建基础全面夯实。分类绩效目标：</w:t>
      </w:r>
      <w:r>
        <w:rPr>
          <w:rFonts w:hint="eastAsia" w:ascii="仿宋" w:hAnsi="仿宋" w:eastAsia="仿宋" w:cs="仿宋"/>
          <w:sz w:val="32"/>
          <w:szCs w:val="32"/>
          <w:highlight w:val="none"/>
          <w:lang w:val="en-US" w:eastAsia="zh-CN"/>
        </w:rPr>
        <w:t>破解乡村治理“小马拉大车”突出问题，提升基层治理效能。</w:t>
      </w:r>
      <w:r>
        <w:rPr>
          <w:rFonts w:hint="eastAsia" w:ascii="仿宋" w:hAnsi="仿宋" w:eastAsia="仿宋" w:cs="仿宋"/>
          <w:b/>
          <w:bCs/>
          <w:sz w:val="32"/>
          <w:szCs w:val="32"/>
          <w:highlight w:val="none"/>
          <w:lang w:val="en-US" w:eastAsia="zh-CN"/>
        </w:rPr>
        <w:t>减负实效。</w:t>
      </w:r>
      <w:r>
        <w:rPr>
          <w:rFonts w:hint="eastAsia" w:ascii="仿宋" w:hAnsi="仿宋" w:eastAsia="仿宋" w:cs="仿宋"/>
          <w:sz w:val="32"/>
          <w:szCs w:val="32"/>
          <w:highlight w:val="none"/>
          <w:lang w:val="en-US" w:eastAsia="zh-CN"/>
        </w:rPr>
        <w:t>对村（社区）的督查检查考核事项压减率不低于50%；文件、会议数量持续有效控制。</w:t>
      </w:r>
      <w:r>
        <w:rPr>
          <w:rFonts w:hint="eastAsia" w:ascii="仿宋" w:hAnsi="仿宋" w:eastAsia="仿宋" w:cs="仿宋"/>
          <w:b/>
          <w:bCs/>
          <w:sz w:val="32"/>
          <w:szCs w:val="32"/>
          <w:highlight w:val="none"/>
          <w:lang w:val="en-US" w:eastAsia="zh-CN"/>
        </w:rPr>
        <w:t>治理效能。</w:t>
      </w:r>
      <w:r>
        <w:rPr>
          <w:rFonts w:hint="eastAsia" w:ascii="仿宋" w:hAnsi="仿宋" w:eastAsia="仿宋" w:cs="仿宋"/>
          <w:sz w:val="32"/>
          <w:szCs w:val="32"/>
          <w:highlight w:val="none"/>
          <w:lang w:val="en-US" w:eastAsia="zh-CN"/>
        </w:rPr>
        <w:t>“片组邻三长制”覆盖所有村（社区），邻长年人均开展微服务不少于2次，问题解决率不低于90%。</w:t>
      </w:r>
      <w:r>
        <w:rPr>
          <w:rFonts w:hint="eastAsia" w:ascii="仿宋" w:hAnsi="仿宋" w:eastAsia="仿宋" w:cs="仿宋"/>
          <w:b/>
          <w:bCs/>
          <w:sz w:val="32"/>
          <w:szCs w:val="32"/>
          <w:highlight w:val="none"/>
          <w:lang w:val="en-US" w:eastAsia="zh-CN"/>
        </w:rPr>
        <w:t>组织战斗力。</w:t>
      </w:r>
      <w:r>
        <w:rPr>
          <w:rFonts w:hint="eastAsia" w:ascii="仿宋" w:hAnsi="仿宋" w:eastAsia="仿宋" w:cs="仿宋"/>
          <w:sz w:val="32"/>
          <w:szCs w:val="32"/>
          <w:highlight w:val="none"/>
          <w:lang w:val="en-US" w:eastAsia="zh-CN"/>
        </w:rPr>
        <w:t>软弱涣散党组织当年整顿转化率100%；村级党组织书记后备力量库常年保持一定规模（如30人左右），大专以上学历占比100%。</w:t>
      </w:r>
      <w:r>
        <w:rPr>
          <w:rFonts w:hint="eastAsia" w:ascii="仿宋" w:hAnsi="仿宋" w:eastAsia="仿宋" w:cs="仿宋"/>
          <w:b/>
          <w:bCs/>
          <w:sz w:val="32"/>
          <w:szCs w:val="32"/>
          <w:highlight w:val="none"/>
          <w:lang w:val="en-US" w:eastAsia="zh-CN"/>
        </w:rPr>
        <w:t>作用发挥。</w:t>
      </w:r>
      <w:r>
        <w:rPr>
          <w:rFonts w:hint="eastAsia" w:ascii="仿宋" w:hAnsi="仿宋" w:eastAsia="仿宋" w:cs="仿宋"/>
          <w:sz w:val="32"/>
          <w:szCs w:val="32"/>
          <w:highlight w:val="none"/>
          <w:lang w:val="en-US" w:eastAsia="zh-CN"/>
        </w:rPr>
        <w:t>在重点项目、应急抢险中，组建党员突击队，党员参与率显著；村级集体经济收入实现村均稳步合理增长。</w:t>
      </w:r>
    </w:p>
    <w:p w14:paraId="51F0283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黑体" w:hAnsi="黑体" w:eastAsia="黑体" w:cs="黑体"/>
          <w:sz w:val="32"/>
          <w:szCs w:val="32"/>
          <w:highlight w:val="none"/>
          <w:lang w:val="en-US" w:eastAsia="zh-CN"/>
        </w:rPr>
      </w:pPr>
      <w:r>
        <w:rPr>
          <w:rFonts w:hint="eastAsia" w:ascii="仿宋" w:hAnsi="仿宋" w:eastAsia="仿宋" w:cs="仿宋"/>
          <w:b/>
          <w:bCs/>
          <w:sz w:val="32"/>
          <w:szCs w:val="32"/>
          <w:highlight w:val="none"/>
          <w:lang w:val="en-US" w:eastAsia="zh-CN"/>
        </w:rPr>
        <w:t>5.组织部门自身建设过硬。分类绩效目标：建设模范部门，打造过硬组工队伍。政治学习。</w:t>
      </w:r>
      <w:r>
        <w:rPr>
          <w:rFonts w:hint="eastAsia" w:ascii="仿宋" w:hAnsi="仿宋" w:eastAsia="仿宋" w:cs="仿宋"/>
          <w:sz w:val="32"/>
          <w:szCs w:val="32"/>
          <w:highlight w:val="none"/>
          <w:lang w:val="en-US" w:eastAsia="zh-CN"/>
        </w:rPr>
        <w:t>部务会“第一议题”学习制度执行率100%；全年开展内部专题学习研讨不少于6次。</w:t>
      </w:r>
      <w:r>
        <w:rPr>
          <w:rFonts w:hint="eastAsia" w:ascii="仿宋" w:hAnsi="仿宋" w:eastAsia="仿宋" w:cs="仿宋"/>
          <w:b/>
          <w:bCs/>
          <w:sz w:val="32"/>
          <w:szCs w:val="32"/>
          <w:highlight w:val="none"/>
          <w:lang w:val="en-US" w:eastAsia="zh-CN"/>
        </w:rPr>
        <w:t>能力提升。</w:t>
      </w:r>
      <w:r>
        <w:rPr>
          <w:rFonts w:hint="eastAsia" w:ascii="仿宋" w:hAnsi="仿宋" w:eastAsia="仿宋" w:cs="仿宋"/>
          <w:sz w:val="32"/>
          <w:szCs w:val="32"/>
          <w:highlight w:val="none"/>
          <w:lang w:val="en-US" w:eastAsia="zh-CN"/>
        </w:rPr>
        <w:t>全年开展“组工尖兵谈组工”等业务练兵活动不少于6期。</w:t>
      </w:r>
      <w:r>
        <w:rPr>
          <w:rFonts w:hint="eastAsia" w:ascii="仿宋" w:hAnsi="仿宋" w:eastAsia="仿宋" w:cs="仿宋"/>
          <w:b/>
          <w:bCs/>
          <w:sz w:val="32"/>
          <w:szCs w:val="32"/>
          <w:highlight w:val="none"/>
          <w:lang w:val="en-US" w:eastAsia="zh-CN"/>
        </w:rPr>
        <w:t>宣传影响。</w:t>
      </w:r>
      <w:r>
        <w:rPr>
          <w:rFonts w:hint="eastAsia" w:ascii="仿宋" w:hAnsi="仿宋" w:eastAsia="仿宋" w:cs="仿宋"/>
          <w:sz w:val="32"/>
          <w:szCs w:val="32"/>
          <w:highlight w:val="none"/>
          <w:lang w:val="en-US" w:eastAsia="zh-CN"/>
        </w:rPr>
        <w:t>在中央、省级核心组工媒体（如共产党员网、红星云）上稿量年增长10%以上；舆情监控与报送及时率100%。</w:t>
      </w:r>
      <w:r>
        <w:rPr>
          <w:rFonts w:hint="eastAsia" w:ascii="仿宋" w:hAnsi="仿宋" w:eastAsia="仿宋" w:cs="仿宋"/>
          <w:b/>
          <w:bCs/>
          <w:sz w:val="32"/>
          <w:szCs w:val="32"/>
          <w:highlight w:val="none"/>
          <w:lang w:val="en-US" w:eastAsia="zh-CN"/>
        </w:rPr>
        <w:t>作风形象。</w:t>
      </w:r>
      <w:r>
        <w:rPr>
          <w:rFonts w:hint="eastAsia" w:ascii="仿宋" w:hAnsi="仿宋" w:eastAsia="仿宋" w:cs="仿宋"/>
          <w:sz w:val="32"/>
          <w:szCs w:val="32"/>
          <w:highlight w:val="none"/>
          <w:lang w:val="en-US" w:eastAsia="zh-CN"/>
        </w:rPr>
        <w:t>组工干部参与志愿服务人次年增长10%；牵头整改任务按时完成率100%。</w:t>
      </w:r>
    </w:p>
    <w:p w14:paraId="308B02B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sz w:val="32"/>
          <w:szCs w:val="32"/>
          <w:highlight w:val="none"/>
          <w:lang w:eastAsia="zh-CN"/>
        </w:rPr>
      </w:pPr>
      <w:bookmarkStart w:id="42" w:name="_Toc15698"/>
      <w:r>
        <w:rPr>
          <w:rFonts w:hint="eastAsia" w:ascii="黑体" w:hAnsi="黑体" w:eastAsia="黑体" w:cs="黑体"/>
          <w:sz w:val="32"/>
          <w:szCs w:val="32"/>
          <w:highlight w:val="none"/>
          <w:lang w:val="en-US" w:eastAsia="zh-CN"/>
        </w:rPr>
        <w:t>五、部门</w:t>
      </w:r>
      <w:r>
        <w:rPr>
          <w:rFonts w:hint="eastAsia" w:ascii="黑体" w:hAnsi="黑体" w:eastAsia="黑体" w:cs="黑体"/>
          <w:sz w:val="32"/>
          <w:szCs w:val="32"/>
          <w:highlight w:val="none"/>
          <w:lang w:eastAsia="zh-CN"/>
        </w:rPr>
        <w:t>绩效考评情况</w:t>
      </w:r>
      <w:bookmarkEnd w:id="40"/>
      <w:bookmarkEnd w:id="41"/>
      <w:bookmarkEnd w:id="42"/>
    </w:p>
    <w:p w14:paraId="1FC593C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43" w:name="_Toc10865"/>
      <w:bookmarkStart w:id="44" w:name="_Toc8508"/>
      <w:bookmarkStart w:id="45" w:name="_Toc14868"/>
      <w:r>
        <w:rPr>
          <w:rFonts w:hint="eastAsia" w:ascii="楷体" w:hAnsi="楷体" w:eastAsia="楷体" w:cs="楷体"/>
          <w:b/>
          <w:bCs/>
          <w:sz w:val="32"/>
          <w:szCs w:val="32"/>
          <w:lang w:val="en-US" w:eastAsia="zh-CN"/>
        </w:rPr>
        <w:t>（一）评价框架</w:t>
      </w:r>
      <w:bookmarkEnd w:id="43"/>
      <w:bookmarkEnd w:id="44"/>
      <w:bookmarkEnd w:id="45"/>
    </w:p>
    <w:p w14:paraId="46EE98AD">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val="0"/>
          <w:i w:val="0"/>
          <w:iCs w:val="0"/>
          <w:caps w:val="0"/>
          <w:color w:val="000000"/>
          <w:spacing w:val="0"/>
          <w:sz w:val="32"/>
          <w:szCs w:val="32"/>
          <w:highlight w:val="yellow"/>
          <w:u w:val="none"/>
          <w:shd w:val="clear" w:fill="FFFFFF"/>
          <w:lang w:val="en-US" w:eastAsia="zh-CN"/>
        </w:rPr>
      </w:pPr>
      <w:r>
        <w:rPr>
          <w:rFonts w:hint="eastAsia" w:ascii="仿宋" w:hAnsi="仿宋" w:eastAsia="仿宋" w:cs="仿宋"/>
          <w:b w:val="0"/>
          <w:bCs w:val="0"/>
          <w:i w:val="0"/>
          <w:iCs w:val="0"/>
          <w:caps w:val="0"/>
          <w:color w:val="000000"/>
          <w:spacing w:val="0"/>
          <w:sz w:val="32"/>
          <w:szCs w:val="32"/>
          <w:highlight w:val="none"/>
          <w:u w:val="none"/>
          <w:shd w:val="clear" w:fill="FFFFFF"/>
          <w:lang w:val="en-US" w:eastAsia="zh-CN"/>
        </w:rPr>
        <w:t>依据财政部《关于全面实施预算绩效管理的意见》，《中华人民共和国预算法》等评价依据，设定以下评价指标：</w:t>
      </w:r>
    </w:p>
    <w:p w14:paraId="1040E76E">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1.投入指标20分：目标设定、预算配置。</w:t>
      </w:r>
    </w:p>
    <w:p w14:paraId="4BAF2F52">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2.过程指标30分：预算执行、部门管理、资产管理。</w:t>
      </w:r>
    </w:p>
    <w:p w14:paraId="7EF6695F">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3.产出指标30分：职能工作完成率、重点工作办结率。</w:t>
      </w:r>
    </w:p>
    <w:p w14:paraId="0E6B866E">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4.效益指标20分：社会效益、相关人员满意度。</w:t>
      </w:r>
    </w:p>
    <w:p w14:paraId="500765E9">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outlineLvl w:val="1"/>
        <w:rPr>
          <w:rFonts w:hint="default" w:ascii="楷体" w:hAnsi="楷体" w:eastAsia="楷体" w:cs="楷体"/>
          <w:b/>
          <w:bCs/>
          <w:sz w:val="32"/>
          <w:szCs w:val="32"/>
          <w:highlight w:val="none"/>
          <w:lang w:val="en-US" w:eastAsia="zh-CN"/>
        </w:rPr>
      </w:pPr>
      <w:bookmarkStart w:id="46" w:name="_Toc7412"/>
      <w:bookmarkStart w:id="47" w:name="_Toc25462"/>
      <w:bookmarkStart w:id="48" w:name="_Toc28363"/>
      <w:r>
        <w:rPr>
          <w:rFonts w:hint="eastAsia" w:ascii="楷体" w:hAnsi="楷体" w:eastAsia="楷体" w:cs="楷体"/>
          <w:b/>
          <w:bCs/>
          <w:sz w:val="32"/>
          <w:szCs w:val="32"/>
          <w:highlight w:val="none"/>
          <w:lang w:val="en-US" w:eastAsia="zh-CN"/>
        </w:rPr>
        <w:t>（二）评价分析</w:t>
      </w:r>
      <w:bookmarkEnd w:id="46"/>
      <w:bookmarkEnd w:id="47"/>
      <w:bookmarkEnd w:id="48"/>
    </w:p>
    <w:p w14:paraId="464AA21E">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u w:val="none"/>
          <w:shd w:val="clear" w:fill="FFFFFF"/>
          <w:lang w:val="en-US" w:eastAsia="zh-CN"/>
        </w:rPr>
      </w:pPr>
      <w:r>
        <w:rPr>
          <w:rFonts w:hint="eastAsia" w:ascii="仿宋" w:hAnsi="仿宋" w:eastAsia="仿宋" w:cs="仿宋"/>
          <w:b/>
          <w:bCs/>
          <w:i w:val="0"/>
          <w:iCs w:val="0"/>
          <w:caps w:val="0"/>
          <w:color w:val="000000"/>
          <w:spacing w:val="0"/>
          <w:sz w:val="32"/>
          <w:szCs w:val="32"/>
          <w:u w:val="none"/>
          <w:shd w:val="clear" w:fill="FFFFFF"/>
          <w:lang w:val="en-US" w:eastAsia="zh-CN"/>
        </w:rPr>
        <w:t>1.总分100分，得分70分，扣分30分，详见后述绩效评价得分扣分表</w:t>
      </w:r>
    </w:p>
    <w:p w14:paraId="08B2F504">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u w:val="none"/>
          <w:shd w:val="clear" w:fill="FFFFFF"/>
          <w:lang w:val="en-US" w:eastAsia="zh-CN"/>
        </w:rPr>
      </w:pPr>
    </w:p>
    <w:p w14:paraId="02DC8830">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u w:val="none"/>
          <w:shd w:val="clear" w:fill="FFFFFF"/>
          <w:lang w:val="en-US" w:eastAsia="zh-CN"/>
        </w:rPr>
        <w:sectPr>
          <w:footerReference r:id="rId5"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0" w:num="1"/>
          <w:rtlGutter w:val="0"/>
          <w:docGrid w:type="lines" w:linePitch="332" w:charSpace="0"/>
        </w:sectPr>
      </w:pPr>
    </w:p>
    <w:p w14:paraId="2A9A9DB9">
      <w:pPr>
        <w:pStyle w:val="1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楷体" w:hAnsi="楷体" w:eastAsia="楷体" w:cs="楷体"/>
          <w:b/>
          <w:bCs/>
          <w:kern w:val="0"/>
          <w:sz w:val="32"/>
          <w:szCs w:val="32"/>
          <w:highlight w:val="none"/>
          <w:lang w:val="en-US" w:eastAsia="zh-CN" w:bidi="ar"/>
        </w:rPr>
      </w:pPr>
      <w:r>
        <w:rPr>
          <w:rFonts w:hint="eastAsia" w:ascii="楷体" w:hAnsi="楷体" w:eastAsia="楷体" w:cs="楷体"/>
          <w:b/>
          <w:bCs/>
          <w:kern w:val="0"/>
          <w:sz w:val="32"/>
          <w:szCs w:val="32"/>
          <w:highlight w:val="none"/>
          <w:lang w:val="en-US" w:eastAsia="zh-CN" w:bidi="ar"/>
        </w:rPr>
        <w:t>评价分析</w:t>
      </w:r>
    </w:p>
    <w:p w14:paraId="00F72125">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b/>
          <w:bCs/>
          <w:kern w:val="0"/>
          <w:sz w:val="32"/>
          <w:szCs w:val="32"/>
          <w:highlight w:val="none"/>
          <w:lang w:val="en-US" w:eastAsia="zh-CN" w:bidi="ar"/>
        </w:rPr>
      </w:pPr>
      <w:r>
        <w:rPr>
          <w:rFonts w:hint="eastAsia" w:ascii="仿宋" w:hAnsi="仿宋" w:eastAsia="仿宋" w:cs="仿宋"/>
          <w:b/>
          <w:bCs/>
          <w:kern w:val="0"/>
          <w:sz w:val="32"/>
          <w:szCs w:val="32"/>
          <w:highlight w:val="none"/>
          <w:lang w:val="en-US" w:eastAsia="zh-CN" w:bidi="ar"/>
        </w:rPr>
        <w:t>1.总分100分，得分70分，扣分30分，详见后述绩效评价得分扣分表。</w:t>
      </w:r>
    </w:p>
    <w:tbl>
      <w:tblPr>
        <w:tblStyle w:val="1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16"/>
        <w:gridCol w:w="2076"/>
        <w:gridCol w:w="828"/>
        <w:gridCol w:w="696"/>
        <w:gridCol w:w="697"/>
        <w:gridCol w:w="697"/>
        <w:gridCol w:w="3773"/>
        <w:gridCol w:w="3685"/>
      </w:tblGrid>
      <w:tr w14:paraId="5EDE1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0F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AB8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6F7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7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E3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9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扣分</w:t>
            </w:r>
          </w:p>
        </w:tc>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09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扣分说明</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51E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评价要点</w:t>
            </w:r>
          </w:p>
        </w:tc>
      </w:tr>
      <w:tr w14:paraId="5C3EC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D1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投入（20分）</w:t>
            </w: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C40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目标设定（10分）</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6ED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绩效目标合理性</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82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D80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BFEB0">
            <w:pPr>
              <w:jc w:val="center"/>
              <w:rPr>
                <w:rFonts w:hint="eastAsia" w:ascii="宋体" w:hAnsi="宋体" w:eastAsia="宋体" w:cs="宋体"/>
                <w:i w:val="0"/>
                <w:iCs w:val="0"/>
                <w:color w:val="000000"/>
                <w:sz w:val="24"/>
                <w:szCs w:val="24"/>
                <w:u w:val="none"/>
              </w:rPr>
            </w:pP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F2088">
            <w:pPr>
              <w:jc w:val="left"/>
              <w:rPr>
                <w:rFonts w:hint="eastAsia" w:ascii="宋体" w:hAnsi="宋体" w:eastAsia="宋体" w:cs="宋体"/>
                <w:i w:val="0"/>
                <w:iCs w:val="0"/>
                <w:color w:val="000000"/>
                <w:sz w:val="24"/>
                <w:szCs w:val="24"/>
                <w:u w:val="none"/>
              </w:rPr>
            </w:pP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7AA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是否符合国家法律法规、国民经济和社会发展总体规划；②是否符合部门“三定”方案确定的职责；③是否符合部门制定的发展实施规划和年度主要工作计划；④所属部门（单位）编报预算时是否按要求编制绩效目标。</w:t>
            </w:r>
          </w:p>
        </w:tc>
      </w:tr>
      <w:tr w14:paraId="79AB4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DF69F">
            <w:pPr>
              <w:jc w:val="center"/>
              <w:rPr>
                <w:rFonts w:hint="eastAsia" w:ascii="宋体" w:hAnsi="宋体" w:eastAsia="宋体" w:cs="宋体"/>
                <w:i w:val="0"/>
                <w:iCs w:val="0"/>
                <w:color w:val="000000"/>
                <w:sz w:val="24"/>
                <w:szCs w:val="24"/>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64FE6">
            <w:pPr>
              <w:jc w:val="left"/>
              <w:rPr>
                <w:rFonts w:hint="eastAsia" w:ascii="宋体" w:hAnsi="宋体" w:eastAsia="宋体" w:cs="宋体"/>
                <w:i w:val="0"/>
                <w:iCs w:val="0"/>
                <w:color w:val="000000"/>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89A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绩效指标明确性</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9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FC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8E90">
            <w:pPr>
              <w:jc w:val="center"/>
              <w:rPr>
                <w:rFonts w:hint="eastAsia" w:ascii="宋体" w:hAnsi="宋体" w:eastAsia="宋体" w:cs="宋体"/>
                <w:i w:val="0"/>
                <w:iCs w:val="0"/>
                <w:color w:val="000000"/>
                <w:sz w:val="24"/>
                <w:szCs w:val="24"/>
                <w:u w:val="none"/>
              </w:rPr>
            </w:pP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74B28">
            <w:pPr>
              <w:jc w:val="left"/>
              <w:rPr>
                <w:rFonts w:hint="eastAsia" w:ascii="宋体" w:hAnsi="宋体" w:eastAsia="宋体" w:cs="宋体"/>
                <w:i w:val="0"/>
                <w:iCs w:val="0"/>
                <w:color w:val="000000"/>
                <w:sz w:val="24"/>
                <w:szCs w:val="24"/>
                <w:u w:val="none"/>
              </w:rPr>
            </w:pP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CFA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是否将部门整体的绩效目标细化分解为具体的工作任务；②是否通过清晰、可衡量的指标值予以体现；③是否将项目绩效目标与部门年度的任务数或计划数相对应：④是否与本年度部门预算资金相匹配，是否对下属部门（单位）预算编报的绩效目标进行审核。</w:t>
            </w:r>
          </w:p>
        </w:tc>
      </w:tr>
      <w:tr w14:paraId="63F4C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0"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C696">
            <w:pPr>
              <w:jc w:val="center"/>
              <w:rPr>
                <w:rFonts w:hint="eastAsia" w:ascii="宋体" w:hAnsi="宋体" w:eastAsia="宋体" w:cs="宋体"/>
                <w:i w:val="0"/>
                <w:iCs w:val="0"/>
                <w:color w:val="000000"/>
                <w:sz w:val="24"/>
                <w:szCs w:val="24"/>
                <w:u w:val="none"/>
              </w:rPr>
            </w:pP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878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预算编制与配置（10分）</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AF0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在职人员控制率</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45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4E7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83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134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人员控制率121.05%</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DC5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职人员控制率=（在职人员数/编制数）×100%。聘用人员控制率≤人社和编办共同批复的人数；在职人员数：部门（单位）实际在职人数，以财政部门确定的部门决算编制口径为准。编制数：机构编制部门核定批复的部门（单位）的人员编制数。</w:t>
            </w:r>
          </w:p>
        </w:tc>
      </w:tr>
      <w:tr w14:paraId="240D6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F6D6">
            <w:pPr>
              <w:jc w:val="center"/>
              <w:rPr>
                <w:rFonts w:hint="eastAsia" w:ascii="宋体" w:hAnsi="宋体" w:eastAsia="宋体" w:cs="宋体"/>
                <w:i w:val="0"/>
                <w:iCs w:val="0"/>
                <w:color w:val="000000"/>
                <w:sz w:val="24"/>
                <w:szCs w:val="24"/>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80CCE">
            <w:pPr>
              <w:jc w:val="left"/>
              <w:rPr>
                <w:rFonts w:hint="eastAsia" w:ascii="宋体" w:hAnsi="宋体" w:eastAsia="宋体" w:cs="宋体"/>
                <w:i w:val="0"/>
                <w:iCs w:val="0"/>
                <w:color w:val="000000"/>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EDB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预算编制科学性与配置合理性</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0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AE6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7A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 </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3D4D7">
            <w:pPr>
              <w:jc w:val="left"/>
              <w:rPr>
                <w:rFonts w:hint="eastAsia" w:ascii="宋体" w:hAnsi="宋体" w:eastAsia="宋体" w:cs="宋体"/>
                <w:i w:val="0"/>
                <w:iCs w:val="0"/>
                <w:color w:val="000000"/>
                <w:sz w:val="24"/>
                <w:szCs w:val="24"/>
                <w:u w:val="none"/>
              </w:rPr>
            </w:pP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CAE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预算编制科学性，预算与政策目标的匹配度与预算标准合理性。</w:t>
            </w:r>
          </w:p>
        </w:tc>
      </w:tr>
      <w:tr w14:paraId="76955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2F9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过程（30分）</w:t>
            </w: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A7F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预算执行（10分）</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985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预算约束合规性</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5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EB2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8B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6B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未提供凭证</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E9F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预算约束：支出是否严格遵循人大批准的预算，有无超预算、无预算开支的现象。</w:t>
            </w:r>
          </w:p>
        </w:tc>
      </w:tr>
      <w:tr w14:paraId="34D84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9FF1">
            <w:pPr>
              <w:jc w:val="center"/>
              <w:rPr>
                <w:rFonts w:hint="eastAsia" w:ascii="宋体" w:hAnsi="宋体" w:eastAsia="宋体" w:cs="宋体"/>
                <w:i w:val="0"/>
                <w:iCs w:val="0"/>
                <w:color w:val="000000"/>
                <w:sz w:val="24"/>
                <w:szCs w:val="24"/>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C8B8A">
            <w:pPr>
              <w:jc w:val="left"/>
              <w:rPr>
                <w:rFonts w:hint="eastAsia" w:ascii="宋体" w:hAnsi="宋体" w:eastAsia="宋体" w:cs="宋体"/>
                <w:i w:val="0"/>
                <w:iCs w:val="0"/>
                <w:color w:val="000000"/>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336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用途合规性</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30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F45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5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DB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未提供凭证</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287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途合规：资金是否用于预算规定的用途，特别是基本支出和项目支出之间、不同项目之间是否存在擅自调剂、挤占挪用的情况。资金分配及时性（转移支付下达时效，资金保障有效性；是否接受检查，受过处罚或上缴财政资金情况</w:t>
            </w:r>
          </w:p>
        </w:tc>
      </w:tr>
      <w:tr w14:paraId="44FA8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C9F2">
            <w:pPr>
              <w:jc w:val="center"/>
              <w:rPr>
                <w:rFonts w:hint="eastAsia" w:ascii="宋体" w:hAnsi="宋体" w:eastAsia="宋体" w:cs="宋体"/>
                <w:i w:val="0"/>
                <w:iCs w:val="0"/>
                <w:color w:val="000000"/>
                <w:sz w:val="24"/>
                <w:szCs w:val="24"/>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D6FB2">
            <w:pPr>
              <w:jc w:val="left"/>
              <w:rPr>
                <w:rFonts w:hint="eastAsia" w:ascii="宋体" w:hAnsi="宋体" w:eastAsia="宋体" w:cs="宋体"/>
                <w:i w:val="0"/>
                <w:iCs w:val="0"/>
                <w:color w:val="000000"/>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05F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程序合规性</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3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36C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1F1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C7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未提供凭证</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A35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程序合规：政府采购、国库集中支付、资产管理等环节是否符合法律法规和制度规定。</w:t>
            </w:r>
          </w:p>
        </w:tc>
      </w:tr>
      <w:tr w14:paraId="3276E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5E47E">
            <w:pPr>
              <w:jc w:val="center"/>
              <w:rPr>
                <w:rFonts w:hint="eastAsia" w:ascii="宋体" w:hAnsi="宋体" w:eastAsia="宋体" w:cs="宋体"/>
                <w:i w:val="0"/>
                <w:iCs w:val="0"/>
                <w:color w:val="000000"/>
                <w:sz w:val="24"/>
                <w:szCs w:val="24"/>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167FC">
            <w:pPr>
              <w:jc w:val="left"/>
              <w:rPr>
                <w:rFonts w:hint="eastAsia" w:ascii="宋体" w:hAnsi="宋体" w:eastAsia="宋体" w:cs="宋体"/>
                <w:i w:val="0"/>
                <w:iCs w:val="0"/>
                <w:color w:val="000000"/>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A85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进度匹配度</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22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AB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20F87">
            <w:pPr>
              <w:jc w:val="center"/>
              <w:rPr>
                <w:rFonts w:hint="eastAsia" w:ascii="宋体" w:hAnsi="宋体" w:eastAsia="宋体" w:cs="宋体"/>
                <w:i w:val="0"/>
                <w:iCs w:val="0"/>
                <w:color w:val="000000"/>
                <w:sz w:val="24"/>
                <w:szCs w:val="24"/>
                <w:u w:val="none"/>
              </w:rPr>
            </w:pP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D419C">
            <w:pPr>
              <w:jc w:val="left"/>
              <w:rPr>
                <w:rFonts w:hint="eastAsia" w:ascii="宋体" w:hAnsi="宋体" w:eastAsia="宋体" w:cs="宋体"/>
                <w:i w:val="0"/>
                <w:iCs w:val="0"/>
                <w:color w:val="000000"/>
                <w:sz w:val="24"/>
                <w:szCs w:val="24"/>
                <w:u w:val="none"/>
              </w:rPr>
            </w:pP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056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支出总量进度： 部门总支出完成了年度预算的百分之多少？是否与时间进度相匹配？是否存在“前期慢、后期突击花钱”或“支出进度严重滞后”的问题。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分项支出进度： 基本支出（人员工资、办公经费）和项目支出（专项业务、事业发展项目）各自的执行进度如何。</w:t>
            </w:r>
          </w:p>
        </w:tc>
      </w:tr>
      <w:tr w14:paraId="2D6B5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0"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526D">
            <w:pPr>
              <w:jc w:val="center"/>
              <w:rPr>
                <w:rFonts w:hint="eastAsia" w:ascii="宋体" w:hAnsi="宋体" w:eastAsia="宋体" w:cs="宋体"/>
                <w:i w:val="0"/>
                <w:iCs w:val="0"/>
                <w:color w:val="000000"/>
                <w:sz w:val="24"/>
                <w:szCs w:val="24"/>
                <w:u w:val="none"/>
              </w:rPr>
            </w:pP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71B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部门管理（15分）</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0F2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管理制度健全性</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859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73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786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66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未提供凭证</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E49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①部门（单位）内控制度、内部财务管理制度和会计核算制度是否健全；②相关管理制度是否合法、合规、完整、有效；</w:t>
            </w:r>
          </w:p>
        </w:tc>
      </w:tr>
      <w:tr w14:paraId="62E2F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0"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6B15">
            <w:pPr>
              <w:jc w:val="center"/>
              <w:rPr>
                <w:rFonts w:hint="eastAsia" w:ascii="宋体" w:hAnsi="宋体" w:eastAsia="宋体" w:cs="宋体"/>
                <w:i w:val="0"/>
                <w:iCs w:val="0"/>
                <w:color w:val="000000"/>
                <w:sz w:val="24"/>
                <w:szCs w:val="24"/>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C1140">
            <w:pPr>
              <w:jc w:val="left"/>
              <w:rPr>
                <w:rFonts w:hint="eastAsia" w:ascii="宋体" w:hAnsi="宋体" w:eastAsia="宋体" w:cs="宋体"/>
                <w:i w:val="0"/>
                <w:iCs w:val="0"/>
                <w:color w:val="000000"/>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824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制度执行有效性</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BB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9AC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1B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1D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未提供凭证</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825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①相关管理制度是否得到有效执行；②是否存在整改情况；</w:t>
            </w:r>
          </w:p>
        </w:tc>
      </w:tr>
      <w:tr w14:paraId="06BA9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ABFA">
            <w:pPr>
              <w:jc w:val="center"/>
              <w:rPr>
                <w:rFonts w:hint="eastAsia" w:ascii="宋体" w:hAnsi="宋体" w:eastAsia="宋体" w:cs="宋体"/>
                <w:i w:val="0"/>
                <w:iCs w:val="0"/>
                <w:color w:val="000000"/>
                <w:sz w:val="24"/>
                <w:szCs w:val="24"/>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67F22">
            <w:pPr>
              <w:jc w:val="left"/>
              <w:rPr>
                <w:rFonts w:hint="eastAsia" w:ascii="宋体" w:hAnsi="宋体" w:eastAsia="宋体" w:cs="宋体"/>
                <w:i w:val="0"/>
                <w:iCs w:val="0"/>
                <w:color w:val="000000"/>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B10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预决算信息公开化</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75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689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23E92">
            <w:pPr>
              <w:jc w:val="center"/>
              <w:rPr>
                <w:rFonts w:hint="eastAsia" w:ascii="宋体" w:hAnsi="宋体" w:eastAsia="宋体" w:cs="宋体"/>
                <w:i w:val="0"/>
                <w:iCs w:val="0"/>
                <w:color w:val="000000"/>
                <w:sz w:val="24"/>
                <w:szCs w:val="24"/>
                <w:u w:val="none"/>
              </w:rPr>
            </w:pP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AEF51">
            <w:pPr>
              <w:jc w:val="left"/>
              <w:rPr>
                <w:rFonts w:hint="eastAsia" w:ascii="宋体" w:hAnsi="宋体" w:eastAsia="宋体" w:cs="宋体"/>
                <w:i w:val="0"/>
                <w:iCs w:val="0"/>
                <w:color w:val="000000"/>
                <w:sz w:val="24"/>
                <w:szCs w:val="24"/>
                <w:u w:val="none"/>
              </w:rPr>
            </w:pP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E37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①无涉密情况的预算单位按规定及时、准确、完整地公开预决算和绩效管理信息；②基础数据信息和会计信息资料真实、准确、完整；</w:t>
            </w:r>
          </w:p>
        </w:tc>
      </w:tr>
      <w:tr w14:paraId="1B5A7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0"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93D9F">
            <w:pPr>
              <w:jc w:val="center"/>
              <w:rPr>
                <w:rFonts w:hint="eastAsia" w:ascii="宋体" w:hAnsi="宋体" w:eastAsia="宋体" w:cs="宋体"/>
                <w:i w:val="0"/>
                <w:iCs w:val="0"/>
                <w:color w:val="000000"/>
                <w:sz w:val="24"/>
                <w:szCs w:val="24"/>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82BE1">
            <w:pPr>
              <w:jc w:val="left"/>
              <w:rPr>
                <w:rFonts w:hint="eastAsia" w:ascii="宋体" w:hAnsi="宋体" w:eastAsia="宋体" w:cs="宋体"/>
                <w:i w:val="0"/>
                <w:iCs w:val="0"/>
                <w:color w:val="000000"/>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BB4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报销凭证的合规性与时效性</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DA9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4D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3D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363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未提供凭证</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4F5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资金分配及时性（转移支付下达时效，资金保障有效性；是否接受检查，受过处罚或上缴财政资金情况</w:t>
            </w:r>
          </w:p>
        </w:tc>
      </w:tr>
      <w:tr w14:paraId="76B60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875F">
            <w:pPr>
              <w:jc w:val="center"/>
              <w:rPr>
                <w:rFonts w:hint="eastAsia" w:ascii="宋体" w:hAnsi="宋体" w:eastAsia="宋体" w:cs="宋体"/>
                <w:i w:val="0"/>
                <w:iCs w:val="0"/>
                <w:color w:val="000000"/>
                <w:sz w:val="24"/>
                <w:szCs w:val="24"/>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84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资产管理（5分）</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17F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资产管理有效性</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977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AEE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63C9">
            <w:pPr>
              <w:jc w:val="center"/>
              <w:rPr>
                <w:rFonts w:hint="eastAsia" w:ascii="宋体" w:hAnsi="宋体" w:eastAsia="宋体" w:cs="宋体"/>
                <w:i w:val="0"/>
                <w:iCs w:val="0"/>
                <w:color w:val="000000"/>
                <w:sz w:val="24"/>
                <w:szCs w:val="24"/>
                <w:u w:val="none"/>
              </w:rPr>
            </w:pPr>
          </w:p>
        </w:tc>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A9A7">
            <w:pPr>
              <w:jc w:val="left"/>
              <w:rPr>
                <w:rFonts w:hint="eastAsia" w:ascii="宋体" w:hAnsi="宋体" w:eastAsia="宋体" w:cs="宋体"/>
                <w:i w:val="0"/>
                <w:iCs w:val="0"/>
                <w:color w:val="000000"/>
                <w:sz w:val="24"/>
                <w:szCs w:val="24"/>
                <w:u w:val="none"/>
              </w:rPr>
            </w:pP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540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资产保存是否完整并有台账；②资产配置是否合理，是否有闲置现象；③资产处置是否规范；④资产账务管理是否合规，是否账实相符；⑤是否完成国有“三资”盘活工作，资产是否有偿使用或处置收入及时足额上缴；⑥相关资产购置是否履行政府采购手续，外租资产是否走合规程序；⑦资产是否定期进行盘点并有记录。</w:t>
            </w:r>
          </w:p>
        </w:tc>
      </w:tr>
      <w:tr w14:paraId="629DB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C7F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产出（20分）</w:t>
            </w: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A62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职能工作完成率（10分）</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top"/>
          </w:tcPr>
          <w:p w14:paraId="7D9A0BC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党纪学习教育完成率</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E46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3B6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DDA4">
            <w:pPr>
              <w:jc w:val="center"/>
              <w:rPr>
                <w:rFonts w:hint="eastAsia" w:ascii="宋体" w:hAnsi="宋体" w:eastAsia="宋体" w:cs="宋体"/>
                <w:i w:val="0"/>
                <w:iCs w:val="0"/>
                <w:color w:val="000000"/>
                <w:sz w:val="24"/>
                <w:szCs w:val="24"/>
                <w:u w:val="none"/>
              </w:rPr>
            </w:pPr>
          </w:p>
        </w:tc>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21AB">
            <w:pPr>
              <w:jc w:val="left"/>
              <w:rPr>
                <w:rFonts w:hint="eastAsia" w:ascii="宋体" w:hAnsi="宋体" w:eastAsia="宋体" w:cs="宋体"/>
                <w:i w:val="0"/>
                <w:iCs w:val="0"/>
                <w:color w:val="000000"/>
                <w:sz w:val="24"/>
                <w:szCs w:val="24"/>
                <w:u w:val="none"/>
              </w:rPr>
            </w:pP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top"/>
          </w:tcPr>
          <w:p w14:paraId="30F0764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评价要点：1. 党员《条例》学习参与率是否达到95%以上？2. 县级领导干部是否开展专题研讨4次以上？3. 是否组织全区性警示教育大会1次以上？4. 党员干部观看警示教育片、参与实践活动总人次年增长率是否达到5%以上？5. 是否组织开展学习检视讨论4次以上？</w:t>
            </w:r>
          </w:p>
        </w:tc>
      </w:tr>
      <w:tr w14:paraId="761FB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2DFE">
            <w:pPr>
              <w:jc w:val="center"/>
              <w:rPr>
                <w:rFonts w:hint="eastAsia" w:ascii="宋体" w:hAnsi="宋体" w:eastAsia="宋体" w:cs="宋体"/>
                <w:i w:val="0"/>
                <w:iCs w:val="0"/>
                <w:color w:val="000000"/>
                <w:sz w:val="24"/>
                <w:szCs w:val="24"/>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F21D8">
            <w:pPr>
              <w:jc w:val="left"/>
              <w:rPr>
                <w:rFonts w:hint="eastAsia" w:ascii="宋体" w:hAnsi="宋体" w:eastAsia="宋体" w:cs="宋体"/>
                <w:i w:val="0"/>
                <w:iCs w:val="0"/>
                <w:color w:val="000000"/>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top"/>
          </w:tcPr>
          <w:p w14:paraId="1D2C202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干部工作常规完成率</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FC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FEA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3D47">
            <w:pPr>
              <w:jc w:val="center"/>
              <w:rPr>
                <w:rFonts w:hint="eastAsia" w:ascii="宋体" w:hAnsi="宋体" w:eastAsia="宋体" w:cs="宋体"/>
                <w:i w:val="0"/>
                <w:iCs w:val="0"/>
                <w:color w:val="000000"/>
                <w:sz w:val="24"/>
                <w:szCs w:val="24"/>
                <w:u w:val="none"/>
              </w:rPr>
            </w:pPr>
          </w:p>
        </w:tc>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A702">
            <w:pPr>
              <w:jc w:val="left"/>
              <w:rPr>
                <w:rFonts w:hint="eastAsia" w:ascii="宋体" w:hAnsi="宋体" w:eastAsia="宋体" w:cs="宋体"/>
                <w:i w:val="0"/>
                <w:iCs w:val="0"/>
                <w:color w:val="000000"/>
                <w:sz w:val="24"/>
                <w:szCs w:val="24"/>
                <w:u w:val="none"/>
              </w:rPr>
            </w:pP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top"/>
          </w:tcPr>
          <w:p w14:paraId="001F222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评价要点：1. 干部线上教育"双百"目标（已学率、通过率）是否保持100%？2. 关键岗位干部教材覆盖率是否达到100%？3. 关键岗位干部档案复审比率是否达到100%？4. 选调生补贴发放及时率是否达到100%？5. 是否完成干部有序调整，保持年轻干部占科级实职干部比例不低于25%？</w:t>
            </w:r>
          </w:p>
        </w:tc>
      </w:tr>
      <w:tr w14:paraId="1B340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C419">
            <w:pPr>
              <w:jc w:val="center"/>
              <w:rPr>
                <w:rFonts w:hint="eastAsia" w:ascii="宋体" w:hAnsi="宋体" w:eastAsia="宋体" w:cs="宋体"/>
                <w:i w:val="0"/>
                <w:iCs w:val="0"/>
                <w:color w:val="000000"/>
                <w:sz w:val="24"/>
                <w:szCs w:val="24"/>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5A7C2">
            <w:pPr>
              <w:jc w:val="left"/>
              <w:rPr>
                <w:rFonts w:hint="eastAsia" w:ascii="宋体" w:hAnsi="宋体" w:eastAsia="宋体" w:cs="宋体"/>
                <w:i w:val="0"/>
                <w:iCs w:val="0"/>
                <w:color w:val="000000"/>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top"/>
          </w:tcPr>
          <w:p w14:paraId="16E1F12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人才工作常规完成率</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AA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D6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125C3">
            <w:pPr>
              <w:jc w:val="center"/>
              <w:rPr>
                <w:rFonts w:hint="eastAsia" w:ascii="宋体" w:hAnsi="宋体" w:eastAsia="宋体" w:cs="宋体"/>
                <w:i w:val="0"/>
                <w:iCs w:val="0"/>
                <w:color w:val="000000"/>
                <w:sz w:val="24"/>
                <w:szCs w:val="24"/>
                <w:u w:val="none"/>
              </w:rPr>
            </w:pPr>
          </w:p>
        </w:tc>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A847">
            <w:pPr>
              <w:jc w:val="left"/>
              <w:rPr>
                <w:rFonts w:hint="eastAsia" w:ascii="宋体" w:hAnsi="宋体" w:eastAsia="宋体" w:cs="宋体"/>
                <w:i w:val="0"/>
                <w:iCs w:val="0"/>
                <w:color w:val="000000"/>
                <w:sz w:val="24"/>
                <w:szCs w:val="24"/>
                <w:u w:val="none"/>
              </w:rPr>
            </w:pP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top"/>
          </w:tcPr>
          <w:p w14:paraId="305E10A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评价要点：1. 全年是否举办各类招聘活动20场以上，提供岗位3万个以上？2. 是否促成产学研合作项目10项以上？3. 高层次人才子女入学等服务需求年度办结率是否达到100%？4. "智汇潇湘·才聚雁峰"品牌活动是否每年开展2项以上特色活动？5. 是否新建或提升省级、市级名师（大师）工作室1个以上？</w:t>
            </w:r>
          </w:p>
        </w:tc>
      </w:tr>
      <w:tr w14:paraId="7D011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2AF9">
            <w:pPr>
              <w:jc w:val="center"/>
              <w:rPr>
                <w:rFonts w:hint="eastAsia" w:ascii="宋体" w:hAnsi="宋体" w:eastAsia="宋体" w:cs="宋体"/>
                <w:i w:val="0"/>
                <w:iCs w:val="0"/>
                <w:color w:val="000000"/>
                <w:sz w:val="24"/>
                <w:szCs w:val="24"/>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E9521">
            <w:pPr>
              <w:jc w:val="left"/>
              <w:rPr>
                <w:rFonts w:hint="eastAsia" w:ascii="宋体" w:hAnsi="宋体" w:eastAsia="宋体" w:cs="宋体"/>
                <w:i w:val="0"/>
                <w:iCs w:val="0"/>
                <w:color w:val="000000"/>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top"/>
          </w:tcPr>
          <w:p w14:paraId="380EA73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基层党建工作完成率</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4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47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50A3">
            <w:pPr>
              <w:jc w:val="center"/>
              <w:rPr>
                <w:rFonts w:hint="eastAsia" w:ascii="宋体" w:hAnsi="宋体" w:eastAsia="宋体" w:cs="宋体"/>
                <w:i w:val="0"/>
                <w:iCs w:val="0"/>
                <w:color w:val="000000"/>
                <w:sz w:val="24"/>
                <w:szCs w:val="24"/>
                <w:u w:val="none"/>
              </w:rPr>
            </w:pPr>
          </w:p>
        </w:tc>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1C651">
            <w:pPr>
              <w:jc w:val="left"/>
              <w:rPr>
                <w:rFonts w:hint="eastAsia" w:ascii="宋体" w:hAnsi="宋体" w:eastAsia="宋体" w:cs="宋体"/>
                <w:i w:val="0"/>
                <w:iCs w:val="0"/>
                <w:color w:val="000000"/>
                <w:sz w:val="24"/>
                <w:szCs w:val="24"/>
                <w:u w:val="none"/>
              </w:rPr>
            </w:pP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top"/>
          </w:tcPr>
          <w:p w14:paraId="1EE3FE75">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评价要点：1. "片组邻三长制"是否覆盖所有村（社区）？2. 软弱涣散党组织当年整顿转化率是否达到100%？3. 是否保持村级党组织书记后备力量库规模（如30人左右），大专以上学历占比100%？4. 是否实现"清廉村居"建设对所有村（社区）的全覆盖？5. 村级集体经济收入是否实现村均稳步合理增长？</w:t>
            </w:r>
          </w:p>
        </w:tc>
      </w:tr>
      <w:tr w14:paraId="059FE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1FAA">
            <w:pPr>
              <w:jc w:val="center"/>
              <w:rPr>
                <w:rFonts w:hint="eastAsia" w:ascii="宋体" w:hAnsi="宋体" w:eastAsia="宋体" w:cs="宋体"/>
                <w:i w:val="0"/>
                <w:iCs w:val="0"/>
                <w:color w:val="000000"/>
                <w:sz w:val="24"/>
                <w:szCs w:val="24"/>
                <w:u w:val="none"/>
              </w:rPr>
            </w:pP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AD6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重点工作办结率（10分）</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top"/>
          </w:tcPr>
          <w:p w14:paraId="36BECE3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基层减负工作办结率</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83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AD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C0FA">
            <w:pPr>
              <w:jc w:val="center"/>
              <w:rPr>
                <w:rFonts w:hint="eastAsia" w:ascii="宋体" w:hAnsi="宋体" w:eastAsia="宋体" w:cs="宋体"/>
                <w:i w:val="0"/>
                <w:iCs w:val="0"/>
                <w:color w:val="000000"/>
                <w:sz w:val="24"/>
                <w:szCs w:val="24"/>
                <w:u w:val="none"/>
              </w:rPr>
            </w:pPr>
          </w:p>
        </w:tc>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18C3">
            <w:pPr>
              <w:jc w:val="left"/>
              <w:rPr>
                <w:rFonts w:hint="eastAsia" w:ascii="宋体" w:hAnsi="宋体" w:eastAsia="宋体" w:cs="宋体"/>
                <w:i w:val="0"/>
                <w:iCs w:val="0"/>
                <w:color w:val="000000"/>
                <w:sz w:val="24"/>
                <w:szCs w:val="24"/>
                <w:u w:val="none"/>
              </w:rPr>
            </w:pP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top"/>
          </w:tcPr>
          <w:p w14:paraId="59DB940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评价要点：1. 对村（社区）的督查检查考核事项压减率是否达到50%以上？2. 文件、会议数量是否持续有效控制（参照上年度下降指标）？3. 是否落实取消村级组织不应承担的工作事项73项？4. 是否清理规范村级组织挂牌，集中销毁各类挂牌3000块以上？5. 信访事项及时受理率、按期办结率及信访程序一次性化解率是否均保持100%？</w:t>
            </w:r>
          </w:p>
        </w:tc>
      </w:tr>
      <w:tr w14:paraId="3A267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8DB31">
            <w:pPr>
              <w:jc w:val="center"/>
              <w:rPr>
                <w:rFonts w:hint="eastAsia" w:ascii="宋体" w:hAnsi="宋体" w:eastAsia="宋体" w:cs="宋体"/>
                <w:i w:val="0"/>
                <w:iCs w:val="0"/>
                <w:color w:val="000000"/>
                <w:sz w:val="24"/>
                <w:szCs w:val="24"/>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DD31E">
            <w:pPr>
              <w:jc w:val="left"/>
              <w:rPr>
                <w:rFonts w:hint="eastAsia" w:ascii="宋体" w:hAnsi="宋体" w:eastAsia="宋体" w:cs="宋体"/>
                <w:i w:val="0"/>
                <w:iCs w:val="0"/>
                <w:color w:val="000000"/>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top"/>
          </w:tcPr>
          <w:p w14:paraId="2DD4E95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干部队伍建设重点任务办结率</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B8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4B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A0FF">
            <w:pPr>
              <w:jc w:val="center"/>
              <w:rPr>
                <w:rFonts w:hint="eastAsia" w:ascii="宋体" w:hAnsi="宋体" w:eastAsia="宋体" w:cs="宋体"/>
                <w:i w:val="0"/>
                <w:iCs w:val="0"/>
                <w:color w:val="000000"/>
                <w:sz w:val="24"/>
                <w:szCs w:val="24"/>
                <w:u w:val="none"/>
              </w:rPr>
            </w:pPr>
          </w:p>
        </w:tc>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BB8E5">
            <w:pPr>
              <w:jc w:val="left"/>
              <w:rPr>
                <w:rFonts w:hint="eastAsia" w:ascii="宋体" w:hAnsi="宋体" w:eastAsia="宋体" w:cs="宋体"/>
                <w:i w:val="0"/>
                <w:iCs w:val="0"/>
                <w:color w:val="000000"/>
                <w:sz w:val="24"/>
                <w:szCs w:val="24"/>
                <w:u w:val="none"/>
              </w:rPr>
            </w:pP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top"/>
          </w:tcPr>
          <w:p w14:paraId="2EC59E5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评价要点：1. 是否率先在全市揭牌成立区委社会工作部？2. 是否为镇街各新增1个事业单位副科领导岗位并配备到位？3. 是否面向村（社区）党组书记考核招聘6名镇街事业编制人员？4. 镇街较高职级干部覆盖是否保持100%（每个镇街都有1名以上较高职级干部）？5. 是否出台《雁峰区未担任领导职务的区管职级公务员管理操作办法（暂行）补充规定》并有效实施？</w:t>
            </w:r>
          </w:p>
        </w:tc>
      </w:tr>
      <w:tr w14:paraId="584B7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B335">
            <w:pPr>
              <w:jc w:val="center"/>
              <w:rPr>
                <w:rFonts w:hint="eastAsia" w:ascii="宋体" w:hAnsi="宋体" w:eastAsia="宋体" w:cs="宋体"/>
                <w:i w:val="0"/>
                <w:iCs w:val="0"/>
                <w:color w:val="000000"/>
                <w:sz w:val="24"/>
                <w:szCs w:val="24"/>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1C7FE">
            <w:pPr>
              <w:jc w:val="left"/>
              <w:rPr>
                <w:rFonts w:hint="eastAsia" w:ascii="宋体" w:hAnsi="宋体" w:eastAsia="宋体" w:cs="宋体"/>
                <w:i w:val="0"/>
                <w:iCs w:val="0"/>
                <w:color w:val="000000"/>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top"/>
          </w:tcPr>
          <w:p w14:paraId="03827DF5">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人才引育重点任务办结率</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6B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631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9B53">
            <w:pPr>
              <w:jc w:val="center"/>
              <w:rPr>
                <w:rFonts w:hint="eastAsia" w:ascii="宋体" w:hAnsi="宋体" w:eastAsia="宋体" w:cs="宋体"/>
                <w:i w:val="0"/>
                <w:iCs w:val="0"/>
                <w:color w:val="000000"/>
                <w:sz w:val="24"/>
                <w:szCs w:val="24"/>
                <w:u w:val="none"/>
              </w:rPr>
            </w:pPr>
          </w:p>
        </w:tc>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7AE6">
            <w:pPr>
              <w:jc w:val="left"/>
              <w:rPr>
                <w:rFonts w:hint="eastAsia" w:ascii="宋体" w:hAnsi="宋体" w:eastAsia="宋体" w:cs="宋体"/>
                <w:i w:val="0"/>
                <w:iCs w:val="0"/>
                <w:color w:val="000000"/>
                <w:sz w:val="24"/>
                <w:szCs w:val="24"/>
                <w:u w:val="none"/>
              </w:rPr>
            </w:pP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top"/>
          </w:tcPr>
          <w:p w14:paraId="0D0D39E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评价要点：1. 是否为区内企事业单位申报市校企合作引博士需求32人？2. 是否为区属事业单位引进急需紧缺人才6名？3. 是否选派区级科技特派员8名（其中博士后1人、博士4人）？4. 是否建立雁峰区文艺团体和文艺人才信息库，收录文艺团体9个、文艺人才68人？5. 是否每季度开展"书记区长企业家恳谈日"活动？</w:t>
            </w:r>
          </w:p>
        </w:tc>
      </w:tr>
      <w:tr w14:paraId="38F26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17C8">
            <w:pPr>
              <w:jc w:val="center"/>
              <w:rPr>
                <w:rFonts w:hint="eastAsia" w:ascii="宋体" w:hAnsi="宋体" w:eastAsia="宋体" w:cs="宋体"/>
                <w:i w:val="0"/>
                <w:iCs w:val="0"/>
                <w:color w:val="000000"/>
                <w:sz w:val="24"/>
                <w:szCs w:val="24"/>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0D598">
            <w:pPr>
              <w:jc w:val="left"/>
              <w:rPr>
                <w:rFonts w:hint="eastAsia" w:ascii="宋体" w:hAnsi="宋体" w:eastAsia="宋体" w:cs="宋体"/>
                <w:i w:val="0"/>
                <w:iCs w:val="0"/>
                <w:color w:val="000000"/>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top"/>
          </w:tcPr>
          <w:p w14:paraId="1431896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部门自身建设重点办结率</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D2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D21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E0E7">
            <w:pPr>
              <w:jc w:val="center"/>
              <w:rPr>
                <w:rFonts w:hint="eastAsia" w:ascii="宋体" w:hAnsi="宋体" w:eastAsia="宋体" w:cs="宋体"/>
                <w:i w:val="0"/>
                <w:iCs w:val="0"/>
                <w:color w:val="000000"/>
                <w:sz w:val="24"/>
                <w:szCs w:val="24"/>
                <w:u w:val="none"/>
              </w:rPr>
            </w:pPr>
          </w:p>
        </w:tc>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E12C">
            <w:pPr>
              <w:jc w:val="left"/>
              <w:rPr>
                <w:rFonts w:hint="eastAsia" w:ascii="宋体" w:hAnsi="宋体" w:eastAsia="宋体" w:cs="宋体"/>
                <w:i w:val="0"/>
                <w:iCs w:val="0"/>
                <w:color w:val="000000"/>
                <w:sz w:val="24"/>
                <w:szCs w:val="24"/>
                <w:u w:val="none"/>
              </w:rPr>
            </w:pP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top"/>
          </w:tcPr>
          <w:p w14:paraId="641B233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评价要点：1. 部务会"第一议题"学习制度执行率是否达到100%？2. 全年是否开展内部专题学习研讨6次以上？3. 全年是否开展"组工尖兵谈组工"等业务练兵活动6期以上？4. 是否牵头做好"未巡先改"资料汇总整理工作，为迎接省委巡视做好准备？5. 组工干部参与志愿服务人次年增长率是否达到10%以上？</w:t>
            </w:r>
          </w:p>
        </w:tc>
      </w:tr>
      <w:tr w14:paraId="7D516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C6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效益（30分）</w:t>
            </w: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05D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社会效益（20分）</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top"/>
          </w:tcPr>
          <w:p w14:paraId="44411B8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政治引领与社会影响</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479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BDA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6A46E">
            <w:pPr>
              <w:jc w:val="center"/>
              <w:rPr>
                <w:rFonts w:hint="eastAsia" w:ascii="宋体" w:hAnsi="宋体" w:eastAsia="宋体" w:cs="宋体"/>
                <w:i w:val="0"/>
                <w:iCs w:val="0"/>
                <w:color w:val="000000"/>
                <w:sz w:val="24"/>
                <w:szCs w:val="24"/>
                <w:u w:val="none"/>
              </w:rPr>
            </w:pPr>
          </w:p>
        </w:tc>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D7BF6">
            <w:pPr>
              <w:jc w:val="left"/>
              <w:rPr>
                <w:rFonts w:hint="eastAsia" w:ascii="宋体" w:hAnsi="宋体" w:eastAsia="宋体" w:cs="宋体"/>
                <w:i w:val="0"/>
                <w:iCs w:val="0"/>
                <w:color w:val="000000"/>
                <w:sz w:val="24"/>
                <w:szCs w:val="24"/>
                <w:u w:val="none"/>
              </w:rPr>
            </w:pP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top"/>
          </w:tcPr>
          <w:p w14:paraId="7EB67FA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评价要点：1. 党支部纪律党课、微党课总次数年增长率是否达到10%以上？2. 在中央、省级核心组工媒体（如共产党员网、红星云）上稿量年增长率是否达到10%以上？3. 是否累计在红星云、红星网、衡阳智慧党建网等平台推介经验信息66篇以上？4. 党建引领城市更新项目建设经验是否被省级媒体头条推介？5. 是否有退休党支部书记获评全国离退休干部先进个人？</w:t>
            </w:r>
          </w:p>
        </w:tc>
      </w:tr>
      <w:tr w14:paraId="555BB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956BC">
            <w:pPr>
              <w:jc w:val="center"/>
              <w:rPr>
                <w:rFonts w:hint="eastAsia" w:ascii="宋体" w:hAnsi="宋体" w:eastAsia="宋体" w:cs="宋体"/>
                <w:i w:val="0"/>
                <w:iCs w:val="0"/>
                <w:color w:val="000000"/>
                <w:sz w:val="24"/>
                <w:szCs w:val="24"/>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90726">
            <w:pPr>
              <w:jc w:val="center"/>
              <w:rPr>
                <w:rFonts w:hint="eastAsia" w:ascii="宋体" w:hAnsi="宋体" w:eastAsia="宋体" w:cs="宋体"/>
                <w:i w:val="0"/>
                <w:iCs w:val="0"/>
                <w:color w:val="000000"/>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top"/>
          </w:tcPr>
          <w:p w14:paraId="46D9AF9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基层治理效能提升</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D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7C8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0365">
            <w:pPr>
              <w:jc w:val="center"/>
              <w:rPr>
                <w:rFonts w:hint="eastAsia" w:ascii="宋体" w:hAnsi="宋体" w:eastAsia="宋体" w:cs="宋体"/>
                <w:i w:val="0"/>
                <w:iCs w:val="0"/>
                <w:color w:val="000000"/>
                <w:sz w:val="24"/>
                <w:szCs w:val="24"/>
                <w:u w:val="none"/>
              </w:rPr>
            </w:pPr>
          </w:p>
        </w:tc>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9280">
            <w:pPr>
              <w:jc w:val="left"/>
              <w:rPr>
                <w:rFonts w:hint="eastAsia" w:ascii="宋体" w:hAnsi="宋体" w:eastAsia="宋体" w:cs="宋体"/>
                <w:i w:val="0"/>
                <w:iCs w:val="0"/>
                <w:color w:val="000000"/>
                <w:sz w:val="24"/>
                <w:szCs w:val="24"/>
                <w:u w:val="none"/>
              </w:rPr>
            </w:pP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top"/>
          </w:tcPr>
          <w:p w14:paraId="07E85AD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评价要点：1. "三长"开展微服务是否达到7587次以上，解决问题1612个以上？2. 邻长年人均开展微服务是否不少于2次，问题解决率是否不低于90%？3. 是否为全省社区全面推进片组邻"三长制"专题培训示范班提供4个以上现场观摩点？4. 清理规范村级组织挂牌等为基层减负工作经验是否被人民网等央媒推介？5. 在重点项目、应急抢险中，党员参与率是否显著，作用发挥是否突出？</w:t>
            </w:r>
          </w:p>
        </w:tc>
      </w:tr>
      <w:tr w14:paraId="7485B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94362">
            <w:pPr>
              <w:jc w:val="center"/>
              <w:rPr>
                <w:rFonts w:hint="eastAsia" w:ascii="宋体" w:hAnsi="宋体" w:eastAsia="宋体" w:cs="宋体"/>
                <w:i w:val="0"/>
                <w:iCs w:val="0"/>
                <w:color w:val="000000"/>
                <w:sz w:val="24"/>
                <w:szCs w:val="24"/>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BA337">
            <w:pPr>
              <w:jc w:val="center"/>
              <w:rPr>
                <w:rFonts w:hint="eastAsia" w:ascii="宋体" w:hAnsi="宋体" w:eastAsia="宋体" w:cs="宋体"/>
                <w:i w:val="0"/>
                <w:iCs w:val="0"/>
                <w:color w:val="000000"/>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top"/>
          </w:tcPr>
          <w:p w14:paraId="60D4993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服务发展实际贡献</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F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28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E9E3A">
            <w:pPr>
              <w:jc w:val="center"/>
              <w:rPr>
                <w:rFonts w:hint="eastAsia" w:ascii="宋体" w:hAnsi="宋体" w:eastAsia="宋体" w:cs="宋体"/>
                <w:i w:val="0"/>
                <w:iCs w:val="0"/>
                <w:color w:val="000000"/>
                <w:sz w:val="24"/>
                <w:szCs w:val="24"/>
                <w:u w:val="none"/>
              </w:rPr>
            </w:pPr>
          </w:p>
        </w:tc>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561A">
            <w:pPr>
              <w:jc w:val="left"/>
              <w:rPr>
                <w:rFonts w:hint="eastAsia" w:ascii="宋体" w:hAnsi="宋体" w:eastAsia="宋体" w:cs="宋体"/>
                <w:i w:val="0"/>
                <w:iCs w:val="0"/>
                <w:color w:val="000000"/>
                <w:sz w:val="24"/>
                <w:szCs w:val="24"/>
                <w:u w:val="none"/>
              </w:rPr>
            </w:pP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top"/>
          </w:tcPr>
          <w:p w14:paraId="2129F0D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评价要点：1. 区领导联系服务专家人才问题解决率是否达到90%以上？2. 是否推荐项目荣获2024年"创客中国"湖南省中小微企业创新创业大赛创客组三等奖？3. 是否有村党总支书记因发展壮大村级集体经济事迹突出被评为全省乡村振兴担当作为好支书？4. 是否开展"一起益企"中小企业服务行动，帮助中小企业提振发展信心？5. 是否有干部因在乡村振兴驻村工作中表现突出得到晋升提拔？</w:t>
            </w:r>
          </w:p>
        </w:tc>
      </w:tr>
      <w:tr w14:paraId="3DC96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1475">
            <w:pPr>
              <w:jc w:val="center"/>
              <w:rPr>
                <w:rFonts w:hint="eastAsia" w:ascii="宋体" w:hAnsi="宋体" w:eastAsia="宋体" w:cs="宋体"/>
                <w:i w:val="0"/>
                <w:iCs w:val="0"/>
                <w:color w:val="000000"/>
                <w:sz w:val="24"/>
                <w:szCs w:val="24"/>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C70A5">
            <w:pPr>
              <w:jc w:val="center"/>
              <w:rPr>
                <w:rFonts w:hint="eastAsia" w:ascii="宋体" w:hAnsi="宋体" w:eastAsia="宋体" w:cs="宋体"/>
                <w:i w:val="0"/>
                <w:iCs w:val="0"/>
                <w:color w:val="000000"/>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top"/>
          </w:tcPr>
          <w:p w14:paraId="551472B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创新成果与品牌效应</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AF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A07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BAC55">
            <w:pPr>
              <w:jc w:val="center"/>
              <w:rPr>
                <w:rFonts w:hint="eastAsia" w:ascii="宋体" w:hAnsi="宋体" w:eastAsia="宋体" w:cs="宋体"/>
                <w:i w:val="0"/>
                <w:iCs w:val="0"/>
                <w:color w:val="000000"/>
                <w:sz w:val="24"/>
                <w:szCs w:val="24"/>
                <w:u w:val="none"/>
              </w:rPr>
            </w:pPr>
          </w:p>
        </w:tc>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C2E9B">
            <w:pPr>
              <w:jc w:val="left"/>
              <w:rPr>
                <w:rFonts w:hint="eastAsia" w:ascii="宋体" w:hAnsi="宋体" w:eastAsia="宋体" w:cs="宋体"/>
                <w:i w:val="0"/>
                <w:iCs w:val="0"/>
                <w:color w:val="000000"/>
                <w:sz w:val="24"/>
                <w:szCs w:val="24"/>
                <w:u w:val="none"/>
              </w:rPr>
            </w:pP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top"/>
          </w:tcPr>
          <w:p w14:paraId="675DB2D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评价要点：1. 《营造风清气正用人环境 让干部担当作为蔚然成风》等工作经验是否被省委组织部红星云、红星网推介？2. 是否创新推出基层党建专干稳岗制度，配齐配强党建专干456名？3. 是否打造"团团夜校"，开展青年夜校4期以上？4. 是否有教师被确定为全省新时代卓越校长培养对象、卓越教师培养对象？5. 是否推荐人才获评"衡阳市第二届优秀专家人才"、"卓越工程师"等荣誉？</w:t>
            </w:r>
          </w:p>
        </w:tc>
      </w:tr>
      <w:tr w14:paraId="708DC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0E1F">
            <w:pPr>
              <w:jc w:val="center"/>
              <w:rPr>
                <w:rFonts w:hint="eastAsia" w:ascii="宋体" w:hAnsi="宋体" w:eastAsia="宋体" w:cs="宋体"/>
                <w:i w:val="0"/>
                <w:iCs w:val="0"/>
                <w:color w:val="000000"/>
                <w:sz w:val="24"/>
                <w:szCs w:val="24"/>
                <w:u w:val="none"/>
              </w:rPr>
            </w:pP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28E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相关人员满意度（10分）</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top"/>
          </w:tcPr>
          <w:p w14:paraId="43D4187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党员干部满意度</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7B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5F4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3BF5">
            <w:pPr>
              <w:jc w:val="center"/>
              <w:rPr>
                <w:rFonts w:hint="eastAsia" w:ascii="宋体" w:hAnsi="宋体" w:eastAsia="宋体" w:cs="宋体"/>
                <w:i w:val="0"/>
                <w:iCs w:val="0"/>
                <w:color w:val="000000"/>
                <w:sz w:val="24"/>
                <w:szCs w:val="24"/>
                <w:u w:val="none"/>
              </w:rPr>
            </w:pPr>
          </w:p>
        </w:tc>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176C">
            <w:pPr>
              <w:jc w:val="left"/>
              <w:rPr>
                <w:rFonts w:hint="eastAsia" w:ascii="宋体" w:hAnsi="宋体" w:eastAsia="宋体" w:cs="宋体"/>
                <w:i w:val="0"/>
                <w:iCs w:val="0"/>
                <w:color w:val="000000"/>
                <w:sz w:val="24"/>
                <w:szCs w:val="24"/>
                <w:u w:val="none"/>
              </w:rPr>
            </w:pP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top"/>
          </w:tcPr>
          <w:p w14:paraId="15DFD0A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评价要点：1. 党员干部对党纪学习教育形式与效果的满意度（抽样调查，目标≥90%）。2. 干部对选拔任用、职级晋升公平公正性的满意度（抽样调查，目标≥90%）。3. 干部对教育培训内容与方式的满意度（抽样调查，目标≥90%）。4. 基层干部对减负措施实际效果的满意度（抽样调查，目标≥90%）。5. 老干部对服务管理工作的满意度（抽样调查，目标≥90%）。</w:t>
            </w:r>
          </w:p>
        </w:tc>
      </w:tr>
      <w:tr w14:paraId="5B6D2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5291">
            <w:pPr>
              <w:jc w:val="center"/>
              <w:rPr>
                <w:rFonts w:hint="eastAsia" w:ascii="宋体" w:hAnsi="宋体" w:eastAsia="宋体" w:cs="宋体"/>
                <w:i w:val="0"/>
                <w:iCs w:val="0"/>
                <w:color w:val="000000"/>
                <w:sz w:val="24"/>
                <w:szCs w:val="24"/>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61052">
            <w:pPr>
              <w:jc w:val="left"/>
              <w:rPr>
                <w:rFonts w:hint="eastAsia" w:ascii="宋体" w:hAnsi="宋体" w:eastAsia="宋体" w:cs="宋体"/>
                <w:i w:val="0"/>
                <w:iCs w:val="0"/>
                <w:color w:val="000000"/>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top"/>
          </w:tcPr>
          <w:p w14:paraId="2D215E2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人才满意度</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7B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A3D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7D87">
            <w:pPr>
              <w:jc w:val="center"/>
              <w:rPr>
                <w:rFonts w:hint="eastAsia" w:ascii="宋体" w:hAnsi="宋体" w:eastAsia="宋体" w:cs="宋体"/>
                <w:i w:val="0"/>
                <w:iCs w:val="0"/>
                <w:color w:val="000000"/>
                <w:sz w:val="24"/>
                <w:szCs w:val="24"/>
                <w:u w:val="none"/>
              </w:rPr>
            </w:pPr>
          </w:p>
        </w:tc>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CBA6">
            <w:pPr>
              <w:jc w:val="left"/>
              <w:rPr>
                <w:rFonts w:hint="eastAsia" w:ascii="宋体" w:hAnsi="宋体" w:eastAsia="宋体" w:cs="宋体"/>
                <w:i w:val="0"/>
                <w:iCs w:val="0"/>
                <w:color w:val="000000"/>
                <w:sz w:val="24"/>
                <w:szCs w:val="24"/>
                <w:u w:val="none"/>
              </w:rPr>
            </w:pP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top"/>
          </w:tcPr>
          <w:p w14:paraId="0FE0A83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评价要点：1. 引进人才对政策落实与服务保障的满意度（抽样调查，目标≥90%）。2. 专家人才对区领导联系服务制度的满意度（抽样调查，目标≥90%）。3. 企业人才对创新创业支持措施的满意度（抽样调查，目标≥90%）。4. 青年人才对联谊交友、成长平台等服务的满意度（抽样调查，目标≥90%）。5. 科技特派员对工作支持与管理服务的满意度（抽样调查，目标≥90%）。</w:t>
            </w:r>
          </w:p>
        </w:tc>
      </w:tr>
      <w:tr w14:paraId="26F0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8C38">
            <w:pPr>
              <w:jc w:val="center"/>
              <w:rPr>
                <w:rFonts w:hint="eastAsia" w:ascii="宋体" w:hAnsi="宋体" w:eastAsia="宋体" w:cs="宋体"/>
                <w:i w:val="0"/>
                <w:iCs w:val="0"/>
                <w:color w:val="000000"/>
                <w:sz w:val="24"/>
                <w:szCs w:val="24"/>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2C3D2">
            <w:pPr>
              <w:jc w:val="left"/>
              <w:rPr>
                <w:rFonts w:hint="eastAsia" w:ascii="宋体" w:hAnsi="宋体" w:eastAsia="宋体" w:cs="宋体"/>
                <w:i w:val="0"/>
                <w:iCs w:val="0"/>
                <w:color w:val="000000"/>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top"/>
          </w:tcPr>
          <w:p w14:paraId="187ECA2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基层群众满意度</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3E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D43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2CB64">
            <w:pPr>
              <w:jc w:val="center"/>
              <w:rPr>
                <w:rFonts w:hint="eastAsia" w:ascii="宋体" w:hAnsi="宋体" w:eastAsia="宋体" w:cs="宋体"/>
                <w:i w:val="0"/>
                <w:iCs w:val="0"/>
                <w:color w:val="000000"/>
                <w:sz w:val="24"/>
                <w:szCs w:val="24"/>
                <w:u w:val="none"/>
              </w:rPr>
            </w:pPr>
          </w:p>
        </w:tc>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3A7C">
            <w:pPr>
              <w:jc w:val="left"/>
              <w:rPr>
                <w:rFonts w:hint="eastAsia" w:ascii="宋体" w:hAnsi="宋体" w:eastAsia="宋体" w:cs="宋体"/>
                <w:i w:val="0"/>
                <w:iCs w:val="0"/>
                <w:color w:val="000000"/>
                <w:sz w:val="24"/>
                <w:szCs w:val="24"/>
                <w:u w:val="none"/>
              </w:rPr>
            </w:pP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top"/>
          </w:tcPr>
          <w:p w14:paraId="0AE2680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评价要点：1. 群众对"片组邻三长制"服务效果的满意度（抽样调查，目标≥85%）。2. 村民对村级集体经济发展成效的满意度（抽样调查，目标≥85%）。3. 社区居民对党建引领基层治理工作的满意度（抽样调查，目标≥85%）。4. 青少年对关心关爱活动的满意度（抽样调查，目标≥85%）。5. 服务对象对党组织和党员作用发挥的满意度（抽样调查，目标≥85%）。</w:t>
            </w:r>
          </w:p>
        </w:tc>
      </w:tr>
      <w:tr w14:paraId="7A954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0CB9">
            <w:pPr>
              <w:jc w:val="center"/>
              <w:rPr>
                <w:rFonts w:hint="eastAsia" w:ascii="宋体" w:hAnsi="宋体" w:eastAsia="宋体" w:cs="宋体"/>
                <w:i w:val="0"/>
                <w:iCs w:val="0"/>
                <w:color w:val="000000"/>
                <w:sz w:val="24"/>
                <w:szCs w:val="24"/>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95376">
            <w:pPr>
              <w:jc w:val="left"/>
              <w:rPr>
                <w:rFonts w:hint="eastAsia" w:ascii="宋体" w:hAnsi="宋体" w:eastAsia="宋体" w:cs="宋体"/>
                <w:i w:val="0"/>
                <w:iCs w:val="0"/>
                <w:color w:val="000000"/>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top"/>
          </w:tcPr>
          <w:p w14:paraId="260C992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部门协作满意度</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B9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8F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11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B9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未提供凭证</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top"/>
          </w:tcPr>
          <w:p w14:paraId="5E6B9F6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评价要点：1. 区直部门对组织部工作指导与支持的满意度（抽样调查，目标≥90%）。2. 镇街对组织部工作部署与协调的满意度（抽样调查，目标≥90%）。3. 上级部门对雁峰区组织工作成效的认可度（根据反馈评价）。4. 兄弟单位对雁峰区组织工作经验的借鉴价值评价（根据交流反馈）。5. 部内干部对工作环境与成长平台的满意度（内部测评，目标≥90%）。</w:t>
            </w:r>
          </w:p>
        </w:tc>
      </w:tr>
      <w:tr w14:paraId="26BD5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9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16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A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2C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E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EDAB7">
            <w:pPr>
              <w:jc w:val="left"/>
              <w:rPr>
                <w:rFonts w:hint="eastAsia" w:ascii="宋体" w:hAnsi="宋体" w:eastAsia="宋体" w:cs="宋体"/>
                <w:i w:val="0"/>
                <w:iCs w:val="0"/>
                <w:color w:val="000000"/>
                <w:sz w:val="24"/>
                <w:szCs w:val="24"/>
                <w:u w:val="none"/>
              </w:rPr>
            </w:pPr>
          </w:p>
        </w:tc>
        <w:tc>
          <w:tcPr>
            <w:tcW w:w="1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6B1E">
            <w:pPr>
              <w:rPr>
                <w:rFonts w:hint="eastAsia" w:ascii="宋体" w:hAnsi="宋体" w:eastAsia="宋体" w:cs="宋体"/>
                <w:i w:val="0"/>
                <w:iCs w:val="0"/>
                <w:color w:val="000000"/>
                <w:sz w:val="24"/>
                <w:szCs w:val="24"/>
                <w:u w:val="none"/>
              </w:rPr>
            </w:pPr>
          </w:p>
        </w:tc>
      </w:tr>
    </w:tbl>
    <w:p w14:paraId="5552D1B0">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b/>
          <w:bCs/>
          <w:i w:val="0"/>
          <w:iCs w:val="0"/>
          <w:caps w:val="0"/>
          <w:color w:val="000000"/>
          <w:spacing w:val="0"/>
          <w:sz w:val="32"/>
          <w:szCs w:val="32"/>
          <w:u w:val="none"/>
          <w:shd w:val="clear" w:fill="FFFFFF"/>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49EEA4FE">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楷体" w:hAnsi="楷体" w:eastAsia="楷体" w:cs="楷体"/>
          <w:b/>
          <w:bCs/>
          <w:sz w:val="32"/>
          <w:szCs w:val="32"/>
          <w:lang w:val="en-US" w:eastAsia="zh-CN"/>
        </w:rPr>
      </w:pPr>
      <w:bookmarkStart w:id="49" w:name="_Toc26985"/>
      <w:bookmarkStart w:id="50" w:name="_Toc31438"/>
      <w:bookmarkStart w:id="51" w:name="_Toc26982"/>
      <w:r>
        <w:rPr>
          <w:rFonts w:hint="eastAsia" w:ascii="楷体" w:hAnsi="楷体" w:eastAsia="楷体" w:cs="楷体"/>
          <w:b/>
          <w:bCs/>
          <w:sz w:val="32"/>
          <w:szCs w:val="32"/>
          <w:lang w:val="en-US" w:eastAsia="zh-CN"/>
        </w:rPr>
        <w:t>（三）评价结果</w:t>
      </w:r>
      <w:bookmarkEnd w:id="49"/>
      <w:bookmarkEnd w:id="50"/>
      <w:bookmarkEnd w:id="51"/>
    </w:p>
    <w:p w14:paraId="59C16C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1.绩效评价结果定级</w:t>
      </w:r>
    </w:p>
    <w:p w14:paraId="27D5FB03">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rPr>
        <w:t>本次绩效评价结果采用综合评分定级的方法，根据项目收集相关资料、项目访谈以及相关的规定与标准，总分值为100分，评价等级分优</w:t>
      </w:r>
      <w:r>
        <w:rPr>
          <w:rFonts w:hint="eastAsia" w:ascii="仿宋" w:hAnsi="仿宋" w:eastAsia="仿宋" w:cs="仿宋"/>
          <w:i w:val="0"/>
          <w:iCs w:val="0"/>
          <w:caps w:val="0"/>
          <w:color w:val="000000"/>
          <w:spacing w:val="0"/>
          <w:sz w:val="32"/>
          <w:szCs w:val="32"/>
          <w:u w:val="none"/>
          <w:shd w:val="clear" w:fill="FFFFFF"/>
          <w:lang w:val="en-US" w:eastAsia="zh-CN"/>
        </w:rPr>
        <w:t>秀</w:t>
      </w:r>
      <w:r>
        <w:rPr>
          <w:rFonts w:hint="eastAsia" w:ascii="仿宋" w:hAnsi="仿宋" w:eastAsia="仿宋" w:cs="仿宋"/>
          <w:i w:val="0"/>
          <w:iCs w:val="0"/>
          <w:caps w:val="0"/>
          <w:color w:val="000000"/>
          <w:spacing w:val="0"/>
          <w:sz w:val="32"/>
          <w:szCs w:val="32"/>
          <w:u w:val="none"/>
          <w:shd w:val="clear" w:fill="FFFFFF"/>
        </w:rPr>
        <w:t>、良</w:t>
      </w:r>
      <w:r>
        <w:rPr>
          <w:rFonts w:hint="eastAsia" w:ascii="仿宋" w:hAnsi="仿宋" w:eastAsia="仿宋" w:cs="仿宋"/>
          <w:i w:val="0"/>
          <w:iCs w:val="0"/>
          <w:caps w:val="0"/>
          <w:color w:val="000000"/>
          <w:spacing w:val="0"/>
          <w:sz w:val="32"/>
          <w:szCs w:val="32"/>
          <w:u w:val="none"/>
          <w:shd w:val="clear" w:fill="FFFFFF"/>
          <w:lang w:val="en-US" w:eastAsia="zh-CN"/>
        </w:rPr>
        <w:t>好</w:t>
      </w:r>
      <w:r>
        <w:rPr>
          <w:rFonts w:hint="eastAsia" w:ascii="仿宋" w:hAnsi="仿宋" w:eastAsia="仿宋" w:cs="仿宋"/>
          <w:i w:val="0"/>
          <w:iCs w:val="0"/>
          <w:caps w:val="0"/>
          <w:color w:val="000000"/>
          <w:spacing w:val="0"/>
          <w:sz w:val="32"/>
          <w:szCs w:val="32"/>
          <w:u w:val="none"/>
          <w:shd w:val="clear" w:fill="FFFFFF"/>
        </w:rPr>
        <w:t>、</w:t>
      </w:r>
      <w:r>
        <w:rPr>
          <w:rFonts w:hint="eastAsia" w:ascii="仿宋" w:hAnsi="仿宋" w:eastAsia="仿宋" w:cs="仿宋"/>
          <w:i w:val="0"/>
          <w:iCs w:val="0"/>
          <w:caps w:val="0"/>
          <w:color w:val="000000"/>
          <w:spacing w:val="0"/>
          <w:sz w:val="32"/>
          <w:szCs w:val="32"/>
          <w:u w:val="none"/>
          <w:shd w:val="clear" w:fill="FFFFFF"/>
          <w:lang w:val="en-US" w:eastAsia="zh-CN"/>
        </w:rPr>
        <w:t>中等</w:t>
      </w:r>
      <w:r>
        <w:rPr>
          <w:rFonts w:hint="eastAsia" w:ascii="仿宋" w:hAnsi="仿宋" w:eastAsia="仿宋" w:cs="仿宋"/>
          <w:i w:val="0"/>
          <w:iCs w:val="0"/>
          <w:caps w:val="0"/>
          <w:color w:val="000000"/>
          <w:spacing w:val="0"/>
          <w:sz w:val="32"/>
          <w:szCs w:val="32"/>
          <w:u w:val="none"/>
          <w:shd w:val="clear" w:fill="FFFFFF"/>
        </w:rPr>
        <w:t>、</w:t>
      </w:r>
      <w:r>
        <w:rPr>
          <w:rFonts w:hint="eastAsia" w:ascii="仿宋" w:hAnsi="仿宋" w:eastAsia="仿宋" w:cs="仿宋"/>
          <w:i w:val="0"/>
          <w:iCs w:val="0"/>
          <w:caps w:val="0"/>
          <w:color w:val="000000"/>
          <w:spacing w:val="0"/>
          <w:sz w:val="32"/>
          <w:szCs w:val="32"/>
          <w:u w:val="none"/>
          <w:shd w:val="clear" w:fill="FFFFFF"/>
          <w:lang w:val="en-US" w:eastAsia="zh-CN"/>
        </w:rPr>
        <w:t>较</w:t>
      </w:r>
      <w:r>
        <w:rPr>
          <w:rFonts w:hint="eastAsia" w:ascii="仿宋" w:hAnsi="仿宋" w:eastAsia="仿宋" w:cs="仿宋"/>
          <w:i w:val="0"/>
          <w:iCs w:val="0"/>
          <w:caps w:val="0"/>
          <w:color w:val="000000"/>
          <w:spacing w:val="0"/>
          <w:sz w:val="32"/>
          <w:szCs w:val="32"/>
          <w:u w:val="none"/>
          <w:shd w:val="clear" w:fill="FFFFFF"/>
          <w:lang w:eastAsia="zh-CN"/>
        </w:rPr>
        <w:t>差</w:t>
      </w:r>
      <w:r>
        <w:rPr>
          <w:rFonts w:hint="eastAsia" w:ascii="仿宋" w:hAnsi="仿宋" w:eastAsia="仿宋" w:cs="仿宋"/>
          <w:i w:val="0"/>
          <w:iCs w:val="0"/>
          <w:caps w:val="0"/>
          <w:color w:val="000000"/>
          <w:spacing w:val="0"/>
          <w:sz w:val="32"/>
          <w:szCs w:val="32"/>
          <w:u w:val="none"/>
          <w:shd w:val="clear" w:fill="FFFFFF"/>
        </w:rPr>
        <w:t>四档。评价得分高于</w:t>
      </w:r>
      <w:r>
        <w:rPr>
          <w:rFonts w:hint="eastAsia" w:ascii="仿宋" w:hAnsi="仿宋" w:eastAsia="仿宋" w:cs="仿宋"/>
          <w:i w:val="0"/>
          <w:iCs w:val="0"/>
          <w:caps w:val="0"/>
          <w:color w:val="000000"/>
          <w:spacing w:val="0"/>
          <w:sz w:val="32"/>
          <w:szCs w:val="32"/>
          <w:u w:val="none"/>
          <w:shd w:val="clear" w:fill="FFFFFF"/>
          <w:lang w:val="en-US" w:eastAsia="zh-CN"/>
        </w:rPr>
        <w:t>或等于</w:t>
      </w:r>
      <w:r>
        <w:rPr>
          <w:rFonts w:hint="eastAsia" w:ascii="仿宋" w:hAnsi="仿宋" w:eastAsia="仿宋" w:cs="仿宋"/>
          <w:i w:val="0"/>
          <w:iCs w:val="0"/>
          <w:caps w:val="0"/>
          <w:color w:val="000000"/>
          <w:spacing w:val="0"/>
          <w:sz w:val="32"/>
          <w:szCs w:val="32"/>
          <w:u w:val="none"/>
          <w:shd w:val="clear" w:fill="FFFFFF"/>
        </w:rPr>
        <w:t>90分</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为优</w:t>
      </w:r>
      <w:r>
        <w:rPr>
          <w:rFonts w:hint="eastAsia" w:ascii="仿宋" w:hAnsi="仿宋" w:eastAsia="仿宋" w:cs="仿宋"/>
          <w:i w:val="0"/>
          <w:iCs w:val="0"/>
          <w:caps w:val="0"/>
          <w:color w:val="000000"/>
          <w:spacing w:val="0"/>
          <w:sz w:val="32"/>
          <w:szCs w:val="32"/>
          <w:u w:val="none"/>
          <w:shd w:val="clear" w:fill="FFFFFF"/>
          <w:lang w:val="en-US" w:eastAsia="zh-CN"/>
        </w:rPr>
        <w:t>秀</w:t>
      </w:r>
      <w:r>
        <w:rPr>
          <w:rFonts w:hint="eastAsia" w:ascii="仿宋" w:hAnsi="仿宋" w:eastAsia="仿宋" w:cs="仿宋"/>
          <w:i w:val="0"/>
          <w:iCs w:val="0"/>
          <w:caps w:val="0"/>
          <w:color w:val="000000"/>
          <w:spacing w:val="0"/>
          <w:sz w:val="32"/>
          <w:szCs w:val="32"/>
          <w:u w:val="none"/>
          <w:shd w:val="clear" w:fill="FFFFFF"/>
        </w:rPr>
        <w:t>；得分在</w:t>
      </w:r>
      <w:r>
        <w:rPr>
          <w:rFonts w:hint="eastAsia" w:ascii="仿宋" w:hAnsi="仿宋" w:eastAsia="仿宋" w:cs="仿宋"/>
          <w:i w:val="0"/>
          <w:iCs w:val="0"/>
          <w:caps w:val="0"/>
          <w:color w:val="000000"/>
          <w:spacing w:val="0"/>
          <w:sz w:val="32"/>
          <w:szCs w:val="32"/>
          <w:u w:val="none"/>
          <w:shd w:val="clear" w:fill="FFFFFF"/>
          <w:lang w:val="en-US" w:eastAsia="zh-CN"/>
        </w:rPr>
        <w:t>高于或等于80</w:t>
      </w:r>
      <w:r>
        <w:rPr>
          <w:rFonts w:hint="eastAsia" w:ascii="仿宋" w:hAnsi="仿宋" w:eastAsia="仿宋" w:cs="仿宋"/>
          <w:i w:val="0"/>
          <w:iCs w:val="0"/>
          <w:caps w:val="0"/>
          <w:color w:val="000000"/>
          <w:spacing w:val="0"/>
          <w:sz w:val="32"/>
          <w:szCs w:val="32"/>
          <w:u w:val="none"/>
          <w:shd w:val="clear" w:fill="FFFFFF"/>
        </w:rPr>
        <w:t>分</w:t>
      </w:r>
      <w:r>
        <w:rPr>
          <w:rFonts w:hint="eastAsia" w:ascii="仿宋" w:hAnsi="仿宋" w:eastAsia="仿宋" w:cs="仿宋"/>
          <w:i w:val="0"/>
          <w:iCs w:val="0"/>
          <w:caps w:val="0"/>
          <w:color w:val="000000"/>
          <w:spacing w:val="0"/>
          <w:sz w:val="32"/>
          <w:szCs w:val="32"/>
          <w:u w:val="none"/>
          <w:shd w:val="clear" w:fill="FFFFFF"/>
          <w:lang w:val="en-US" w:eastAsia="zh-CN"/>
        </w:rPr>
        <w:t>小于</w:t>
      </w:r>
      <w:r>
        <w:rPr>
          <w:rFonts w:hint="eastAsia" w:ascii="仿宋" w:hAnsi="仿宋" w:eastAsia="仿宋" w:cs="仿宋"/>
          <w:i w:val="0"/>
          <w:iCs w:val="0"/>
          <w:caps w:val="0"/>
          <w:color w:val="000000"/>
          <w:spacing w:val="0"/>
          <w:sz w:val="32"/>
          <w:szCs w:val="32"/>
          <w:u w:val="none"/>
          <w:shd w:val="clear" w:fill="FFFFFF"/>
        </w:rPr>
        <w:t>90分</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为良</w:t>
      </w:r>
      <w:r>
        <w:rPr>
          <w:rFonts w:hint="eastAsia" w:ascii="仿宋" w:hAnsi="仿宋" w:eastAsia="仿宋" w:cs="仿宋"/>
          <w:i w:val="0"/>
          <w:iCs w:val="0"/>
          <w:caps w:val="0"/>
          <w:color w:val="000000"/>
          <w:spacing w:val="0"/>
          <w:sz w:val="32"/>
          <w:szCs w:val="32"/>
          <w:u w:val="none"/>
          <w:shd w:val="clear" w:fill="FFFFFF"/>
          <w:lang w:val="en-US" w:eastAsia="zh-CN"/>
        </w:rPr>
        <w:t>好</w:t>
      </w:r>
      <w:r>
        <w:rPr>
          <w:rFonts w:hint="eastAsia" w:ascii="仿宋" w:hAnsi="仿宋" w:eastAsia="仿宋" w:cs="仿宋"/>
          <w:i w:val="0"/>
          <w:iCs w:val="0"/>
          <w:caps w:val="0"/>
          <w:color w:val="000000"/>
          <w:spacing w:val="0"/>
          <w:sz w:val="32"/>
          <w:szCs w:val="32"/>
          <w:u w:val="none"/>
          <w:shd w:val="clear" w:fill="FFFFFF"/>
        </w:rPr>
        <w:t>；得分</w:t>
      </w:r>
      <w:r>
        <w:rPr>
          <w:rFonts w:hint="eastAsia" w:ascii="仿宋" w:hAnsi="仿宋" w:eastAsia="仿宋" w:cs="仿宋"/>
          <w:i w:val="0"/>
          <w:iCs w:val="0"/>
          <w:caps w:val="0"/>
          <w:color w:val="000000"/>
          <w:spacing w:val="0"/>
          <w:sz w:val="32"/>
          <w:szCs w:val="32"/>
          <w:u w:val="none"/>
          <w:shd w:val="clear" w:fill="FFFFFF"/>
          <w:lang w:val="en-US" w:eastAsia="zh-CN"/>
        </w:rPr>
        <w:t>高于或等于</w:t>
      </w:r>
      <w:r>
        <w:rPr>
          <w:rFonts w:hint="eastAsia" w:ascii="仿宋" w:hAnsi="仿宋" w:eastAsia="仿宋" w:cs="仿宋"/>
          <w:i w:val="0"/>
          <w:iCs w:val="0"/>
          <w:caps w:val="0"/>
          <w:color w:val="000000"/>
          <w:spacing w:val="0"/>
          <w:sz w:val="32"/>
          <w:szCs w:val="32"/>
          <w:u w:val="none"/>
          <w:shd w:val="clear" w:fill="FFFFFF"/>
        </w:rPr>
        <w:t>60分</w:t>
      </w:r>
      <w:r>
        <w:rPr>
          <w:rFonts w:hint="eastAsia" w:ascii="仿宋" w:hAnsi="仿宋" w:eastAsia="仿宋" w:cs="仿宋"/>
          <w:i w:val="0"/>
          <w:iCs w:val="0"/>
          <w:caps w:val="0"/>
          <w:color w:val="000000"/>
          <w:spacing w:val="0"/>
          <w:sz w:val="32"/>
          <w:szCs w:val="32"/>
          <w:u w:val="none"/>
          <w:shd w:val="clear" w:fill="FFFFFF"/>
          <w:lang w:val="en-US" w:eastAsia="zh-CN"/>
        </w:rPr>
        <w:t>低于80</w:t>
      </w:r>
      <w:r>
        <w:rPr>
          <w:rFonts w:hint="eastAsia" w:ascii="仿宋" w:hAnsi="仿宋" w:eastAsia="仿宋" w:cs="仿宋"/>
          <w:i w:val="0"/>
          <w:iCs w:val="0"/>
          <w:caps w:val="0"/>
          <w:color w:val="000000"/>
          <w:spacing w:val="0"/>
          <w:sz w:val="32"/>
          <w:szCs w:val="32"/>
          <w:u w:val="none"/>
          <w:shd w:val="clear" w:fill="FFFFFF"/>
        </w:rPr>
        <w:t>分</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w:t>
      </w:r>
      <w:r>
        <w:rPr>
          <w:rFonts w:hint="eastAsia" w:ascii="仿宋" w:hAnsi="仿宋" w:eastAsia="仿宋" w:cs="仿宋"/>
          <w:i w:val="0"/>
          <w:iCs w:val="0"/>
          <w:caps w:val="0"/>
          <w:color w:val="000000"/>
          <w:spacing w:val="0"/>
          <w:sz w:val="32"/>
          <w:szCs w:val="32"/>
          <w:u w:val="none"/>
          <w:shd w:val="clear" w:fill="FFFFFF"/>
          <w:lang w:val="en-US" w:eastAsia="zh-CN"/>
        </w:rPr>
        <w:t>中等</w:t>
      </w:r>
      <w:r>
        <w:rPr>
          <w:rFonts w:hint="eastAsia" w:ascii="仿宋" w:hAnsi="仿宋" w:eastAsia="仿宋" w:cs="仿宋"/>
          <w:i w:val="0"/>
          <w:iCs w:val="0"/>
          <w:caps w:val="0"/>
          <w:color w:val="000000"/>
          <w:spacing w:val="0"/>
          <w:sz w:val="32"/>
          <w:szCs w:val="32"/>
          <w:u w:val="none"/>
          <w:shd w:val="clear" w:fill="FFFFFF"/>
        </w:rPr>
        <w:t>；得分在60分以下</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w:t>
      </w:r>
      <w:r>
        <w:rPr>
          <w:rFonts w:hint="eastAsia" w:ascii="仿宋" w:hAnsi="仿宋" w:eastAsia="仿宋" w:cs="仿宋"/>
          <w:i w:val="0"/>
          <w:iCs w:val="0"/>
          <w:caps w:val="0"/>
          <w:color w:val="000000"/>
          <w:spacing w:val="0"/>
          <w:sz w:val="32"/>
          <w:szCs w:val="32"/>
          <w:u w:val="none"/>
          <w:shd w:val="clear" w:fill="FFFFFF"/>
          <w:lang w:val="en-US" w:eastAsia="zh-CN"/>
        </w:rPr>
        <w:t>较</w:t>
      </w:r>
      <w:r>
        <w:rPr>
          <w:rFonts w:hint="eastAsia" w:ascii="仿宋" w:hAnsi="仿宋" w:eastAsia="仿宋" w:cs="仿宋"/>
          <w:i w:val="0"/>
          <w:iCs w:val="0"/>
          <w:caps w:val="0"/>
          <w:color w:val="000000"/>
          <w:spacing w:val="0"/>
          <w:sz w:val="32"/>
          <w:szCs w:val="32"/>
          <w:u w:val="none"/>
          <w:shd w:val="clear" w:fill="FFFFFF"/>
          <w:lang w:eastAsia="zh-CN"/>
        </w:rPr>
        <w:t>差</w:t>
      </w:r>
      <w:r>
        <w:rPr>
          <w:rFonts w:hint="eastAsia" w:ascii="仿宋" w:hAnsi="仿宋" w:eastAsia="仿宋" w:cs="仿宋"/>
          <w:i w:val="0"/>
          <w:iCs w:val="0"/>
          <w:caps w:val="0"/>
          <w:color w:val="000000"/>
          <w:spacing w:val="0"/>
          <w:sz w:val="32"/>
          <w:szCs w:val="32"/>
          <w:u w:val="none"/>
          <w:shd w:val="clear" w:fill="FFFFFF"/>
        </w:rPr>
        <w:t>。</w:t>
      </w:r>
    </w:p>
    <w:p w14:paraId="66B46D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2.绩效评价结论</w:t>
      </w:r>
    </w:p>
    <w:p w14:paraId="11F37C8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部门整体支出绩效评价综合得分70分，等级为“中等”。2024年区委组织部</w:t>
      </w:r>
      <w:r>
        <w:rPr>
          <w:rFonts w:hint="eastAsia" w:ascii="仿宋" w:hAnsi="仿宋" w:eastAsia="仿宋" w:cs="仿宋"/>
          <w:b/>
          <w:bCs/>
          <w:i w:val="0"/>
          <w:iCs w:val="0"/>
          <w:caps w:val="0"/>
          <w:color w:val="000000"/>
          <w:spacing w:val="0"/>
          <w:sz w:val="32"/>
          <w:szCs w:val="32"/>
          <w:u w:val="none"/>
          <w:shd w:val="clear" w:fill="FFFFFF"/>
          <w:lang w:val="en-US" w:eastAsia="zh-CN"/>
        </w:rPr>
        <w:t>预算调整率为</w:t>
      </w:r>
      <w:r>
        <w:rPr>
          <w:rFonts w:hint="eastAsia" w:ascii="仿宋" w:hAnsi="仿宋" w:eastAsia="仿宋" w:cs="仿宋"/>
          <w:b/>
          <w:bCs/>
          <w:sz w:val="32"/>
          <w:szCs w:val="32"/>
          <w:highlight w:val="none"/>
          <w:lang w:val="en-US" w:eastAsia="zh-CN"/>
        </w:rPr>
        <w:t>98.91%</w:t>
      </w:r>
      <w:r>
        <w:rPr>
          <w:rFonts w:hint="eastAsia" w:ascii="仿宋" w:hAnsi="仿宋" w:eastAsia="仿宋" w:cs="仿宋"/>
          <w:b/>
          <w:bCs/>
          <w:i w:val="0"/>
          <w:iCs w:val="0"/>
          <w:caps w:val="0"/>
          <w:color w:val="000000"/>
          <w:spacing w:val="0"/>
          <w:sz w:val="32"/>
          <w:szCs w:val="32"/>
          <w:u w:val="none"/>
          <w:shd w:val="clear" w:fill="FFFFFF"/>
          <w:lang w:val="en-US" w:eastAsia="zh-CN"/>
        </w:rPr>
        <w:t>，人员控制率为</w:t>
      </w:r>
      <w:r>
        <w:rPr>
          <w:rFonts w:hint="eastAsia" w:ascii="仿宋" w:hAnsi="仿宋" w:eastAsia="仿宋" w:cs="仿宋"/>
          <w:b/>
          <w:bCs/>
          <w:sz w:val="32"/>
          <w:szCs w:val="32"/>
          <w:highlight w:val="none"/>
          <w:lang w:val="en-US" w:eastAsia="zh-CN"/>
        </w:rPr>
        <w:t>121.05%，两者均偏高</w:t>
      </w:r>
      <w:r>
        <w:rPr>
          <w:rFonts w:hint="eastAsia" w:ascii="仿宋" w:hAnsi="仿宋" w:eastAsia="仿宋" w:cs="仿宋"/>
          <w:b/>
          <w:bCs/>
          <w:i w:val="0"/>
          <w:iCs w:val="0"/>
          <w:caps w:val="0"/>
          <w:color w:val="000000"/>
          <w:spacing w:val="0"/>
          <w:sz w:val="32"/>
          <w:szCs w:val="32"/>
          <w:u w:val="none"/>
          <w:shd w:val="clear" w:fill="FFFFFF"/>
          <w:lang w:val="en-US" w:eastAsia="zh-CN"/>
        </w:rPr>
        <w:t>。由于未提供记账凭证，我们未对2024年区委组织部的部门整体支出进行重分类，未对其进行分析。</w:t>
      </w:r>
    </w:p>
    <w:p w14:paraId="2A665980">
      <w:pPr>
        <w:rPr>
          <w:rFonts w:hint="default"/>
          <w:lang w:val="en-US" w:eastAsia="zh-CN"/>
        </w:rPr>
      </w:pPr>
    </w:p>
    <w:p w14:paraId="20C7154E">
      <w:pPr>
        <w:rPr>
          <w:rFonts w:hint="default"/>
          <w:lang w:val="en-US" w:eastAsia="zh-CN"/>
        </w:rPr>
      </w:pPr>
    </w:p>
    <w:p w14:paraId="06984545">
      <w:pPr>
        <w:rPr>
          <w:rFonts w:hint="default"/>
          <w:lang w:val="en-US" w:eastAsia="zh-CN"/>
        </w:rPr>
      </w:pPr>
    </w:p>
    <w:p w14:paraId="0B83C6C8">
      <w:pPr>
        <w:rPr>
          <w:rFonts w:hint="default"/>
          <w:lang w:val="en-US" w:eastAsia="zh-CN"/>
        </w:rPr>
      </w:pPr>
    </w:p>
    <w:tbl>
      <w:tblPr>
        <w:tblStyle w:val="14"/>
        <w:tblpPr w:leftFromText="180" w:rightFromText="180" w:vertAnchor="text" w:horzAnchor="page" w:tblpXSpec="center" w:tblpY="952"/>
        <w:tblOverlap w:val="never"/>
        <w:tblW w:w="8799" w:type="dxa"/>
        <w:jc w:val="center"/>
        <w:tblLayout w:type="fixed"/>
        <w:tblCellMar>
          <w:top w:w="0" w:type="dxa"/>
          <w:left w:w="108" w:type="dxa"/>
          <w:bottom w:w="0" w:type="dxa"/>
          <w:right w:w="108" w:type="dxa"/>
        </w:tblCellMar>
      </w:tblPr>
      <w:tblGrid>
        <w:gridCol w:w="4525"/>
        <w:gridCol w:w="4274"/>
      </w:tblGrid>
      <w:tr w14:paraId="76CBCD93">
        <w:tblPrEx>
          <w:tblCellMar>
            <w:top w:w="0" w:type="dxa"/>
            <w:left w:w="108" w:type="dxa"/>
            <w:bottom w:w="0" w:type="dxa"/>
            <w:right w:w="108" w:type="dxa"/>
          </w:tblCellMar>
        </w:tblPrEx>
        <w:trPr>
          <w:trHeight w:val="623" w:hRule="atLeast"/>
          <w:jc w:val="center"/>
        </w:trPr>
        <w:tc>
          <w:tcPr>
            <w:tcW w:w="4525" w:type="dxa"/>
            <w:noWrap w:val="0"/>
            <w:vAlign w:val="top"/>
          </w:tcPr>
          <w:p w14:paraId="27B7AECD">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湖南浩元会计师事务所</w:t>
            </w:r>
          </w:p>
        </w:tc>
        <w:tc>
          <w:tcPr>
            <w:tcW w:w="4274" w:type="dxa"/>
            <w:noWrap w:val="0"/>
            <w:vAlign w:val="top"/>
          </w:tcPr>
          <w:p w14:paraId="0746C02F">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中国注册会计师：</w:t>
            </w:r>
          </w:p>
        </w:tc>
      </w:tr>
      <w:tr w14:paraId="7FD693C9">
        <w:tblPrEx>
          <w:tblCellMar>
            <w:top w:w="0" w:type="dxa"/>
            <w:left w:w="108" w:type="dxa"/>
            <w:bottom w:w="0" w:type="dxa"/>
            <w:right w:w="108" w:type="dxa"/>
          </w:tblCellMar>
        </w:tblPrEx>
        <w:trPr>
          <w:trHeight w:val="1267" w:hRule="atLeast"/>
          <w:jc w:val="center"/>
        </w:trPr>
        <w:tc>
          <w:tcPr>
            <w:tcW w:w="4525" w:type="dxa"/>
            <w:noWrap w:val="0"/>
            <w:vAlign w:val="top"/>
          </w:tcPr>
          <w:p w14:paraId="5C9DE52A">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（普通合伙）</w:t>
            </w:r>
          </w:p>
        </w:tc>
        <w:tc>
          <w:tcPr>
            <w:tcW w:w="4274" w:type="dxa"/>
            <w:noWrap w:val="0"/>
            <w:vAlign w:val="top"/>
          </w:tcPr>
          <w:p w14:paraId="6FC64BD1">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p>
        </w:tc>
      </w:tr>
      <w:tr w14:paraId="6BCD2100">
        <w:tblPrEx>
          <w:tblCellMar>
            <w:top w:w="0" w:type="dxa"/>
            <w:left w:w="108" w:type="dxa"/>
            <w:bottom w:w="0" w:type="dxa"/>
            <w:right w:w="108" w:type="dxa"/>
          </w:tblCellMar>
        </w:tblPrEx>
        <w:trPr>
          <w:trHeight w:val="1247" w:hRule="atLeast"/>
          <w:jc w:val="center"/>
        </w:trPr>
        <w:tc>
          <w:tcPr>
            <w:tcW w:w="4525" w:type="dxa"/>
            <w:noWrap w:val="0"/>
            <w:vAlign w:val="top"/>
          </w:tcPr>
          <w:p w14:paraId="5DDE7399">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p>
        </w:tc>
        <w:tc>
          <w:tcPr>
            <w:tcW w:w="4274" w:type="dxa"/>
            <w:noWrap w:val="0"/>
            <w:vAlign w:val="top"/>
          </w:tcPr>
          <w:p w14:paraId="67F3844A">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中国注册会计师：</w:t>
            </w:r>
          </w:p>
          <w:p w14:paraId="6FA1FA44">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p>
        </w:tc>
      </w:tr>
      <w:tr w14:paraId="6E160BFB">
        <w:tblPrEx>
          <w:tblCellMar>
            <w:top w:w="0" w:type="dxa"/>
            <w:left w:w="108" w:type="dxa"/>
            <w:bottom w:w="0" w:type="dxa"/>
            <w:right w:w="108" w:type="dxa"/>
          </w:tblCellMar>
        </w:tblPrEx>
        <w:trPr>
          <w:trHeight w:val="623" w:hRule="atLeast"/>
          <w:jc w:val="center"/>
        </w:trPr>
        <w:tc>
          <w:tcPr>
            <w:tcW w:w="4525" w:type="dxa"/>
            <w:noWrap w:val="0"/>
            <w:vAlign w:val="top"/>
          </w:tcPr>
          <w:p w14:paraId="51A7DD8F">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中 国·长 沙</w:t>
            </w:r>
          </w:p>
        </w:tc>
        <w:tc>
          <w:tcPr>
            <w:tcW w:w="4274" w:type="dxa"/>
            <w:noWrap w:val="0"/>
            <w:vAlign w:val="top"/>
          </w:tcPr>
          <w:p w14:paraId="34AC2330">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2025年12月7日</w:t>
            </w:r>
          </w:p>
        </w:tc>
      </w:tr>
    </w:tbl>
    <w:p w14:paraId="3244901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sz w:val="32"/>
          <w:szCs w:val="32"/>
          <w:lang w:val="en-US" w:eastAsia="zh-CN"/>
        </w:rPr>
      </w:pPr>
    </w:p>
    <w:sectPr>
      <w:pgSz w:w="11906" w:h="16838"/>
      <w:pgMar w:top="1157"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隶二简体">
    <w:altName w:val="宋体"/>
    <w:panose1 w:val="02010601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1C557">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bottomMargin">
                <wp:align>top</wp:align>
              </wp:positionV>
              <wp:extent cx="2431415" cy="298450"/>
              <wp:effectExtent l="0" t="0" r="0" b="0"/>
              <wp:wrapNone/>
              <wp:docPr id="2" name="文本框 2"/>
              <wp:cNvGraphicFramePr/>
              <a:graphic xmlns:a="http://schemas.openxmlformats.org/drawingml/2006/main">
                <a:graphicData uri="http://schemas.microsoft.com/office/word/2010/wordprocessingShape">
                  <wps:wsp>
                    <wps:cNvSpPr txBox="1"/>
                    <wps:spPr>
                      <a:xfrm>
                        <a:off x="1168400" y="9895840"/>
                        <a:ext cx="243141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AC19B">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湖南浩元会计师事务所（普通合伙）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15pt;margin-top:769.9pt;height:23.5pt;width:191.45pt;mso-position-horizontal-relative:page;mso-position-vertical-relative:page;z-index:251660288;mso-width-relative:page;mso-height-relative:page;" filled="f" stroked="f" coordsize="21600,21600" o:gfxdata="UEsDBAoAAAAAAIdO4kAAAAAAAAAAAAAAAAAEAAAAZHJzL1BLAwQUAAAACACHTuJAv/K9mtYAAAAE&#10;AQAADwAAAGRycy9kb3ducmV2LnhtbE2PS0/DMBCE70j8B2uRuFG74RVCnApFqpAQHFp64baJt0mE&#10;vQ6x+4Bfj+ECl5VGM5r5tlwcnRV7msLgWcN8pkAQt94M3GnYvC4vchAhIhu0nknDJwVYVKcnJRbG&#10;H3hF+3XsRCrhUKCGPsaxkDK0PTkMMz8SJ2/rJ4cxyamTZsJDKndWZkrdSIcDp4UeR6p7at/XO6fh&#10;qV6+4KrJXP5l68fn7cP4sXm71vr8bK7uQUQ6xr8w/OAndKgSU+N3bIKwGtIj8fcm7zLP7kA0Gq5u&#10;FciqlP/hq29QSwMEFAAAAAgAh07iQCgn8LRGAgAAcgQAAA4AAABkcnMvZTJvRG9jLnhtbK1UwY7a&#10;MBC9V+o/WL6XkCxQQIQVXURVadVdiVY9G8chkWyPaxsS+gHtH/TUS+/9Lr6jYwd26baHPfRixp6X&#10;N35vxsyuWyXJXlhXg85p2utTIjSHotbbnH78sHo1psR5pgsmQYucHoSj1/OXL2aNmYoMKpCFsARJ&#10;tJs2JqeV92aaJI5XQjHXAyM0Jkuwinnc2m1SWNYgu5JJ1u+PkgZsYSxw4RyeLrskPTHa5xBCWdZc&#10;LIHvlNC+Y7VCMo+SXFUbR+fxtmUpuL8rSyc8kTlFpT6uWATjTViT+YxNt5aZquanK7DnXOGJJsVq&#10;jUUfqJbMM7Kz9V9UquYWHJS+x0ElnZDoCKpI+0+8WVfMiKgFrXbmwXT3/2j5+/29JXWR04wSzRQ2&#10;/Pj92/HHr+PPryQL9jTGTRG1Nojz7RtocWjO5w4Pg+q2tCr8oh4S8uloPOijxYecTsaTIW46o0Xr&#10;CUdANrhKB+mQEo6IbDIeDCMgeWQy1vm3AhQJQU4tNjL6y/a3zuOtEHqGhMIaVrWUsZlSkyanoyuk&#10;/CODX0iNHwY93b1D5NtNexK5geKAGi10Q+IMX9VY/JY5f88sTgUKwnfj73ApJWAROEWUVGC//Os8&#10;4LFZmKWkwSnLqfu8Y1ZQIt9pbOMkHaA3xMfNYPg6w429zGwuM3qnbgAHOcUXangMA97Lc1haUJ/w&#10;eS1CVUwxzbF2Tv05vPHd7OPz5GKxiCAcRMP8rV4bHqg70xY7D2UdnQ42dd6c3MNRjA04PZsw65f7&#10;iHr8q5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yvZrWAAAABAEAAA8AAAAAAAAAAQAgAAAA&#10;IgAAAGRycy9kb3ducmV2LnhtbFBLAQIUABQAAAAIAIdO4kAoJ/C0RgIAAHIEAAAOAAAAAAAAAAEA&#10;IAAAACUBAABkcnMvZTJvRG9jLnhtbFBLBQYAAAAABgAGAFkBAADdBQAAAAA=&#10;">
              <v:fill on="f" focussize="0,0"/>
              <v:stroke on="f" weight="0.5pt"/>
              <v:imagedata o:title=""/>
              <o:lock v:ext="edit" aspectratio="f"/>
              <v:textbox>
                <w:txbxContent>
                  <w:p w14:paraId="477AC19B">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湖南浩元会计师事务所（普通合伙）</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top</wp:align>
              </wp:positionV>
              <wp:extent cx="5313045" cy="0"/>
              <wp:effectExtent l="0" t="6350" r="0" b="6350"/>
              <wp:wrapNone/>
              <wp:docPr id="1" name="直接连接符 1"/>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15pt;margin-top:770.4pt;height:0pt;width:418.35pt;mso-position-horizontal-relative:page;mso-position-vertical-relative:page;z-index:251659264;mso-width-relative:margin;mso-height-relative:page;mso-width-percent:1000;" filled="f" stroked="t" coordsize="21600,21600" o:gfxdata="UEsDBAoAAAAAAIdO4kAAAAAAAAAAAAAAAAAEAAAAZHJzL1BLAwQUAAAACACHTuJAu48hnM8AAAAC&#10;AQAADwAAAGRycy9kb3ducmV2LnhtbE2PTU/DMAyG70j8h8hI3Fi6IrpRmu5QiSsSHYcdvca0hcap&#10;kuzr3+NxgYulV6/1+HG1ObtJHSnE0bOB5SIDRdx5O3Jv4GP7+rAGFROyxckzGbhQhE19e1Nhaf2J&#10;3+nYpl4JhGOJBoaU5lLr2A3kMC78TCzdpw8Ok8TQaxvwJHA36TzLCu1wZLkw4EzNQN13e3BCKZrw&#10;FYu38Tnf7natzZuuf7oYc3+3zF5AJTqnv2W46os61OK09we2UU0G5JH0O6VbPxYrUPtr1HWl/6vX&#10;P1BLAwQUAAAACACHTuJAF49pAfEBAAC+AwAADgAAAGRycy9lMm9Eb2MueG1srVNLjhMxEN0jcQfL&#10;e9LdCclMWunMYqJhgyAScADHbXdb8k8uTzq5BBdAYgcrluy5DcMxKLvDfDezoBfusl1+r95zeXVx&#10;MJrsRQDlbEOrSUmJsNy1ynYN/fTx6tU5JRCZbZl2VjT0KIBerF++WA2+FlPXO92KQBDEQj34hvYx&#10;+roogPfCMJg4LyxuShcMizgNXdEGNiC60cW0LBfF4ELrg+MCAFc34yY9IYbnADopFRcbx6+NsHFE&#10;DUKziJKgVx7oOlcrpeDxvZQgItENRaUxj0iC8S6NxXrF6i4w3yt+KoE9p4RHmgxTFklvoTYsMnId&#10;1BMoo3hw4GSccGeKUUh2BFVU5SNvPvTMi6wFrQZ/azr8P1j+br8NRLXYCZRYZvDCb778/P35259f&#10;X3G8+fGdVMmkwUONuZd2G04z8NuQFB9kMOmPWsgBYarZslqivceGLs8W88ViPposDpFwTJjPqln5&#10;ek4Jx4x8AcUdiA8Q3whnSAoaqpVN+lnN9m8hIjGm/ktJy9ZdKa3zHWpLBmSfnpXIzRk2psSGwNB4&#10;FAe2o4TpDjuex5AhwWnVpuMJCEK3u9SB7Fnqk/ylqpHuQVri3jDox7y8NYozKuKj0Mo09Pz+aW0R&#10;JHk3upWinWuP2cS8jteaaU4tmPrm/jyfvnt26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jyGc&#10;zwAAAAIBAAAPAAAAAAAAAAEAIAAAACIAAABkcnMvZG93bnJldi54bWxQSwECFAAUAAAACACHTuJA&#10;F49pAfEBAAC+AwAADgAAAAAAAAABACAAAAAeAQAAZHJzL2Uyb0RvYy54bWxQSwUGAAAAAAYABgBZ&#10;AQAAgQUAAAAA&#10;">
              <v:fill on="f" focussize="0,0"/>
              <v:stroke weight="1pt" color="#000000 [3213]" miterlimit="8" joinstyle="miter"/>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50B68">
    <w:pPr>
      <w:pStyle w:val="2"/>
      <w:rPr>
        <w:rFonts w:hint="eastAsia" w:eastAsiaTheme="minorEastAsia"/>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BF739F">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CBF739F">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D17AA8">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2D17AA8">
                    <w:pPr>
                      <w:pStyle w:val="2"/>
                    </w:pP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8C09C">
                          <w:pPr>
                            <w:pStyle w:val="2"/>
                            <w:rPr>
                              <w:b/>
                              <w:bCs/>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48C09C">
                    <w:pPr>
                      <w:pStyle w:val="2"/>
                      <w:rPr>
                        <w:b/>
                        <w:bCs/>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bottomMargin">
                <wp:align>top</wp:align>
              </wp:positionV>
              <wp:extent cx="2431415" cy="298450"/>
              <wp:effectExtent l="0" t="0" r="0" b="0"/>
              <wp:wrapNone/>
              <wp:docPr id="14" name="文本框 14"/>
              <wp:cNvGraphicFramePr/>
              <a:graphic xmlns:a="http://schemas.openxmlformats.org/drawingml/2006/main">
                <a:graphicData uri="http://schemas.microsoft.com/office/word/2010/wordprocessingShape">
                  <wps:wsp>
                    <wps:cNvSpPr txBox="1"/>
                    <wps:spPr>
                      <a:xfrm>
                        <a:off x="1168400" y="9895840"/>
                        <a:ext cx="243141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CA635">
                          <w:pPr>
                            <w:rPr>
                              <w:rFonts w:hint="eastAsia" w:ascii="仿宋" w:hAnsi="仿宋" w:eastAsia="仿宋" w:cs="仿宋"/>
                              <w:b/>
                              <w:bCs/>
                              <w:color w:val="auto"/>
                              <w:sz w:val="21"/>
                              <w:szCs w:val="21"/>
                              <w:u w:val="none"/>
                              <w:lang w:val="en-US" w:eastAsia="zh-CN"/>
                            </w:rPr>
                          </w:pPr>
                          <w:r>
                            <w:rPr>
                              <w:rFonts w:hint="eastAsia" w:ascii="仿宋" w:hAnsi="仿宋" w:eastAsia="仿宋" w:cs="仿宋"/>
                              <w:b/>
                              <w:bCs/>
                              <w:color w:val="auto"/>
                              <w:sz w:val="21"/>
                              <w:szCs w:val="21"/>
                              <w:u w:val="none"/>
                              <w:lang w:val="en-US" w:eastAsia="zh-CN"/>
                            </w:rPr>
                            <w:t>湖南浩元会计师事务所（普通合伙）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15pt;margin-top:769.9pt;height:23.5pt;width:191.45pt;mso-position-horizontal-relative:page;mso-position-vertical-relative:page;z-index:251662336;mso-width-relative:page;mso-height-relative:page;" filled="f" stroked="f" coordsize="21600,21600" o:gfxdata="UEsDBAoAAAAAAIdO4kAAAAAAAAAAAAAAAAAEAAAAZHJzL1BLAwQUAAAACACHTuJAv/K9mtYAAAAE&#10;AQAADwAAAGRycy9kb3ducmV2LnhtbE2PS0/DMBCE70j8B2uRuFG74RVCnApFqpAQHFp64baJt0mE&#10;vQ6x+4Bfj+ECl5VGM5r5tlwcnRV7msLgWcN8pkAQt94M3GnYvC4vchAhIhu0nknDJwVYVKcnJRbG&#10;H3hF+3XsRCrhUKCGPsaxkDK0PTkMMz8SJ2/rJ4cxyamTZsJDKndWZkrdSIcDp4UeR6p7at/XO6fh&#10;qV6+4KrJXP5l68fn7cP4sXm71vr8bK7uQUQ6xr8w/OAndKgSU+N3bIKwGtIj8fcm7zLP7kA0Gq5u&#10;FciqlP/hq29QSwMEFAAAAAgAh07iQMOTSutGAgAAdAQAAA4AAABkcnMvZTJvRG9jLnhtbK1Uy24T&#10;MRTdI/EPlvd0MumkJFEnVWhVhFTRSgWxdjyezEh+YTudKR8Af8CKDXu+K9/BsSdpQ2HRBRvn2vfM&#10;uT7nXuf0rFeS3AnnW6NLmh+NKBGam6rV65J+/HD5akqJD0xXTBotSnovPD1bvHxx2tm5GJvGyEo4&#10;AhLt550taROCnWeZ541QzB8ZKzSStXGKBWzdOqsc68CuZDYejU6yzrjKOsOF9zi9GJJ0x+ieQ2jq&#10;uuXiwvCNEjoMrE5IFiDJN631dJFuW9eCh+u69iIQWVIoDWlFEcSruGaLUzZfO2ablu+uwJ5zhSea&#10;FGs1ij5QXbDAyMa1f1GpljvjTR2OuFHZICQ5AhX56Ik3tw2zImmB1d4+mO7/Hy1/f3fjSFthEgpK&#10;NFPo+Pb7t+2PX9ufXwnOYFBn/Ry4Wwtk6N+YHuD9ucdh1N3XTsVfKCIxn59MixFMvi/pbDqbYDNY&#10;LfpAOADj4jgv8gklHIjxbFpMEiB7ZLLOh7fCKBKDkjq0MjnM7q58wK0A3UNiYW0uWylTO6UmXUlP&#10;jkH5RwZfSI0Po57h3jEK/arfiVyZ6h4anRnGxFt+2aL4FfPhhjnMBQTh5YRrLLU0KGJ2ESWNcV/+&#10;dR7xaBeylHSYs5L6zxvmBCXynUYjZ3kBb0hIm2LyeoyNO8ysDjN6o84NRjnHG7U8hREf5D6snVGf&#10;8MCWsSpSTHPULmnYh+dhmH48UC6WywTCKFoWrvSt5ZF6MG25CaZuk9PRpsGbnXsYxtSA3cOJ0364&#10;T6jHP4v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yvZrWAAAABAEAAA8AAAAAAAAAAQAgAAAA&#10;IgAAAGRycy9kb3ducmV2LnhtbFBLAQIUABQAAAAIAIdO4kDDk0rrRgIAAHQEAAAOAAAAAAAAAAEA&#10;IAAAACUBAABkcnMvZTJvRG9jLnhtbFBLBQYAAAAABgAGAFkBAADdBQAAAAA=&#10;">
              <v:fill on="f" focussize="0,0"/>
              <v:stroke on="f" weight="0.5pt"/>
              <v:imagedata o:title=""/>
              <o:lock v:ext="edit" aspectratio="f"/>
              <v:textbox>
                <w:txbxContent>
                  <w:p w14:paraId="237CA635">
                    <w:pPr>
                      <w:rPr>
                        <w:rFonts w:hint="eastAsia" w:ascii="仿宋" w:hAnsi="仿宋" w:eastAsia="仿宋" w:cs="仿宋"/>
                        <w:b/>
                        <w:bCs/>
                        <w:color w:val="auto"/>
                        <w:sz w:val="21"/>
                        <w:szCs w:val="21"/>
                        <w:u w:val="none"/>
                        <w:lang w:val="en-US" w:eastAsia="zh-CN"/>
                      </w:rPr>
                    </w:pPr>
                    <w:r>
                      <w:rPr>
                        <w:rFonts w:hint="eastAsia" w:ascii="仿宋" w:hAnsi="仿宋" w:eastAsia="仿宋" w:cs="仿宋"/>
                        <w:b/>
                        <w:bCs/>
                        <w:color w:val="auto"/>
                        <w:sz w:val="21"/>
                        <w:szCs w:val="21"/>
                        <w:u w:val="none"/>
                        <w:lang w:val="en-US" w:eastAsia="zh-CN"/>
                      </w:rPr>
                      <w:t>湖南浩元会计师事务所（普通合伙）</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bottomMargin">
                <wp:align>top</wp:align>
              </wp:positionV>
              <wp:extent cx="5313045" cy="0"/>
              <wp:effectExtent l="0" t="6350" r="0" b="6350"/>
              <wp:wrapNone/>
              <wp:docPr id="15" name="直接连接符 15"/>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15pt;margin-top:770.4pt;height:0pt;width:418.35pt;mso-position-horizontal-relative:page;mso-position-vertical-relative:page;z-index:251661312;mso-width-relative:margin;mso-height-relative:page;mso-width-percent:1000;" filled="f" stroked="t" coordsize="21600,21600" o:gfxdata="UEsDBAoAAAAAAIdO4kAAAAAAAAAAAAAAAAAEAAAAZHJzL1BLAwQUAAAACACHTuJAu48hnM8AAAAC&#10;AQAADwAAAGRycy9kb3ducmV2LnhtbE2PTU/DMAyG70j8h8hI3Fi6IrpRmu5QiSsSHYcdvca0hcap&#10;kuzr3+NxgYulV6/1+HG1ObtJHSnE0bOB5SIDRdx5O3Jv4GP7+rAGFROyxckzGbhQhE19e1Nhaf2J&#10;3+nYpl4JhGOJBoaU5lLr2A3kMC78TCzdpw8Ok8TQaxvwJHA36TzLCu1wZLkw4EzNQN13e3BCKZrw&#10;FYu38Tnf7natzZuuf7oYc3+3zF5AJTqnv2W46os61OK09we2UU0G5JH0O6VbPxYrUPtr1HWl/6vX&#10;P1BLAwQUAAAACACHTuJAsDn2AfQBAADAAwAADgAAAGRycy9lMm9Eb2MueG1srVPNbhMxEL4j8Q6W&#10;72Q3CUmbVTY9NCoXBJWAB5h4vbuW/CePm01eghdA4gYnjtx5G8pjMPaGtpRLD+zBa3vG3+fvm/H6&#10;4mA028uAytmaTyclZ9IK1yjb1fzD+6sX55xhBNuAdlbW/CiRX2yeP1sPvpIz1zvdyMAIxGI1+Jr3&#10;MfqqKFD00gBOnJeWgq0LBiItQ1c0AQZCN7qYleWyGFxofHBCItLudgzyE2J4CqBrWyXk1okbI20c&#10;UYPUEEkS9soj3+Tbtq0U8W3booxM15yUxjwSCc13aSw2a6i6AL5X4nQFeMoVHmkyoCyR3kFtIQK7&#10;CeofKKNEcOjaOBHOFKOQ7AipmJaPvHnXg5dZC1mN/s50/H+w4s3+OjDVUCcsOLNgqOK3n77//Pjl&#10;14/PNN5++8ooQjYNHivKvrTX4bRCfx2S5kMbTPqTGnYgoOl8NV2Rwcear86Wi+Uyn4dKHiITlLCY&#10;T+flS6ITlJFLUNyD+IDxlXSGpUnNtbLJAahg/xojEVPqn5S0bd2V0jpXUVs2EPvsrCRuAdSaLbUE&#10;TY0neWg7zkB31PMihgyJTqsmHU9AGLrdpQ5sD6lT8pdUE91faYl7C9iPeTk09pBRkZ6FVqbm5w9P&#10;a0sgybvRrTTbueaYTcz7VNhMc2rC1DkP1/n0/cPb/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7&#10;jyGczwAAAAIBAAAPAAAAAAAAAAEAIAAAACIAAABkcnMvZG93bnJldi54bWxQSwECFAAUAAAACACH&#10;TuJAsDn2AfQBAADAAwAADgAAAAAAAAABACAAAAAeAQAAZHJzL2Uyb0RvYy54bWxQSwUGAAAAAAYA&#10;BgBZAQAAhAUAAAAA&#10;">
              <v:fill on="f" focussize="0,0"/>
              <v:stroke weight="1pt" color="#000000 [3213]" miterlimit="8" joinstyle="miter"/>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12759">
    <w:pPr>
      <w:pStyle w:val="9"/>
      <w:rPr>
        <w:rFonts w:hint="default" w:ascii="仿宋" w:hAnsi="仿宋" w:eastAsia="仿宋" w:cs="仿宋"/>
        <w:sz w:val="21"/>
        <w:szCs w:val="21"/>
        <w:u w:val="single"/>
        <w:lang w:val="en-US" w:eastAsia="zh-CN"/>
      </w:rPr>
    </w:pPr>
    <w:r>
      <w:rPr>
        <w:rFonts w:hint="eastAsia" w:ascii="仿宋" w:hAnsi="仿宋" w:eastAsia="仿宋" w:cs="仿宋"/>
        <w:b/>
        <w:bCs/>
        <w:sz w:val="21"/>
        <w:szCs w:val="21"/>
        <w:u w:val="single"/>
        <w:lang w:val="en-US" w:eastAsia="zh-CN"/>
      </w:rPr>
      <w:t>2024年中共雁峰区委组织部整体支出绩效评价报告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EFD67"/>
    <w:multiLevelType w:val="singleLevel"/>
    <w:tmpl w:val="950EFD67"/>
    <w:lvl w:ilvl="0" w:tentative="0">
      <w:start w:val="2"/>
      <w:numFmt w:val="chineseCounting"/>
      <w:suff w:val="nothing"/>
      <w:lvlText w:val="（%1）"/>
      <w:lvlJc w:val="left"/>
      <w:rPr>
        <w:rFonts w:hint="eastAsia"/>
        <w:b/>
        <w:bCs/>
      </w:rPr>
    </w:lvl>
  </w:abstractNum>
  <w:abstractNum w:abstractNumId="1">
    <w:nsid w:val="993ED9D6"/>
    <w:multiLevelType w:val="singleLevel"/>
    <w:tmpl w:val="993ED9D6"/>
    <w:lvl w:ilvl="0" w:tentative="0">
      <w:start w:val="1"/>
      <w:numFmt w:val="decimal"/>
      <w:suff w:val="nothing"/>
      <w:lvlText w:val="（%1）"/>
      <w:lvlJc w:val="left"/>
    </w:lvl>
  </w:abstractNum>
  <w:abstractNum w:abstractNumId="2">
    <w:nsid w:val="AFCFB45B"/>
    <w:multiLevelType w:val="singleLevel"/>
    <w:tmpl w:val="AFCFB45B"/>
    <w:lvl w:ilvl="0" w:tentative="0">
      <w:start w:val="2"/>
      <w:numFmt w:val="chineseCounting"/>
      <w:suff w:val="nothing"/>
      <w:lvlText w:val="%1、"/>
      <w:lvlJc w:val="left"/>
      <w:rPr>
        <w:rFonts w:hint="eastAsia"/>
      </w:rPr>
    </w:lvl>
  </w:abstractNum>
  <w:abstractNum w:abstractNumId="3">
    <w:nsid w:val="D84C4568"/>
    <w:multiLevelType w:val="singleLevel"/>
    <w:tmpl w:val="D84C4568"/>
    <w:lvl w:ilvl="0" w:tentative="0">
      <w:start w:val="1"/>
      <w:numFmt w:val="chineseCounting"/>
      <w:suff w:val="nothing"/>
      <w:lvlText w:val="（%1）"/>
      <w:lvlJc w:val="left"/>
      <w:rPr>
        <w:rFonts w:hint="eastAsia"/>
      </w:rPr>
    </w:lvl>
  </w:abstractNum>
  <w:abstractNum w:abstractNumId="4">
    <w:nsid w:val="EBF7B6E1"/>
    <w:multiLevelType w:val="singleLevel"/>
    <w:tmpl w:val="EBF7B6E1"/>
    <w:lvl w:ilvl="0" w:tentative="0">
      <w:start w:val="1"/>
      <w:numFmt w:val="chineseCounting"/>
      <w:suff w:val="nothing"/>
      <w:lvlText w:val="（%1）"/>
      <w:lvlJc w:val="left"/>
      <w:rPr>
        <w:rFonts w:hint="eastAsia"/>
      </w:rPr>
    </w:lvl>
  </w:abstractNum>
  <w:abstractNum w:abstractNumId="5">
    <w:nsid w:val="22845DC4"/>
    <w:multiLevelType w:val="singleLevel"/>
    <w:tmpl w:val="22845DC4"/>
    <w:lvl w:ilvl="0" w:tentative="0">
      <w:start w:val="4"/>
      <w:numFmt w:val="chineseCounting"/>
      <w:suff w:val="nothing"/>
      <w:lvlText w:val="（%1）"/>
      <w:lvlJc w:val="left"/>
      <w:rPr>
        <w:rFonts w:hint="eastAsia"/>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1ZWVjYTFmYWM4NGIxZThlMmI0MzQ1Mzg3NWI3ZjkifQ=="/>
  </w:docVars>
  <w:rsids>
    <w:rsidRoot w:val="00172A27"/>
    <w:rsid w:val="00053C27"/>
    <w:rsid w:val="001B237B"/>
    <w:rsid w:val="003440E5"/>
    <w:rsid w:val="00347465"/>
    <w:rsid w:val="003675EE"/>
    <w:rsid w:val="00392EA7"/>
    <w:rsid w:val="00396CDA"/>
    <w:rsid w:val="00440AFC"/>
    <w:rsid w:val="00441793"/>
    <w:rsid w:val="0046375D"/>
    <w:rsid w:val="004E616D"/>
    <w:rsid w:val="00543B5B"/>
    <w:rsid w:val="006C4A5C"/>
    <w:rsid w:val="0075235C"/>
    <w:rsid w:val="008C4773"/>
    <w:rsid w:val="00957601"/>
    <w:rsid w:val="00AC7437"/>
    <w:rsid w:val="00CE50BF"/>
    <w:rsid w:val="00DC574A"/>
    <w:rsid w:val="00ED1E2A"/>
    <w:rsid w:val="00F114F5"/>
    <w:rsid w:val="00F96DAA"/>
    <w:rsid w:val="00FE0086"/>
    <w:rsid w:val="01017684"/>
    <w:rsid w:val="010D6479"/>
    <w:rsid w:val="01142B69"/>
    <w:rsid w:val="011655D4"/>
    <w:rsid w:val="01211959"/>
    <w:rsid w:val="013D4B60"/>
    <w:rsid w:val="013F2781"/>
    <w:rsid w:val="014F34AC"/>
    <w:rsid w:val="01537CD6"/>
    <w:rsid w:val="01543F37"/>
    <w:rsid w:val="018A7679"/>
    <w:rsid w:val="018E2466"/>
    <w:rsid w:val="0196601E"/>
    <w:rsid w:val="01967D5E"/>
    <w:rsid w:val="019755DD"/>
    <w:rsid w:val="019D115B"/>
    <w:rsid w:val="019E58B5"/>
    <w:rsid w:val="019F1377"/>
    <w:rsid w:val="01B374F8"/>
    <w:rsid w:val="01CB7507"/>
    <w:rsid w:val="01D846CD"/>
    <w:rsid w:val="021E5540"/>
    <w:rsid w:val="023A109F"/>
    <w:rsid w:val="023F2351"/>
    <w:rsid w:val="02427F54"/>
    <w:rsid w:val="024C492F"/>
    <w:rsid w:val="025739FF"/>
    <w:rsid w:val="0263637C"/>
    <w:rsid w:val="026659F0"/>
    <w:rsid w:val="026774FC"/>
    <w:rsid w:val="02811C50"/>
    <w:rsid w:val="028D5673"/>
    <w:rsid w:val="029D18A6"/>
    <w:rsid w:val="029F7154"/>
    <w:rsid w:val="02A1111E"/>
    <w:rsid w:val="02A815EB"/>
    <w:rsid w:val="02AD3FBE"/>
    <w:rsid w:val="02AE478C"/>
    <w:rsid w:val="02B50726"/>
    <w:rsid w:val="02B726F0"/>
    <w:rsid w:val="02BA21E0"/>
    <w:rsid w:val="02C443E7"/>
    <w:rsid w:val="02D037B2"/>
    <w:rsid w:val="02DB6277"/>
    <w:rsid w:val="02E039E0"/>
    <w:rsid w:val="02F859E5"/>
    <w:rsid w:val="02F94384"/>
    <w:rsid w:val="03074E87"/>
    <w:rsid w:val="03103BAE"/>
    <w:rsid w:val="03105CDF"/>
    <w:rsid w:val="031713E0"/>
    <w:rsid w:val="031763B2"/>
    <w:rsid w:val="03191EEE"/>
    <w:rsid w:val="031D6EFB"/>
    <w:rsid w:val="03267F2A"/>
    <w:rsid w:val="03295034"/>
    <w:rsid w:val="032A758D"/>
    <w:rsid w:val="03303491"/>
    <w:rsid w:val="034A1211"/>
    <w:rsid w:val="03754F19"/>
    <w:rsid w:val="03764359"/>
    <w:rsid w:val="03773C2D"/>
    <w:rsid w:val="0391431A"/>
    <w:rsid w:val="03A3304A"/>
    <w:rsid w:val="03A36FA0"/>
    <w:rsid w:val="03A47774"/>
    <w:rsid w:val="03A5079A"/>
    <w:rsid w:val="03AA1CFF"/>
    <w:rsid w:val="03C3438E"/>
    <w:rsid w:val="03C47923"/>
    <w:rsid w:val="03CE545F"/>
    <w:rsid w:val="03D25723"/>
    <w:rsid w:val="03E64831"/>
    <w:rsid w:val="04073203"/>
    <w:rsid w:val="04125FCD"/>
    <w:rsid w:val="04160862"/>
    <w:rsid w:val="04220309"/>
    <w:rsid w:val="04245B63"/>
    <w:rsid w:val="042E3A1F"/>
    <w:rsid w:val="043229AE"/>
    <w:rsid w:val="04330D71"/>
    <w:rsid w:val="043E5100"/>
    <w:rsid w:val="04421B33"/>
    <w:rsid w:val="04460AFF"/>
    <w:rsid w:val="047100E1"/>
    <w:rsid w:val="047C774D"/>
    <w:rsid w:val="047F1C73"/>
    <w:rsid w:val="04986613"/>
    <w:rsid w:val="04B62533"/>
    <w:rsid w:val="04B70785"/>
    <w:rsid w:val="04C133B2"/>
    <w:rsid w:val="04C1427B"/>
    <w:rsid w:val="04C218DA"/>
    <w:rsid w:val="04C6380B"/>
    <w:rsid w:val="04CD774D"/>
    <w:rsid w:val="04E57AC0"/>
    <w:rsid w:val="04ED064B"/>
    <w:rsid w:val="04F85637"/>
    <w:rsid w:val="05183F1A"/>
    <w:rsid w:val="05266ADB"/>
    <w:rsid w:val="05281683"/>
    <w:rsid w:val="05353DA0"/>
    <w:rsid w:val="053B68BC"/>
    <w:rsid w:val="05620FEB"/>
    <w:rsid w:val="056B5638"/>
    <w:rsid w:val="0571031E"/>
    <w:rsid w:val="057714C1"/>
    <w:rsid w:val="05791A70"/>
    <w:rsid w:val="058C131C"/>
    <w:rsid w:val="058C1C12"/>
    <w:rsid w:val="059C3F40"/>
    <w:rsid w:val="059E7B97"/>
    <w:rsid w:val="05A11BAC"/>
    <w:rsid w:val="05A3319B"/>
    <w:rsid w:val="05A50F26"/>
    <w:rsid w:val="05BA0D70"/>
    <w:rsid w:val="05DB66F5"/>
    <w:rsid w:val="05DE1D42"/>
    <w:rsid w:val="05E0766C"/>
    <w:rsid w:val="05F309FB"/>
    <w:rsid w:val="05F45A09"/>
    <w:rsid w:val="05F57389"/>
    <w:rsid w:val="05FA2A1A"/>
    <w:rsid w:val="05FF0279"/>
    <w:rsid w:val="06062574"/>
    <w:rsid w:val="06093E43"/>
    <w:rsid w:val="06106186"/>
    <w:rsid w:val="061B656D"/>
    <w:rsid w:val="06222576"/>
    <w:rsid w:val="062865D7"/>
    <w:rsid w:val="06316B63"/>
    <w:rsid w:val="06322AAB"/>
    <w:rsid w:val="06341813"/>
    <w:rsid w:val="06345BBB"/>
    <w:rsid w:val="064514DA"/>
    <w:rsid w:val="06462747"/>
    <w:rsid w:val="064A35D0"/>
    <w:rsid w:val="065D6663"/>
    <w:rsid w:val="0660046B"/>
    <w:rsid w:val="066A1F1E"/>
    <w:rsid w:val="06700636"/>
    <w:rsid w:val="067369FB"/>
    <w:rsid w:val="06875F36"/>
    <w:rsid w:val="068B1201"/>
    <w:rsid w:val="068D0A84"/>
    <w:rsid w:val="069112CA"/>
    <w:rsid w:val="06930D7E"/>
    <w:rsid w:val="06B069BA"/>
    <w:rsid w:val="06C30126"/>
    <w:rsid w:val="06C57799"/>
    <w:rsid w:val="06C92D5A"/>
    <w:rsid w:val="06CC0578"/>
    <w:rsid w:val="06D86978"/>
    <w:rsid w:val="06DF5D71"/>
    <w:rsid w:val="070337A4"/>
    <w:rsid w:val="07097643"/>
    <w:rsid w:val="07143785"/>
    <w:rsid w:val="071E67C4"/>
    <w:rsid w:val="072639A0"/>
    <w:rsid w:val="072801E2"/>
    <w:rsid w:val="073F4A62"/>
    <w:rsid w:val="074D53D1"/>
    <w:rsid w:val="0756191C"/>
    <w:rsid w:val="076A180B"/>
    <w:rsid w:val="076C47A9"/>
    <w:rsid w:val="077376CB"/>
    <w:rsid w:val="07760BAA"/>
    <w:rsid w:val="078D3874"/>
    <w:rsid w:val="079468F0"/>
    <w:rsid w:val="079B120C"/>
    <w:rsid w:val="07A7684E"/>
    <w:rsid w:val="07AC013B"/>
    <w:rsid w:val="07BA10F5"/>
    <w:rsid w:val="07BB6140"/>
    <w:rsid w:val="07BB67DE"/>
    <w:rsid w:val="07BE4341"/>
    <w:rsid w:val="07D442F0"/>
    <w:rsid w:val="07E00C9C"/>
    <w:rsid w:val="07E22674"/>
    <w:rsid w:val="07ED2710"/>
    <w:rsid w:val="07F9321E"/>
    <w:rsid w:val="07FF1CDD"/>
    <w:rsid w:val="0809043D"/>
    <w:rsid w:val="08253FEF"/>
    <w:rsid w:val="08313B80"/>
    <w:rsid w:val="083E11BD"/>
    <w:rsid w:val="084542FA"/>
    <w:rsid w:val="085821DB"/>
    <w:rsid w:val="085B544F"/>
    <w:rsid w:val="085E70A3"/>
    <w:rsid w:val="086A6018"/>
    <w:rsid w:val="087921F6"/>
    <w:rsid w:val="08A53B3F"/>
    <w:rsid w:val="08BB245F"/>
    <w:rsid w:val="08BE2639"/>
    <w:rsid w:val="08C12927"/>
    <w:rsid w:val="08C14499"/>
    <w:rsid w:val="08C8551C"/>
    <w:rsid w:val="08CD7790"/>
    <w:rsid w:val="08D33389"/>
    <w:rsid w:val="091E489D"/>
    <w:rsid w:val="09214A58"/>
    <w:rsid w:val="09322AD0"/>
    <w:rsid w:val="09436EC0"/>
    <w:rsid w:val="0949606C"/>
    <w:rsid w:val="094F2CD3"/>
    <w:rsid w:val="096B15C8"/>
    <w:rsid w:val="097F0956"/>
    <w:rsid w:val="098026A7"/>
    <w:rsid w:val="098244A7"/>
    <w:rsid w:val="098368C3"/>
    <w:rsid w:val="098E3ABC"/>
    <w:rsid w:val="09964F9A"/>
    <w:rsid w:val="099A08B5"/>
    <w:rsid w:val="09A5179F"/>
    <w:rsid w:val="09B90AFC"/>
    <w:rsid w:val="09BF0001"/>
    <w:rsid w:val="09BF1E8A"/>
    <w:rsid w:val="09D70DA6"/>
    <w:rsid w:val="09E024BB"/>
    <w:rsid w:val="0A0F3905"/>
    <w:rsid w:val="0A355EA0"/>
    <w:rsid w:val="0A3D472E"/>
    <w:rsid w:val="0A4106A1"/>
    <w:rsid w:val="0A5F7F8F"/>
    <w:rsid w:val="0A650F73"/>
    <w:rsid w:val="0A653918"/>
    <w:rsid w:val="0A6E2124"/>
    <w:rsid w:val="0A863B1E"/>
    <w:rsid w:val="0A8777EC"/>
    <w:rsid w:val="0A891C20"/>
    <w:rsid w:val="0AA364AD"/>
    <w:rsid w:val="0AAC0F25"/>
    <w:rsid w:val="0AB74823"/>
    <w:rsid w:val="0ABB08A3"/>
    <w:rsid w:val="0AC21A36"/>
    <w:rsid w:val="0ADF27E4"/>
    <w:rsid w:val="0AEC6CC4"/>
    <w:rsid w:val="0B0D610C"/>
    <w:rsid w:val="0B1A34E5"/>
    <w:rsid w:val="0B42710B"/>
    <w:rsid w:val="0B553428"/>
    <w:rsid w:val="0B5D25F0"/>
    <w:rsid w:val="0B6131F9"/>
    <w:rsid w:val="0B7E1DF4"/>
    <w:rsid w:val="0BAB2B32"/>
    <w:rsid w:val="0BAD643E"/>
    <w:rsid w:val="0BB72F3C"/>
    <w:rsid w:val="0BC419DA"/>
    <w:rsid w:val="0BD452F2"/>
    <w:rsid w:val="0BE45812"/>
    <w:rsid w:val="0BE71C3D"/>
    <w:rsid w:val="0BFE0100"/>
    <w:rsid w:val="0C0753B5"/>
    <w:rsid w:val="0C250048"/>
    <w:rsid w:val="0C254F7A"/>
    <w:rsid w:val="0C2B3573"/>
    <w:rsid w:val="0C3A7178"/>
    <w:rsid w:val="0C476893"/>
    <w:rsid w:val="0C5517B2"/>
    <w:rsid w:val="0C5556CA"/>
    <w:rsid w:val="0C5965C6"/>
    <w:rsid w:val="0C5E19B3"/>
    <w:rsid w:val="0C7476C0"/>
    <w:rsid w:val="0C7B2664"/>
    <w:rsid w:val="0C925AC4"/>
    <w:rsid w:val="0C9772B7"/>
    <w:rsid w:val="0C9E401A"/>
    <w:rsid w:val="0CA350DD"/>
    <w:rsid w:val="0CAC044E"/>
    <w:rsid w:val="0CAF0502"/>
    <w:rsid w:val="0CB841CC"/>
    <w:rsid w:val="0CBC3E25"/>
    <w:rsid w:val="0CBF0132"/>
    <w:rsid w:val="0CC06645"/>
    <w:rsid w:val="0CC852E6"/>
    <w:rsid w:val="0CCC5E05"/>
    <w:rsid w:val="0CCF6888"/>
    <w:rsid w:val="0CD56D9C"/>
    <w:rsid w:val="0CDB0A03"/>
    <w:rsid w:val="0CE25880"/>
    <w:rsid w:val="0CE27DCE"/>
    <w:rsid w:val="0CE5798A"/>
    <w:rsid w:val="0CF462EF"/>
    <w:rsid w:val="0CFF338E"/>
    <w:rsid w:val="0D0201EA"/>
    <w:rsid w:val="0D02609B"/>
    <w:rsid w:val="0D0332A3"/>
    <w:rsid w:val="0D1C2595"/>
    <w:rsid w:val="0D1C43CC"/>
    <w:rsid w:val="0D22141A"/>
    <w:rsid w:val="0D35644A"/>
    <w:rsid w:val="0D483858"/>
    <w:rsid w:val="0D5C5D7C"/>
    <w:rsid w:val="0D6A5091"/>
    <w:rsid w:val="0D6B7889"/>
    <w:rsid w:val="0D760367"/>
    <w:rsid w:val="0D81478E"/>
    <w:rsid w:val="0D862FC8"/>
    <w:rsid w:val="0D8A2FED"/>
    <w:rsid w:val="0D940C01"/>
    <w:rsid w:val="0D9E6986"/>
    <w:rsid w:val="0DA4187D"/>
    <w:rsid w:val="0DAB4CA3"/>
    <w:rsid w:val="0DAC2D80"/>
    <w:rsid w:val="0DAC6DFF"/>
    <w:rsid w:val="0DAD664A"/>
    <w:rsid w:val="0DB55A7E"/>
    <w:rsid w:val="0DBA6115"/>
    <w:rsid w:val="0DBB7938"/>
    <w:rsid w:val="0DC01F09"/>
    <w:rsid w:val="0DC24E06"/>
    <w:rsid w:val="0DC64126"/>
    <w:rsid w:val="0DCA29A0"/>
    <w:rsid w:val="0DD208F0"/>
    <w:rsid w:val="0DD66235"/>
    <w:rsid w:val="0DDC7AB4"/>
    <w:rsid w:val="0DE16873"/>
    <w:rsid w:val="0DE73F9D"/>
    <w:rsid w:val="0DF14288"/>
    <w:rsid w:val="0E0E0ABB"/>
    <w:rsid w:val="0E156855"/>
    <w:rsid w:val="0E180AFA"/>
    <w:rsid w:val="0E1E1689"/>
    <w:rsid w:val="0E355A5F"/>
    <w:rsid w:val="0E434CA2"/>
    <w:rsid w:val="0E452056"/>
    <w:rsid w:val="0E4A60A8"/>
    <w:rsid w:val="0E664FCA"/>
    <w:rsid w:val="0E7159E2"/>
    <w:rsid w:val="0E90419B"/>
    <w:rsid w:val="0E906868"/>
    <w:rsid w:val="0E9F40E6"/>
    <w:rsid w:val="0EAA7A46"/>
    <w:rsid w:val="0EAB349F"/>
    <w:rsid w:val="0EB151DA"/>
    <w:rsid w:val="0EB8122F"/>
    <w:rsid w:val="0EBA1FBA"/>
    <w:rsid w:val="0EBD5965"/>
    <w:rsid w:val="0EC40B28"/>
    <w:rsid w:val="0ED270CE"/>
    <w:rsid w:val="0EE30765"/>
    <w:rsid w:val="0EE875CA"/>
    <w:rsid w:val="0EEF3211"/>
    <w:rsid w:val="0F033BBE"/>
    <w:rsid w:val="0F0B71C2"/>
    <w:rsid w:val="0F16254C"/>
    <w:rsid w:val="0F1F58A5"/>
    <w:rsid w:val="0F2904D1"/>
    <w:rsid w:val="0F2E527C"/>
    <w:rsid w:val="0F333973"/>
    <w:rsid w:val="0F36499C"/>
    <w:rsid w:val="0F61365E"/>
    <w:rsid w:val="0F6C03BE"/>
    <w:rsid w:val="0F775D3E"/>
    <w:rsid w:val="0F7811AE"/>
    <w:rsid w:val="0F791052"/>
    <w:rsid w:val="0F8B17F6"/>
    <w:rsid w:val="0F9C62AB"/>
    <w:rsid w:val="0F9C6EF5"/>
    <w:rsid w:val="0F9E175C"/>
    <w:rsid w:val="0FA270B4"/>
    <w:rsid w:val="0FAB006A"/>
    <w:rsid w:val="0FB10A42"/>
    <w:rsid w:val="0FDA17CC"/>
    <w:rsid w:val="0FE53F92"/>
    <w:rsid w:val="0FE90290"/>
    <w:rsid w:val="0FF67C3E"/>
    <w:rsid w:val="0FFC7697"/>
    <w:rsid w:val="100F5919"/>
    <w:rsid w:val="101E7BF6"/>
    <w:rsid w:val="10246EEB"/>
    <w:rsid w:val="10345524"/>
    <w:rsid w:val="10362DC0"/>
    <w:rsid w:val="103750DB"/>
    <w:rsid w:val="103A6D61"/>
    <w:rsid w:val="105B5D71"/>
    <w:rsid w:val="106612B1"/>
    <w:rsid w:val="107069BA"/>
    <w:rsid w:val="10762B40"/>
    <w:rsid w:val="10810372"/>
    <w:rsid w:val="1099323E"/>
    <w:rsid w:val="109B53FF"/>
    <w:rsid w:val="10AA3894"/>
    <w:rsid w:val="10AD4E1F"/>
    <w:rsid w:val="10AE5B85"/>
    <w:rsid w:val="10B2256F"/>
    <w:rsid w:val="10C8771B"/>
    <w:rsid w:val="10E2584A"/>
    <w:rsid w:val="10F770B9"/>
    <w:rsid w:val="10F9096F"/>
    <w:rsid w:val="11045EE1"/>
    <w:rsid w:val="110C12EC"/>
    <w:rsid w:val="11186A50"/>
    <w:rsid w:val="11275806"/>
    <w:rsid w:val="11456666"/>
    <w:rsid w:val="1152799A"/>
    <w:rsid w:val="11553800"/>
    <w:rsid w:val="115820C3"/>
    <w:rsid w:val="116339D1"/>
    <w:rsid w:val="1165571B"/>
    <w:rsid w:val="116972AB"/>
    <w:rsid w:val="1170063A"/>
    <w:rsid w:val="11722980"/>
    <w:rsid w:val="11910B2A"/>
    <w:rsid w:val="11B60016"/>
    <w:rsid w:val="11BD1BAD"/>
    <w:rsid w:val="11C22644"/>
    <w:rsid w:val="11C73FD2"/>
    <w:rsid w:val="11C90F52"/>
    <w:rsid w:val="11D53180"/>
    <w:rsid w:val="11DB182B"/>
    <w:rsid w:val="11DB47CB"/>
    <w:rsid w:val="11EA5F58"/>
    <w:rsid w:val="11F84BB9"/>
    <w:rsid w:val="12144AEB"/>
    <w:rsid w:val="12185560"/>
    <w:rsid w:val="121B783C"/>
    <w:rsid w:val="12213A4B"/>
    <w:rsid w:val="12266F4A"/>
    <w:rsid w:val="122E4051"/>
    <w:rsid w:val="1246013E"/>
    <w:rsid w:val="125A4E46"/>
    <w:rsid w:val="125B775D"/>
    <w:rsid w:val="12656690"/>
    <w:rsid w:val="126D4B79"/>
    <w:rsid w:val="126F08F1"/>
    <w:rsid w:val="12712954"/>
    <w:rsid w:val="127D5172"/>
    <w:rsid w:val="12843C71"/>
    <w:rsid w:val="12872C68"/>
    <w:rsid w:val="1288550F"/>
    <w:rsid w:val="129C457B"/>
    <w:rsid w:val="12A01767"/>
    <w:rsid w:val="12A41E2E"/>
    <w:rsid w:val="12C5502F"/>
    <w:rsid w:val="12CE0BB5"/>
    <w:rsid w:val="12D47F8E"/>
    <w:rsid w:val="12DE2F04"/>
    <w:rsid w:val="12E52E35"/>
    <w:rsid w:val="12E6250F"/>
    <w:rsid w:val="12EF1689"/>
    <w:rsid w:val="12F80CC7"/>
    <w:rsid w:val="13001549"/>
    <w:rsid w:val="130A1D43"/>
    <w:rsid w:val="1311486C"/>
    <w:rsid w:val="13134ACB"/>
    <w:rsid w:val="13257202"/>
    <w:rsid w:val="132C67E2"/>
    <w:rsid w:val="133308DE"/>
    <w:rsid w:val="13367661"/>
    <w:rsid w:val="133B6A25"/>
    <w:rsid w:val="133E24DD"/>
    <w:rsid w:val="133E63BF"/>
    <w:rsid w:val="135E5661"/>
    <w:rsid w:val="136C36A0"/>
    <w:rsid w:val="13853604"/>
    <w:rsid w:val="138949F9"/>
    <w:rsid w:val="139F4E30"/>
    <w:rsid w:val="139F5206"/>
    <w:rsid w:val="13AC7923"/>
    <w:rsid w:val="13FA6B54"/>
    <w:rsid w:val="140275A9"/>
    <w:rsid w:val="14076BA8"/>
    <w:rsid w:val="140C37B9"/>
    <w:rsid w:val="14182A2A"/>
    <w:rsid w:val="141F1EA3"/>
    <w:rsid w:val="142A5125"/>
    <w:rsid w:val="142E6F34"/>
    <w:rsid w:val="14304FFA"/>
    <w:rsid w:val="143F0CC5"/>
    <w:rsid w:val="145558C5"/>
    <w:rsid w:val="145E6E6F"/>
    <w:rsid w:val="147D4F92"/>
    <w:rsid w:val="14897C91"/>
    <w:rsid w:val="148A2C9A"/>
    <w:rsid w:val="14962256"/>
    <w:rsid w:val="14AB450A"/>
    <w:rsid w:val="14B35F82"/>
    <w:rsid w:val="14B8240A"/>
    <w:rsid w:val="14BA1BA8"/>
    <w:rsid w:val="14BC1DE8"/>
    <w:rsid w:val="14BF2D3F"/>
    <w:rsid w:val="14C21E3B"/>
    <w:rsid w:val="14C67AFB"/>
    <w:rsid w:val="14D7452C"/>
    <w:rsid w:val="14E530ED"/>
    <w:rsid w:val="14E678C5"/>
    <w:rsid w:val="14ED01F3"/>
    <w:rsid w:val="14ED5843"/>
    <w:rsid w:val="15032920"/>
    <w:rsid w:val="151439D2"/>
    <w:rsid w:val="151A411A"/>
    <w:rsid w:val="151B65FC"/>
    <w:rsid w:val="151C1DCA"/>
    <w:rsid w:val="15222E14"/>
    <w:rsid w:val="152A4FA3"/>
    <w:rsid w:val="152E409F"/>
    <w:rsid w:val="15314652"/>
    <w:rsid w:val="153328BD"/>
    <w:rsid w:val="153E5E21"/>
    <w:rsid w:val="153F568C"/>
    <w:rsid w:val="15542020"/>
    <w:rsid w:val="15712BD2"/>
    <w:rsid w:val="1582093B"/>
    <w:rsid w:val="158703BA"/>
    <w:rsid w:val="15894CE1"/>
    <w:rsid w:val="158E5532"/>
    <w:rsid w:val="158F3058"/>
    <w:rsid w:val="1595558F"/>
    <w:rsid w:val="159863B3"/>
    <w:rsid w:val="159D39C7"/>
    <w:rsid w:val="15CB1E48"/>
    <w:rsid w:val="15D95D65"/>
    <w:rsid w:val="15E51B78"/>
    <w:rsid w:val="15E93E01"/>
    <w:rsid w:val="15F66544"/>
    <w:rsid w:val="160C46A9"/>
    <w:rsid w:val="16296B24"/>
    <w:rsid w:val="162E461F"/>
    <w:rsid w:val="162E75CC"/>
    <w:rsid w:val="16306774"/>
    <w:rsid w:val="16314110"/>
    <w:rsid w:val="163C4C29"/>
    <w:rsid w:val="16414301"/>
    <w:rsid w:val="1646419B"/>
    <w:rsid w:val="16465E0D"/>
    <w:rsid w:val="164E6A70"/>
    <w:rsid w:val="165764A9"/>
    <w:rsid w:val="165A3F0C"/>
    <w:rsid w:val="165D428C"/>
    <w:rsid w:val="166D2E5A"/>
    <w:rsid w:val="16714EDD"/>
    <w:rsid w:val="16716242"/>
    <w:rsid w:val="1674502D"/>
    <w:rsid w:val="167D3682"/>
    <w:rsid w:val="167E22F8"/>
    <w:rsid w:val="1682657E"/>
    <w:rsid w:val="16827510"/>
    <w:rsid w:val="16931292"/>
    <w:rsid w:val="169C0F78"/>
    <w:rsid w:val="16AB5C34"/>
    <w:rsid w:val="16BB3429"/>
    <w:rsid w:val="16C54A69"/>
    <w:rsid w:val="16D725CF"/>
    <w:rsid w:val="16D74A36"/>
    <w:rsid w:val="16E573D4"/>
    <w:rsid w:val="16EF70D4"/>
    <w:rsid w:val="16F13FCB"/>
    <w:rsid w:val="16F97785"/>
    <w:rsid w:val="17000058"/>
    <w:rsid w:val="1700420E"/>
    <w:rsid w:val="170A3ED8"/>
    <w:rsid w:val="170D5CC4"/>
    <w:rsid w:val="17215F32"/>
    <w:rsid w:val="172D2B29"/>
    <w:rsid w:val="173E0892"/>
    <w:rsid w:val="17430EB3"/>
    <w:rsid w:val="17550AD5"/>
    <w:rsid w:val="175761FF"/>
    <w:rsid w:val="175A569D"/>
    <w:rsid w:val="175C045F"/>
    <w:rsid w:val="17710405"/>
    <w:rsid w:val="177C42CE"/>
    <w:rsid w:val="17956A47"/>
    <w:rsid w:val="1798391D"/>
    <w:rsid w:val="17A42169"/>
    <w:rsid w:val="17B62B1E"/>
    <w:rsid w:val="17C52AFB"/>
    <w:rsid w:val="17CC0594"/>
    <w:rsid w:val="17EC02EE"/>
    <w:rsid w:val="17F12F10"/>
    <w:rsid w:val="17FB2C27"/>
    <w:rsid w:val="18145A0D"/>
    <w:rsid w:val="18185587"/>
    <w:rsid w:val="183C0DD2"/>
    <w:rsid w:val="1862727E"/>
    <w:rsid w:val="18930AC2"/>
    <w:rsid w:val="18B232E6"/>
    <w:rsid w:val="18B31317"/>
    <w:rsid w:val="18C01435"/>
    <w:rsid w:val="18CA2B7F"/>
    <w:rsid w:val="18D05E62"/>
    <w:rsid w:val="18D33CA4"/>
    <w:rsid w:val="18F811D5"/>
    <w:rsid w:val="19000E9A"/>
    <w:rsid w:val="19103042"/>
    <w:rsid w:val="19173A91"/>
    <w:rsid w:val="192166BD"/>
    <w:rsid w:val="192E3215"/>
    <w:rsid w:val="193B229C"/>
    <w:rsid w:val="193F3921"/>
    <w:rsid w:val="19412BFE"/>
    <w:rsid w:val="1960649E"/>
    <w:rsid w:val="196A3BC0"/>
    <w:rsid w:val="196B6713"/>
    <w:rsid w:val="196C36C2"/>
    <w:rsid w:val="196C5B8A"/>
    <w:rsid w:val="19721E8A"/>
    <w:rsid w:val="19831DCC"/>
    <w:rsid w:val="198A065A"/>
    <w:rsid w:val="198D27BE"/>
    <w:rsid w:val="199B6790"/>
    <w:rsid w:val="19A364CF"/>
    <w:rsid w:val="19B4308D"/>
    <w:rsid w:val="19C31523"/>
    <w:rsid w:val="19C33487"/>
    <w:rsid w:val="19C94420"/>
    <w:rsid w:val="19CA0467"/>
    <w:rsid w:val="19DA2BE1"/>
    <w:rsid w:val="19E05346"/>
    <w:rsid w:val="19F41671"/>
    <w:rsid w:val="19FD105D"/>
    <w:rsid w:val="1A02204B"/>
    <w:rsid w:val="1A0A00C9"/>
    <w:rsid w:val="1A0C111B"/>
    <w:rsid w:val="1A1136AE"/>
    <w:rsid w:val="1A1520AE"/>
    <w:rsid w:val="1A275223"/>
    <w:rsid w:val="1A2771D6"/>
    <w:rsid w:val="1A283DE9"/>
    <w:rsid w:val="1A331C30"/>
    <w:rsid w:val="1A336C1E"/>
    <w:rsid w:val="1A367F46"/>
    <w:rsid w:val="1A4E5A90"/>
    <w:rsid w:val="1A512FED"/>
    <w:rsid w:val="1A570B02"/>
    <w:rsid w:val="1A5C123E"/>
    <w:rsid w:val="1A607DD7"/>
    <w:rsid w:val="1A6774E6"/>
    <w:rsid w:val="1A6D284D"/>
    <w:rsid w:val="1A80358B"/>
    <w:rsid w:val="1A8667BD"/>
    <w:rsid w:val="1A8B200C"/>
    <w:rsid w:val="1A956CF1"/>
    <w:rsid w:val="1A9941E3"/>
    <w:rsid w:val="1A9E31DD"/>
    <w:rsid w:val="1A9E44A3"/>
    <w:rsid w:val="1AA141FF"/>
    <w:rsid w:val="1AA17AB6"/>
    <w:rsid w:val="1AA42D85"/>
    <w:rsid w:val="1AAC69B5"/>
    <w:rsid w:val="1AAE7B07"/>
    <w:rsid w:val="1AAF7C6D"/>
    <w:rsid w:val="1ABE0417"/>
    <w:rsid w:val="1AC436A6"/>
    <w:rsid w:val="1ACC581E"/>
    <w:rsid w:val="1AD3193F"/>
    <w:rsid w:val="1AD627EF"/>
    <w:rsid w:val="1AD86238"/>
    <w:rsid w:val="1AE479A2"/>
    <w:rsid w:val="1AF5570C"/>
    <w:rsid w:val="1AFA6A9C"/>
    <w:rsid w:val="1AFD2812"/>
    <w:rsid w:val="1B131612"/>
    <w:rsid w:val="1B317B00"/>
    <w:rsid w:val="1B707488"/>
    <w:rsid w:val="1B7A0AA9"/>
    <w:rsid w:val="1B7E1411"/>
    <w:rsid w:val="1B8F4A8D"/>
    <w:rsid w:val="1BA553F0"/>
    <w:rsid w:val="1BAA299A"/>
    <w:rsid w:val="1BAD2058"/>
    <w:rsid w:val="1BB65A6F"/>
    <w:rsid w:val="1BD815BE"/>
    <w:rsid w:val="1BE83F4F"/>
    <w:rsid w:val="1C0302FC"/>
    <w:rsid w:val="1C142509"/>
    <w:rsid w:val="1C1F16EE"/>
    <w:rsid w:val="1C1F6B10"/>
    <w:rsid w:val="1C221F2A"/>
    <w:rsid w:val="1C2344FA"/>
    <w:rsid w:val="1C286643"/>
    <w:rsid w:val="1C5B32F3"/>
    <w:rsid w:val="1C69492B"/>
    <w:rsid w:val="1C7A7B16"/>
    <w:rsid w:val="1C7B644A"/>
    <w:rsid w:val="1C7F10E3"/>
    <w:rsid w:val="1C837694"/>
    <w:rsid w:val="1C927A29"/>
    <w:rsid w:val="1C9F39A1"/>
    <w:rsid w:val="1C9F475A"/>
    <w:rsid w:val="1CA308FE"/>
    <w:rsid w:val="1CAC44F0"/>
    <w:rsid w:val="1CC36B75"/>
    <w:rsid w:val="1CCD27DE"/>
    <w:rsid w:val="1CD06430"/>
    <w:rsid w:val="1CD25DDB"/>
    <w:rsid w:val="1CD81161"/>
    <w:rsid w:val="1CDD0B4D"/>
    <w:rsid w:val="1CE855C9"/>
    <w:rsid w:val="1CE974F2"/>
    <w:rsid w:val="1CF14289"/>
    <w:rsid w:val="1D061B33"/>
    <w:rsid w:val="1D0924B1"/>
    <w:rsid w:val="1D0B425E"/>
    <w:rsid w:val="1D245888"/>
    <w:rsid w:val="1D3A1AFC"/>
    <w:rsid w:val="1D3A5FA0"/>
    <w:rsid w:val="1D3F35B6"/>
    <w:rsid w:val="1D4110DC"/>
    <w:rsid w:val="1D444728"/>
    <w:rsid w:val="1D4A3A19"/>
    <w:rsid w:val="1D4A5B59"/>
    <w:rsid w:val="1D50131F"/>
    <w:rsid w:val="1D6645D6"/>
    <w:rsid w:val="1D7023BC"/>
    <w:rsid w:val="1D7A5A02"/>
    <w:rsid w:val="1D7F2BF3"/>
    <w:rsid w:val="1D845CE8"/>
    <w:rsid w:val="1D89551A"/>
    <w:rsid w:val="1D8B67FB"/>
    <w:rsid w:val="1DA1442D"/>
    <w:rsid w:val="1DA23326"/>
    <w:rsid w:val="1DAB37E2"/>
    <w:rsid w:val="1DB573D4"/>
    <w:rsid w:val="1DBB1717"/>
    <w:rsid w:val="1DBE2069"/>
    <w:rsid w:val="1DC77437"/>
    <w:rsid w:val="1DCB2F5B"/>
    <w:rsid w:val="1DDC7057"/>
    <w:rsid w:val="1DEB7D24"/>
    <w:rsid w:val="1E0565AE"/>
    <w:rsid w:val="1E1124CF"/>
    <w:rsid w:val="1E192DF2"/>
    <w:rsid w:val="1E1C5753"/>
    <w:rsid w:val="1E1E31CB"/>
    <w:rsid w:val="1E221057"/>
    <w:rsid w:val="1E23318F"/>
    <w:rsid w:val="1E2D4F19"/>
    <w:rsid w:val="1E3C6829"/>
    <w:rsid w:val="1E3F1E9B"/>
    <w:rsid w:val="1E450758"/>
    <w:rsid w:val="1E4918BD"/>
    <w:rsid w:val="1E5D5BA1"/>
    <w:rsid w:val="1E606CD7"/>
    <w:rsid w:val="1E625188"/>
    <w:rsid w:val="1E635A1F"/>
    <w:rsid w:val="1E6B7566"/>
    <w:rsid w:val="1E711282"/>
    <w:rsid w:val="1E783EF3"/>
    <w:rsid w:val="1E82375A"/>
    <w:rsid w:val="1E8528CF"/>
    <w:rsid w:val="1E890F8D"/>
    <w:rsid w:val="1E8A0C48"/>
    <w:rsid w:val="1E903CEC"/>
    <w:rsid w:val="1E91399D"/>
    <w:rsid w:val="1E9439C2"/>
    <w:rsid w:val="1E957931"/>
    <w:rsid w:val="1E9F0ACC"/>
    <w:rsid w:val="1EA37B56"/>
    <w:rsid w:val="1ECE699F"/>
    <w:rsid w:val="1ECE79DD"/>
    <w:rsid w:val="1ED94129"/>
    <w:rsid w:val="1EE77A61"/>
    <w:rsid w:val="1EFA20E0"/>
    <w:rsid w:val="1EFD2393"/>
    <w:rsid w:val="1F065EF2"/>
    <w:rsid w:val="1F110314"/>
    <w:rsid w:val="1F170F70"/>
    <w:rsid w:val="1F2C36C6"/>
    <w:rsid w:val="1F2E64B0"/>
    <w:rsid w:val="1F331BA6"/>
    <w:rsid w:val="1F3360E0"/>
    <w:rsid w:val="1F38206B"/>
    <w:rsid w:val="1F3B1407"/>
    <w:rsid w:val="1F404DD2"/>
    <w:rsid w:val="1F500E1F"/>
    <w:rsid w:val="1F5A7246"/>
    <w:rsid w:val="1F5C21FD"/>
    <w:rsid w:val="1F5F5356"/>
    <w:rsid w:val="1F6B6B09"/>
    <w:rsid w:val="1F6F3700"/>
    <w:rsid w:val="1F78274B"/>
    <w:rsid w:val="1F7D3F22"/>
    <w:rsid w:val="1F7E38EF"/>
    <w:rsid w:val="1F937D4E"/>
    <w:rsid w:val="1F9B1C69"/>
    <w:rsid w:val="1FB767F6"/>
    <w:rsid w:val="1FC72E8E"/>
    <w:rsid w:val="1FD03E69"/>
    <w:rsid w:val="1FD06EA3"/>
    <w:rsid w:val="1FEE56C8"/>
    <w:rsid w:val="1FF044EA"/>
    <w:rsid w:val="1FF74D8F"/>
    <w:rsid w:val="2011123A"/>
    <w:rsid w:val="20142AD8"/>
    <w:rsid w:val="202B4E35"/>
    <w:rsid w:val="2040567B"/>
    <w:rsid w:val="2043516B"/>
    <w:rsid w:val="204F1D62"/>
    <w:rsid w:val="204F50E3"/>
    <w:rsid w:val="20531831"/>
    <w:rsid w:val="206B09C9"/>
    <w:rsid w:val="20740615"/>
    <w:rsid w:val="20791657"/>
    <w:rsid w:val="207E61A3"/>
    <w:rsid w:val="208C266E"/>
    <w:rsid w:val="208C3A33"/>
    <w:rsid w:val="20A7394C"/>
    <w:rsid w:val="20B028B9"/>
    <w:rsid w:val="20B82C45"/>
    <w:rsid w:val="20B83463"/>
    <w:rsid w:val="20C130C2"/>
    <w:rsid w:val="20CC30EE"/>
    <w:rsid w:val="20D47DCE"/>
    <w:rsid w:val="20D51E07"/>
    <w:rsid w:val="20D9164A"/>
    <w:rsid w:val="20DA5073"/>
    <w:rsid w:val="20DA5ACF"/>
    <w:rsid w:val="20E22BD6"/>
    <w:rsid w:val="20F82C6C"/>
    <w:rsid w:val="20FA0A99"/>
    <w:rsid w:val="20FE18B0"/>
    <w:rsid w:val="2107361C"/>
    <w:rsid w:val="210E6EDF"/>
    <w:rsid w:val="211C60E8"/>
    <w:rsid w:val="21283337"/>
    <w:rsid w:val="212925B3"/>
    <w:rsid w:val="212A1E87"/>
    <w:rsid w:val="212E1977"/>
    <w:rsid w:val="213673FE"/>
    <w:rsid w:val="214E5B76"/>
    <w:rsid w:val="215267DE"/>
    <w:rsid w:val="215B0293"/>
    <w:rsid w:val="21676E41"/>
    <w:rsid w:val="216D0BA0"/>
    <w:rsid w:val="217537B9"/>
    <w:rsid w:val="2188552B"/>
    <w:rsid w:val="21902632"/>
    <w:rsid w:val="21924322"/>
    <w:rsid w:val="21964C43"/>
    <w:rsid w:val="219E4D4F"/>
    <w:rsid w:val="21A13B19"/>
    <w:rsid w:val="21AF0D0A"/>
    <w:rsid w:val="21CC6CC6"/>
    <w:rsid w:val="21D0786F"/>
    <w:rsid w:val="21DF2D22"/>
    <w:rsid w:val="21E408A9"/>
    <w:rsid w:val="21EA6F2F"/>
    <w:rsid w:val="21EC1864"/>
    <w:rsid w:val="21EF3EC7"/>
    <w:rsid w:val="21F204F5"/>
    <w:rsid w:val="21F430C2"/>
    <w:rsid w:val="21FF50C2"/>
    <w:rsid w:val="220041D9"/>
    <w:rsid w:val="220A5F40"/>
    <w:rsid w:val="220B1D86"/>
    <w:rsid w:val="220B3CA8"/>
    <w:rsid w:val="22123047"/>
    <w:rsid w:val="2219330B"/>
    <w:rsid w:val="22361059"/>
    <w:rsid w:val="2238523E"/>
    <w:rsid w:val="22435553"/>
    <w:rsid w:val="225455D2"/>
    <w:rsid w:val="227331B1"/>
    <w:rsid w:val="22775899"/>
    <w:rsid w:val="227D2BB6"/>
    <w:rsid w:val="22A53EBB"/>
    <w:rsid w:val="22B33D10"/>
    <w:rsid w:val="22B57049"/>
    <w:rsid w:val="230633CA"/>
    <w:rsid w:val="230C1041"/>
    <w:rsid w:val="230F0CBA"/>
    <w:rsid w:val="23163D80"/>
    <w:rsid w:val="231D7E1D"/>
    <w:rsid w:val="232667AF"/>
    <w:rsid w:val="232C1EE7"/>
    <w:rsid w:val="234207E5"/>
    <w:rsid w:val="23494ECF"/>
    <w:rsid w:val="234E4979"/>
    <w:rsid w:val="2352435A"/>
    <w:rsid w:val="23542AC1"/>
    <w:rsid w:val="236203FB"/>
    <w:rsid w:val="23645B24"/>
    <w:rsid w:val="236D42CA"/>
    <w:rsid w:val="2374336A"/>
    <w:rsid w:val="237613B4"/>
    <w:rsid w:val="238910E7"/>
    <w:rsid w:val="239A1546"/>
    <w:rsid w:val="23B1211E"/>
    <w:rsid w:val="23D039F6"/>
    <w:rsid w:val="23D20CE0"/>
    <w:rsid w:val="23D51059"/>
    <w:rsid w:val="23DB4530"/>
    <w:rsid w:val="23EB7FF4"/>
    <w:rsid w:val="23F43032"/>
    <w:rsid w:val="23FA133C"/>
    <w:rsid w:val="240B5FA0"/>
    <w:rsid w:val="24100849"/>
    <w:rsid w:val="24116CB2"/>
    <w:rsid w:val="24122984"/>
    <w:rsid w:val="24194B61"/>
    <w:rsid w:val="242F6132"/>
    <w:rsid w:val="24336E73"/>
    <w:rsid w:val="243B6690"/>
    <w:rsid w:val="24477478"/>
    <w:rsid w:val="244839EA"/>
    <w:rsid w:val="244C4E24"/>
    <w:rsid w:val="245C4A4D"/>
    <w:rsid w:val="24635A19"/>
    <w:rsid w:val="24780534"/>
    <w:rsid w:val="2480073C"/>
    <w:rsid w:val="24846FD6"/>
    <w:rsid w:val="24850BE6"/>
    <w:rsid w:val="24B16B47"/>
    <w:rsid w:val="24C778B4"/>
    <w:rsid w:val="24D25EE9"/>
    <w:rsid w:val="24D32F62"/>
    <w:rsid w:val="24D40A88"/>
    <w:rsid w:val="24D61CD0"/>
    <w:rsid w:val="24DC16EA"/>
    <w:rsid w:val="24E64719"/>
    <w:rsid w:val="24EE3D24"/>
    <w:rsid w:val="24F030F2"/>
    <w:rsid w:val="250467D9"/>
    <w:rsid w:val="250A44A9"/>
    <w:rsid w:val="250A5253"/>
    <w:rsid w:val="25122D5D"/>
    <w:rsid w:val="251D3FC0"/>
    <w:rsid w:val="25254322"/>
    <w:rsid w:val="25261647"/>
    <w:rsid w:val="25275183"/>
    <w:rsid w:val="25357D1C"/>
    <w:rsid w:val="25381CE0"/>
    <w:rsid w:val="25396321"/>
    <w:rsid w:val="253B0B07"/>
    <w:rsid w:val="253D2630"/>
    <w:rsid w:val="25467197"/>
    <w:rsid w:val="254774AC"/>
    <w:rsid w:val="25560250"/>
    <w:rsid w:val="255761C5"/>
    <w:rsid w:val="2563762C"/>
    <w:rsid w:val="2569105A"/>
    <w:rsid w:val="257007B0"/>
    <w:rsid w:val="257D2ECD"/>
    <w:rsid w:val="25821466"/>
    <w:rsid w:val="25842805"/>
    <w:rsid w:val="25873D4C"/>
    <w:rsid w:val="259322B4"/>
    <w:rsid w:val="25965391"/>
    <w:rsid w:val="25A53853"/>
    <w:rsid w:val="25A6572B"/>
    <w:rsid w:val="25AE3087"/>
    <w:rsid w:val="25AF5988"/>
    <w:rsid w:val="25BC6855"/>
    <w:rsid w:val="25C52C92"/>
    <w:rsid w:val="25DA526E"/>
    <w:rsid w:val="25EC2454"/>
    <w:rsid w:val="25EE5B79"/>
    <w:rsid w:val="26197F8E"/>
    <w:rsid w:val="261E6BA2"/>
    <w:rsid w:val="262F7F34"/>
    <w:rsid w:val="263712CE"/>
    <w:rsid w:val="26385E8A"/>
    <w:rsid w:val="263E265D"/>
    <w:rsid w:val="26607A60"/>
    <w:rsid w:val="266D4CF0"/>
    <w:rsid w:val="26773DC1"/>
    <w:rsid w:val="268550BF"/>
    <w:rsid w:val="268931AA"/>
    <w:rsid w:val="269F41B3"/>
    <w:rsid w:val="26A175D1"/>
    <w:rsid w:val="26B90BBD"/>
    <w:rsid w:val="26C443E1"/>
    <w:rsid w:val="26CD1C32"/>
    <w:rsid w:val="26D0702D"/>
    <w:rsid w:val="26DB30B5"/>
    <w:rsid w:val="26DD00C8"/>
    <w:rsid w:val="26DF742E"/>
    <w:rsid w:val="26F074B1"/>
    <w:rsid w:val="270A253F"/>
    <w:rsid w:val="270C4FC5"/>
    <w:rsid w:val="27127645"/>
    <w:rsid w:val="272301A4"/>
    <w:rsid w:val="27244E5A"/>
    <w:rsid w:val="273121F9"/>
    <w:rsid w:val="27354EC1"/>
    <w:rsid w:val="273B34AE"/>
    <w:rsid w:val="274C02A0"/>
    <w:rsid w:val="274E0EEF"/>
    <w:rsid w:val="2755492F"/>
    <w:rsid w:val="27555BC1"/>
    <w:rsid w:val="27565140"/>
    <w:rsid w:val="276F5D75"/>
    <w:rsid w:val="276F6846"/>
    <w:rsid w:val="278D3D61"/>
    <w:rsid w:val="2791112C"/>
    <w:rsid w:val="279679E3"/>
    <w:rsid w:val="27BA131D"/>
    <w:rsid w:val="27BD1CA7"/>
    <w:rsid w:val="27BD3EC2"/>
    <w:rsid w:val="27C313CD"/>
    <w:rsid w:val="27C61578"/>
    <w:rsid w:val="27CB7F20"/>
    <w:rsid w:val="27DB6949"/>
    <w:rsid w:val="27DD762A"/>
    <w:rsid w:val="27ED7B74"/>
    <w:rsid w:val="27F92A22"/>
    <w:rsid w:val="27FB46DA"/>
    <w:rsid w:val="28275AF0"/>
    <w:rsid w:val="283D6944"/>
    <w:rsid w:val="28427C92"/>
    <w:rsid w:val="28475108"/>
    <w:rsid w:val="284F17D4"/>
    <w:rsid w:val="28575047"/>
    <w:rsid w:val="28745BEF"/>
    <w:rsid w:val="2880617F"/>
    <w:rsid w:val="28817483"/>
    <w:rsid w:val="288307FB"/>
    <w:rsid w:val="288376B0"/>
    <w:rsid w:val="288E20B9"/>
    <w:rsid w:val="28B27CA3"/>
    <w:rsid w:val="28B62261"/>
    <w:rsid w:val="28C76B60"/>
    <w:rsid w:val="28DD7E7C"/>
    <w:rsid w:val="28E61013"/>
    <w:rsid w:val="28F12CF2"/>
    <w:rsid w:val="28F827CB"/>
    <w:rsid w:val="28F90ABD"/>
    <w:rsid w:val="28FB2A87"/>
    <w:rsid w:val="29143B49"/>
    <w:rsid w:val="29290B96"/>
    <w:rsid w:val="292B0388"/>
    <w:rsid w:val="292E2EDE"/>
    <w:rsid w:val="293F5790"/>
    <w:rsid w:val="29512576"/>
    <w:rsid w:val="29514455"/>
    <w:rsid w:val="29591B52"/>
    <w:rsid w:val="29593727"/>
    <w:rsid w:val="296070AC"/>
    <w:rsid w:val="29696464"/>
    <w:rsid w:val="297445E7"/>
    <w:rsid w:val="297F67EF"/>
    <w:rsid w:val="298C36DF"/>
    <w:rsid w:val="299010C2"/>
    <w:rsid w:val="299041AF"/>
    <w:rsid w:val="29997556"/>
    <w:rsid w:val="29AD4EDD"/>
    <w:rsid w:val="29CC761E"/>
    <w:rsid w:val="29DE0E87"/>
    <w:rsid w:val="29E05449"/>
    <w:rsid w:val="29E24ED4"/>
    <w:rsid w:val="29EE3795"/>
    <w:rsid w:val="29F13DA9"/>
    <w:rsid w:val="2A056A4F"/>
    <w:rsid w:val="2A120B13"/>
    <w:rsid w:val="2A390B59"/>
    <w:rsid w:val="2A3E73D9"/>
    <w:rsid w:val="2A502A30"/>
    <w:rsid w:val="2A502FEB"/>
    <w:rsid w:val="2A596352"/>
    <w:rsid w:val="2A71692E"/>
    <w:rsid w:val="2A83594F"/>
    <w:rsid w:val="2A8A2271"/>
    <w:rsid w:val="2A8B37C2"/>
    <w:rsid w:val="2AB71864"/>
    <w:rsid w:val="2ABA427C"/>
    <w:rsid w:val="2AC633CF"/>
    <w:rsid w:val="2AD551AF"/>
    <w:rsid w:val="2AD9612A"/>
    <w:rsid w:val="2AE24705"/>
    <w:rsid w:val="2AF23A16"/>
    <w:rsid w:val="2AF75AE0"/>
    <w:rsid w:val="2AF91248"/>
    <w:rsid w:val="2B0100FD"/>
    <w:rsid w:val="2B036554"/>
    <w:rsid w:val="2B081734"/>
    <w:rsid w:val="2B09317D"/>
    <w:rsid w:val="2B0A2EA5"/>
    <w:rsid w:val="2B116592"/>
    <w:rsid w:val="2B181536"/>
    <w:rsid w:val="2B2838DB"/>
    <w:rsid w:val="2B2C6BA2"/>
    <w:rsid w:val="2B341EF0"/>
    <w:rsid w:val="2B3D4992"/>
    <w:rsid w:val="2B3D7387"/>
    <w:rsid w:val="2B544339"/>
    <w:rsid w:val="2B5B15BB"/>
    <w:rsid w:val="2B634FBD"/>
    <w:rsid w:val="2B69638A"/>
    <w:rsid w:val="2B764647"/>
    <w:rsid w:val="2B830CED"/>
    <w:rsid w:val="2B842931"/>
    <w:rsid w:val="2B842DE8"/>
    <w:rsid w:val="2B8815F9"/>
    <w:rsid w:val="2B8F1669"/>
    <w:rsid w:val="2B960AC3"/>
    <w:rsid w:val="2B9C3BC7"/>
    <w:rsid w:val="2BA75E7D"/>
    <w:rsid w:val="2BAE2033"/>
    <w:rsid w:val="2BBD4024"/>
    <w:rsid w:val="2BCA6741"/>
    <w:rsid w:val="2BDD1F05"/>
    <w:rsid w:val="2BDF043E"/>
    <w:rsid w:val="2BEE68D3"/>
    <w:rsid w:val="2C01033F"/>
    <w:rsid w:val="2C091017"/>
    <w:rsid w:val="2C093EC7"/>
    <w:rsid w:val="2C16138C"/>
    <w:rsid w:val="2C181352"/>
    <w:rsid w:val="2C1D1E6D"/>
    <w:rsid w:val="2C2045B2"/>
    <w:rsid w:val="2C210A56"/>
    <w:rsid w:val="2C22657D"/>
    <w:rsid w:val="2C275941"/>
    <w:rsid w:val="2C2E0D4E"/>
    <w:rsid w:val="2C2E1BA9"/>
    <w:rsid w:val="2C31056E"/>
    <w:rsid w:val="2C493B09"/>
    <w:rsid w:val="2C5A7AC4"/>
    <w:rsid w:val="2C66290D"/>
    <w:rsid w:val="2C6B720B"/>
    <w:rsid w:val="2C703257"/>
    <w:rsid w:val="2C710EE2"/>
    <w:rsid w:val="2C797E8C"/>
    <w:rsid w:val="2C895EB5"/>
    <w:rsid w:val="2C981092"/>
    <w:rsid w:val="2C9D3A89"/>
    <w:rsid w:val="2CB2345D"/>
    <w:rsid w:val="2CB92402"/>
    <w:rsid w:val="2CC3566A"/>
    <w:rsid w:val="2CEC5E40"/>
    <w:rsid w:val="2D0B6A5D"/>
    <w:rsid w:val="2D11433C"/>
    <w:rsid w:val="2D123224"/>
    <w:rsid w:val="2D2154E0"/>
    <w:rsid w:val="2D2D1B91"/>
    <w:rsid w:val="2D3043FB"/>
    <w:rsid w:val="2D455999"/>
    <w:rsid w:val="2D4C0AA8"/>
    <w:rsid w:val="2D560DCD"/>
    <w:rsid w:val="2D8A7EAC"/>
    <w:rsid w:val="2DA326E8"/>
    <w:rsid w:val="2DBB27E5"/>
    <w:rsid w:val="2DC1265E"/>
    <w:rsid w:val="2DCC46A5"/>
    <w:rsid w:val="2DD60AAE"/>
    <w:rsid w:val="2DEA3ADD"/>
    <w:rsid w:val="2DEC6E42"/>
    <w:rsid w:val="2E060D0E"/>
    <w:rsid w:val="2E0C4DEE"/>
    <w:rsid w:val="2E144526"/>
    <w:rsid w:val="2E1562CD"/>
    <w:rsid w:val="2E2111E7"/>
    <w:rsid w:val="2E230AA6"/>
    <w:rsid w:val="2E262354"/>
    <w:rsid w:val="2E2843FB"/>
    <w:rsid w:val="2E294772"/>
    <w:rsid w:val="2E2E799A"/>
    <w:rsid w:val="2E3063D5"/>
    <w:rsid w:val="2E336C50"/>
    <w:rsid w:val="2E400F3C"/>
    <w:rsid w:val="2E4B2482"/>
    <w:rsid w:val="2E57625B"/>
    <w:rsid w:val="2E5B0E2E"/>
    <w:rsid w:val="2E6279C6"/>
    <w:rsid w:val="2E635A59"/>
    <w:rsid w:val="2EAA5F11"/>
    <w:rsid w:val="2EB72AA3"/>
    <w:rsid w:val="2EC600FF"/>
    <w:rsid w:val="2EC639EA"/>
    <w:rsid w:val="2EC733AD"/>
    <w:rsid w:val="2ECB4CA9"/>
    <w:rsid w:val="2ED27DE6"/>
    <w:rsid w:val="2EE45D6B"/>
    <w:rsid w:val="2EEE2BA1"/>
    <w:rsid w:val="2EF16F7E"/>
    <w:rsid w:val="2EFE507F"/>
    <w:rsid w:val="2EFF2BA5"/>
    <w:rsid w:val="2F0C4C23"/>
    <w:rsid w:val="2F1C5505"/>
    <w:rsid w:val="2F394689"/>
    <w:rsid w:val="2F3B0811"/>
    <w:rsid w:val="2F594288"/>
    <w:rsid w:val="2F6110DD"/>
    <w:rsid w:val="2F62059B"/>
    <w:rsid w:val="2F66436B"/>
    <w:rsid w:val="2F6856D6"/>
    <w:rsid w:val="2F75131F"/>
    <w:rsid w:val="2F806FFC"/>
    <w:rsid w:val="2F843AFF"/>
    <w:rsid w:val="2F8512FC"/>
    <w:rsid w:val="2F856F8B"/>
    <w:rsid w:val="2F987F32"/>
    <w:rsid w:val="2FA86D99"/>
    <w:rsid w:val="2FAD5F0B"/>
    <w:rsid w:val="2FB120F1"/>
    <w:rsid w:val="2FBA5EDC"/>
    <w:rsid w:val="2FBE78D3"/>
    <w:rsid w:val="2FC736C3"/>
    <w:rsid w:val="2FCD3757"/>
    <w:rsid w:val="2FCF25FE"/>
    <w:rsid w:val="2FDB0F1C"/>
    <w:rsid w:val="2FDE27BA"/>
    <w:rsid w:val="2FE74BAE"/>
    <w:rsid w:val="2FF540FA"/>
    <w:rsid w:val="2FF54C06"/>
    <w:rsid w:val="2FFE2E5D"/>
    <w:rsid w:val="30003A4C"/>
    <w:rsid w:val="30030473"/>
    <w:rsid w:val="30040A11"/>
    <w:rsid w:val="30146793"/>
    <w:rsid w:val="30147BBD"/>
    <w:rsid w:val="301B7CA8"/>
    <w:rsid w:val="30466CDD"/>
    <w:rsid w:val="305731A1"/>
    <w:rsid w:val="306F0A59"/>
    <w:rsid w:val="3082680F"/>
    <w:rsid w:val="309243C0"/>
    <w:rsid w:val="309E140D"/>
    <w:rsid w:val="30A457B2"/>
    <w:rsid w:val="30AD45FE"/>
    <w:rsid w:val="30B52A83"/>
    <w:rsid w:val="30B755D1"/>
    <w:rsid w:val="30C9346B"/>
    <w:rsid w:val="30C95EA8"/>
    <w:rsid w:val="30E402A4"/>
    <w:rsid w:val="30E7256B"/>
    <w:rsid w:val="31012C04"/>
    <w:rsid w:val="310668FC"/>
    <w:rsid w:val="310E70CF"/>
    <w:rsid w:val="31113F0F"/>
    <w:rsid w:val="31327262"/>
    <w:rsid w:val="31375948"/>
    <w:rsid w:val="313F4FFA"/>
    <w:rsid w:val="31402948"/>
    <w:rsid w:val="314760EE"/>
    <w:rsid w:val="315076E8"/>
    <w:rsid w:val="315A745C"/>
    <w:rsid w:val="315B61CA"/>
    <w:rsid w:val="31634B42"/>
    <w:rsid w:val="317319DE"/>
    <w:rsid w:val="319A665C"/>
    <w:rsid w:val="31A72A29"/>
    <w:rsid w:val="31AD2471"/>
    <w:rsid w:val="31AD7BE9"/>
    <w:rsid w:val="31B50B0C"/>
    <w:rsid w:val="31C07AE8"/>
    <w:rsid w:val="31C75008"/>
    <w:rsid w:val="31D50D66"/>
    <w:rsid w:val="31DA4405"/>
    <w:rsid w:val="31DB16A7"/>
    <w:rsid w:val="31F2450F"/>
    <w:rsid w:val="32087FC3"/>
    <w:rsid w:val="32143204"/>
    <w:rsid w:val="32186458"/>
    <w:rsid w:val="321E77E6"/>
    <w:rsid w:val="321F3CD8"/>
    <w:rsid w:val="32236288"/>
    <w:rsid w:val="322D1335"/>
    <w:rsid w:val="32544FB6"/>
    <w:rsid w:val="3260443B"/>
    <w:rsid w:val="32672F3B"/>
    <w:rsid w:val="32676A97"/>
    <w:rsid w:val="32751B8C"/>
    <w:rsid w:val="327A1535"/>
    <w:rsid w:val="327F76D8"/>
    <w:rsid w:val="32851613"/>
    <w:rsid w:val="3288246C"/>
    <w:rsid w:val="32926B0B"/>
    <w:rsid w:val="329454D3"/>
    <w:rsid w:val="32A63A63"/>
    <w:rsid w:val="32A95302"/>
    <w:rsid w:val="32AF0265"/>
    <w:rsid w:val="32BE5501"/>
    <w:rsid w:val="32D47F84"/>
    <w:rsid w:val="32D87995"/>
    <w:rsid w:val="32D92259"/>
    <w:rsid w:val="32D92CDB"/>
    <w:rsid w:val="32DA6D7E"/>
    <w:rsid w:val="32DB1C5F"/>
    <w:rsid w:val="32EA681C"/>
    <w:rsid w:val="32EC5C70"/>
    <w:rsid w:val="32EE1841"/>
    <w:rsid w:val="32F675A7"/>
    <w:rsid w:val="32FF4F22"/>
    <w:rsid w:val="33014A95"/>
    <w:rsid w:val="33022C64"/>
    <w:rsid w:val="3308789D"/>
    <w:rsid w:val="33095DA0"/>
    <w:rsid w:val="331462D9"/>
    <w:rsid w:val="331A61FF"/>
    <w:rsid w:val="331D2CEA"/>
    <w:rsid w:val="332B3F69"/>
    <w:rsid w:val="332C69B5"/>
    <w:rsid w:val="3341340F"/>
    <w:rsid w:val="33460345"/>
    <w:rsid w:val="33514C1C"/>
    <w:rsid w:val="33580FD6"/>
    <w:rsid w:val="335C57D6"/>
    <w:rsid w:val="33812D41"/>
    <w:rsid w:val="33835B53"/>
    <w:rsid w:val="33941B0E"/>
    <w:rsid w:val="33B51A84"/>
    <w:rsid w:val="33B55D30"/>
    <w:rsid w:val="33C42EFC"/>
    <w:rsid w:val="33C61EE3"/>
    <w:rsid w:val="33CC5059"/>
    <w:rsid w:val="33D068BE"/>
    <w:rsid w:val="33D72BA4"/>
    <w:rsid w:val="33E915F3"/>
    <w:rsid w:val="33F14E3F"/>
    <w:rsid w:val="33F43719"/>
    <w:rsid w:val="33FE6037"/>
    <w:rsid w:val="34002C60"/>
    <w:rsid w:val="34224B16"/>
    <w:rsid w:val="34226AFD"/>
    <w:rsid w:val="343017E0"/>
    <w:rsid w:val="344057F2"/>
    <w:rsid w:val="344175CA"/>
    <w:rsid w:val="34470F4D"/>
    <w:rsid w:val="344D7F0F"/>
    <w:rsid w:val="3458039D"/>
    <w:rsid w:val="34593FB8"/>
    <w:rsid w:val="345A3198"/>
    <w:rsid w:val="34757B91"/>
    <w:rsid w:val="34790259"/>
    <w:rsid w:val="347D07F4"/>
    <w:rsid w:val="347E1FD2"/>
    <w:rsid w:val="34833825"/>
    <w:rsid w:val="348558FB"/>
    <w:rsid w:val="3490711A"/>
    <w:rsid w:val="34A246FE"/>
    <w:rsid w:val="34AE2A73"/>
    <w:rsid w:val="34BD32E6"/>
    <w:rsid w:val="34C40D15"/>
    <w:rsid w:val="34C617CF"/>
    <w:rsid w:val="34CD748C"/>
    <w:rsid w:val="34DB5183"/>
    <w:rsid w:val="34DC3ECC"/>
    <w:rsid w:val="34DD7416"/>
    <w:rsid w:val="34E24AFB"/>
    <w:rsid w:val="34E54528"/>
    <w:rsid w:val="34EB675E"/>
    <w:rsid w:val="350902DA"/>
    <w:rsid w:val="35132F06"/>
    <w:rsid w:val="35144DC0"/>
    <w:rsid w:val="3518051D"/>
    <w:rsid w:val="352132DA"/>
    <w:rsid w:val="35284C04"/>
    <w:rsid w:val="35310C1F"/>
    <w:rsid w:val="35397B62"/>
    <w:rsid w:val="35414F6E"/>
    <w:rsid w:val="354D5B85"/>
    <w:rsid w:val="35707279"/>
    <w:rsid w:val="3578720D"/>
    <w:rsid w:val="357D4824"/>
    <w:rsid w:val="358160C2"/>
    <w:rsid w:val="35902DB7"/>
    <w:rsid w:val="35A27F45"/>
    <w:rsid w:val="35AD1CD3"/>
    <w:rsid w:val="35AF0108"/>
    <w:rsid w:val="35B12CA3"/>
    <w:rsid w:val="35C169CA"/>
    <w:rsid w:val="35CA69B5"/>
    <w:rsid w:val="35D346B8"/>
    <w:rsid w:val="35F13CF7"/>
    <w:rsid w:val="36120683"/>
    <w:rsid w:val="361909F0"/>
    <w:rsid w:val="36294A38"/>
    <w:rsid w:val="362A49AB"/>
    <w:rsid w:val="362B3081"/>
    <w:rsid w:val="36326BC5"/>
    <w:rsid w:val="36402219"/>
    <w:rsid w:val="36407D2B"/>
    <w:rsid w:val="3649562D"/>
    <w:rsid w:val="36631BE4"/>
    <w:rsid w:val="36747A1D"/>
    <w:rsid w:val="36792EB9"/>
    <w:rsid w:val="367D0F7F"/>
    <w:rsid w:val="368A5F83"/>
    <w:rsid w:val="368D6C58"/>
    <w:rsid w:val="368E703A"/>
    <w:rsid w:val="36C4095C"/>
    <w:rsid w:val="36D64360"/>
    <w:rsid w:val="36E515F1"/>
    <w:rsid w:val="36E82F71"/>
    <w:rsid w:val="36E903C3"/>
    <w:rsid w:val="36FB1EA4"/>
    <w:rsid w:val="370944C7"/>
    <w:rsid w:val="370C7B03"/>
    <w:rsid w:val="37214898"/>
    <w:rsid w:val="37255FFD"/>
    <w:rsid w:val="37323B03"/>
    <w:rsid w:val="374019EB"/>
    <w:rsid w:val="3747333B"/>
    <w:rsid w:val="37494B6F"/>
    <w:rsid w:val="374A4436"/>
    <w:rsid w:val="374A6F7B"/>
    <w:rsid w:val="374C6AA7"/>
    <w:rsid w:val="374E2388"/>
    <w:rsid w:val="375430B6"/>
    <w:rsid w:val="377048B9"/>
    <w:rsid w:val="3776710C"/>
    <w:rsid w:val="37770C22"/>
    <w:rsid w:val="379540A7"/>
    <w:rsid w:val="379C34DB"/>
    <w:rsid w:val="37A662B4"/>
    <w:rsid w:val="37AC319E"/>
    <w:rsid w:val="37C96CE5"/>
    <w:rsid w:val="37CA566B"/>
    <w:rsid w:val="37D2672A"/>
    <w:rsid w:val="37D3697D"/>
    <w:rsid w:val="37E172EC"/>
    <w:rsid w:val="37E623B5"/>
    <w:rsid w:val="37E82428"/>
    <w:rsid w:val="37E87724"/>
    <w:rsid w:val="37F222D9"/>
    <w:rsid w:val="37FA50C2"/>
    <w:rsid w:val="38003798"/>
    <w:rsid w:val="380803DD"/>
    <w:rsid w:val="38080D1C"/>
    <w:rsid w:val="380D40C9"/>
    <w:rsid w:val="380E46BF"/>
    <w:rsid w:val="38170F5F"/>
    <w:rsid w:val="38194CD8"/>
    <w:rsid w:val="38234CA6"/>
    <w:rsid w:val="38241F15"/>
    <w:rsid w:val="38292433"/>
    <w:rsid w:val="38313807"/>
    <w:rsid w:val="383832E4"/>
    <w:rsid w:val="38412DA1"/>
    <w:rsid w:val="384A512D"/>
    <w:rsid w:val="3853724F"/>
    <w:rsid w:val="385F708A"/>
    <w:rsid w:val="386341A5"/>
    <w:rsid w:val="387A2D4D"/>
    <w:rsid w:val="389A08FE"/>
    <w:rsid w:val="38A241A6"/>
    <w:rsid w:val="38A464F9"/>
    <w:rsid w:val="38A528A2"/>
    <w:rsid w:val="38A677FE"/>
    <w:rsid w:val="38B14F10"/>
    <w:rsid w:val="38BF2926"/>
    <w:rsid w:val="38D4441C"/>
    <w:rsid w:val="38E52E0C"/>
    <w:rsid w:val="38FA30DF"/>
    <w:rsid w:val="39046EC4"/>
    <w:rsid w:val="390908A8"/>
    <w:rsid w:val="391060DB"/>
    <w:rsid w:val="391B25BA"/>
    <w:rsid w:val="393950DD"/>
    <w:rsid w:val="393B2A2C"/>
    <w:rsid w:val="39462F2A"/>
    <w:rsid w:val="394F0285"/>
    <w:rsid w:val="3954386D"/>
    <w:rsid w:val="39564958"/>
    <w:rsid w:val="395A201B"/>
    <w:rsid w:val="395D6E46"/>
    <w:rsid w:val="396C150B"/>
    <w:rsid w:val="39730417"/>
    <w:rsid w:val="399034BF"/>
    <w:rsid w:val="399D7242"/>
    <w:rsid w:val="39A15CD6"/>
    <w:rsid w:val="39A60AF6"/>
    <w:rsid w:val="39AF6EAD"/>
    <w:rsid w:val="39B17496"/>
    <w:rsid w:val="39B506F2"/>
    <w:rsid w:val="39C03197"/>
    <w:rsid w:val="39C66799"/>
    <w:rsid w:val="39E03482"/>
    <w:rsid w:val="39F107F1"/>
    <w:rsid w:val="3A021CB9"/>
    <w:rsid w:val="3A074E84"/>
    <w:rsid w:val="3A082F84"/>
    <w:rsid w:val="3A234D7B"/>
    <w:rsid w:val="3A3A1AE8"/>
    <w:rsid w:val="3A3B7187"/>
    <w:rsid w:val="3A4A73CA"/>
    <w:rsid w:val="3A667F7C"/>
    <w:rsid w:val="3A6F38E4"/>
    <w:rsid w:val="3A726921"/>
    <w:rsid w:val="3A7D53E1"/>
    <w:rsid w:val="3A87079F"/>
    <w:rsid w:val="3A8E29D3"/>
    <w:rsid w:val="3A903883"/>
    <w:rsid w:val="3A9E3272"/>
    <w:rsid w:val="3AA50161"/>
    <w:rsid w:val="3AC0143A"/>
    <w:rsid w:val="3AD249E7"/>
    <w:rsid w:val="3ADF3C25"/>
    <w:rsid w:val="3AE11DE1"/>
    <w:rsid w:val="3AE16E49"/>
    <w:rsid w:val="3AFA0DF0"/>
    <w:rsid w:val="3B0F5F1E"/>
    <w:rsid w:val="3B1039F4"/>
    <w:rsid w:val="3B217306"/>
    <w:rsid w:val="3B293484"/>
    <w:rsid w:val="3B2F1426"/>
    <w:rsid w:val="3B381D4F"/>
    <w:rsid w:val="3B433CCB"/>
    <w:rsid w:val="3B4A3779"/>
    <w:rsid w:val="3B5953EB"/>
    <w:rsid w:val="3B69348E"/>
    <w:rsid w:val="3B6E698C"/>
    <w:rsid w:val="3B7874E6"/>
    <w:rsid w:val="3B7B4311"/>
    <w:rsid w:val="3B8E0546"/>
    <w:rsid w:val="3B92543E"/>
    <w:rsid w:val="3B997AE8"/>
    <w:rsid w:val="3B9A4359"/>
    <w:rsid w:val="3B9D79CE"/>
    <w:rsid w:val="3BA96B71"/>
    <w:rsid w:val="3BAB20EB"/>
    <w:rsid w:val="3BAC1821"/>
    <w:rsid w:val="3BAC5E63"/>
    <w:rsid w:val="3BAC628D"/>
    <w:rsid w:val="3BB01BDB"/>
    <w:rsid w:val="3BC60A9D"/>
    <w:rsid w:val="3BD11DBB"/>
    <w:rsid w:val="3BD81646"/>
    <w:rsid w:val="3BE164EA"/>
    <w:rsid w:val="3BE81FCD"/>
    <w:rsid w:val="3BEA0701"/>
    <w:rsid w:val="3BEE28FF"/>
    <w:rsid w:val="3BF61B6B"/>
    <w:rsid w:val="3BFC64A2"/>
    <w:rsid w:val="3C0B0DDB"/>
    <w:rsid w:val="3C4877ED"/>
    <w:rsid w:val="3C4B1FA8"/>
    <w:rsid w:val="3C547B47"/>
    <w:rsid w:val="3C5A58BF"/>
    <w:rsid w:val="3C5B37E7"/>
    <w:rsid w:val="3C6127A9"/>
    <w:rsid w:val="3C636171"/>
    <w:rsid w:val="3C664263"/>
    <w:rsid w:val="3C706B34"/>
    <w:rsid w:val="3C8674DF"/>
    <w:rsid w:val="3C911248"/>
    <w:rsid w:val="3C9A5CBB"/>
    <w:rsid w:val="3CA479E0"/>
    <w:rsid w:val="3CBD3289"/>
    <w:rsid w:val="3CC243E3"/>
    <w:rsid w:val="3CCC214C"/>
    <w:rsid w:val="3CD147A4"/>
    <w:rsid w:val="3CD5706C"/>
    <w:rsid w:val="3CD66855"/>
    <w:rsid w:val="3CDA6FAE"/>
    <w:rsid w:val="3CDF60CE"/>
    <w:rsid w:val="3CE6634A"/>
    <w:rsid w:val="3CF85FDC"/>
    <w:rsid w:val="3CF93E6F"/>
    <w:rsid w:val="3D0329CE"/>
    <w:rsid w:val="3D134DE8"/>
    <w:rsid w:val="3D285477"/>
    <w:rsid w:val="3D3A30E3"/>
    <w:rsid w:val="3D424389"/>
    <w:rsid w:val="3D482D9A"/>
    <w:rsid w:val="3D504798"/>
    <w:rsid w:val="3D5B0736"/>
    <w:rsid w:val="3D5C0760"/>
    <w:rsid w:val="3D5E3B4D"/>
    <w:rsid w:val="3D63018E"/>
    <w:rsid w:val="3D6407A3"/>
    <w:rsid w:val="3D7B2607"/>
    <w:rsid w:val="3D9C2824"/>
    <w:rsid w:val="3DAE5EC2"/>
    <w:rsid w:val="3DB95AEB"/>
    <w:rsid w:val="3DBC024A"/>
    <w:rsid w:val="3DCF659A"/>
    <w:rsid w:val="3DD96D0B"/>
    <w:rsid w:val="3DDF0D0F"/>
    <w:rsid w:val="3DEC0798"/>
    <w:rsid w:val="3DEC564C"/>
    <w:rsid w:val="3DEE5BAB"/>
    <w:rsid w:val="3DFD4AF1"/>
    <w:rsid w:val="3E104487"/>
    <w:rsid w:val="3E1D4AF4"/>
    <w:rsid w:val="3E1E6276"/>
    <w:rsid w:val="3E276F6E"/>
    <w:rsid w:val="3E317495"/>
    <w:rsid w:val="3E4B4094"/>
    <w:rsid w:val="3E4D4B98"/>
    <w:rsid w:val="3E636451"/>
    <w:rsid w:val="3E650719"/>
    <w:rsid w:val="3E69030B"/>
    <w:rsid w:val="3E6F5651"/>
    <w:rsid w:val="3E8D3D29"/>
    <w:rsid w:val="3E95498C"/>
    <w:rsid w:val="3EA1684F"/>
    <w:rsid w:val="3EBA2645"/>
    <w:rsid w:val="3ED63527"/>
    <w:rsid w:val="3ED67B55"/>
    <w:rsid w:val="3EE70C7C"/>
    <w:rsid w:val="3EEF6C51"/>
    <w:rsid w:val="3EF075F6"/>
    <w:rsid w:val="3EF74D33"/>
    <w:rsid w:val="3F0120EC"/>
    <w:rsid w:val="3F057D64"/>
    <w:rsid w:val="3F063FF5"/>
    <w:rsid w:val="3F075CC4"/>
    <w:rsid w:val="3F0D6C18"/>
    <w:rsid w:val="3F187CFD"/>
    <w:rsid w:val="3F21712E"/>
    <w:rsid w:val="3F275F2C"/>
    <w:rsid w:val="3F285DF0"/>
    <w:rsid w:val="3F2C29E1"/>
    <w:rsid w:val="3F300C1F"/>
    <w:rsid w:val="3F384C10"/>
    <w:rsid w:val="3F410957"/>
    <w:rsid w:val="3F463D6D"/>
    <w:rsid w:val="3F586511"/>
    <w:rsid w:val="3F5A28C3"/>
    <w:rsid w:val="3F740A45"/>
    <w:rsid w:val="3F89538C"/>
    <w:rsid w:val="3F8E5733"/>
    <w:rsid w:val="3FA163F2"/>
    <w:rsid w:val="3FA4757D"/>
    <w:rsid w:val="3FA5067B"/>
    <w:rsid w:val="3FAA3C10"/>
    <w:rsid w:val="3FB43DF9"/>
    <w:rsid w:val="3FD3204B"/>
    <w:rsid w:val="3FDB4706"/>
    <w:rsid w:val="3FF51B86"/>
    <w:rsid w:val="3FFD6C8D"/>
    <w:rsid w:val="4010076E"/>
    <w:rsid w:val="40193A36"/>
    <w:rsid w:val="401B483B"/>
    <w:rsid w:val="40204729"/>
    <w:rsid w:val="402C3B0D"/>
    <w:rsid w:val="404011A2"/>
    <w:rsid w:val="40402FA6"/>
    <w:rsid w:val="40584539"/>
    <w:rsid w:val="405C20AF"/>
    <w:rsid w:val="405D1A2A"/>
    <w:rsid w:val="40612D9E"/>
    <w:rsid w:val="40635A95"/>
    <w:rsid w:val="40782251"/>
    <w:rsid w:val="408A2001"/>
    <w:rsid w:val="40A23968"/>
    <w:rsid w:val="40B445FE"/>
    <w:rsid w:val="40BA4B7E"/>
    <w:rsid w:val="40C55EA8"/>
    <w:rsid w:val="40C61775"/>
    <w:rsid w:val="40CF687B"/>
    <w:rsid w:val="40DB409D"/>
    <w:rsid w:val="40E35B04"/>
    <w:rsid w:val="40E972DF"/>
    <w:rsid w:val="40ED136E"/>
    <w:rsid w:val="40F24F08"/>
    <w:rsid w:val="41076FBE"/>
    <w:rsid w:val="41126768"/>
    <w:rsid w:val="411E6EBB"/>
    <w:rsid w:val="412160C9"/>
    <w:rsid w:val="41250249"/>
    <w:rsid w:val="412D5718"/>
    <w:rsid w:val="41480E16"/>
    <w:rsid w:val="414B08D8"/>
    <w:rsid w:val="414C2E08"/>
    <w:rsid w:val="414F3F68"/>
    <w:rsid w:val="41582082"/>
    <w:rsid w:val="41821212"/>
    <w:rsid w:val="41872CB2"/>
    <w:rsid w:val="41874A60"/>
    <w:rsid w:val="41982020"/>
    <w:rsid w:val="41A940EA"/>
    <w:rsid w:val="41AE1418"/>
    <w:rsid w:val="41BA6D64"/>
    <w:rsid w:val="41BE544A"/>
    <w:rsid w:val="41C4132E"/>
    <w:rsid w:val="41D35EF7"/>
    <w:rsid w:val="41DA7286"/>
    <w:rsid w:val="41FD3677"/>
    <w:rsid w:val="41FD4053"/>
    <w:rsid w:val="42063A3A"/>
    <w:rsid w:val="4214405D"/>
    <w:rsid w:val="42171D70"/>
    <w:rsid w:val="42183589"/>
    <w:rsid w:val="422A6DE4"/>
    <w:rsid w:val="42341E97"/>
    <w:rsid w:val="42376E3B"/>
    <w:rsid w:val="425753C0"/>
    <w:rsid w:val="42613503"/>
    <w:rsid w:val="42755200"/>
    <w:rsid w:val="427721CF"/>
    <w:rsid w:val="428627B5"/>
    <w:rsid w:val="429A0F55"/>
    <w:rsid w:val="42A31D6D"/>
    <w:rsid w:val="42AA3A13"/>
    <w:rsid w:val="42AC6B19"/>
    <w:rsid w:val="42B20202"/>
    <w:rsid w:val="42B67CE3"/>
    <w:rsid w:val="42BB7663"/>
    <w:rsid w:val="42C24431"/>
    <w:rsid w:val="42C700D1"/>
    <w:rsid w:val="42CB0D1B"/>
    <w:rsid w:val="42CB7EE2"/>
    <w:rsid w:val="42CD30A6"/>
    <w:rsid w:val="42F779C3"/>
    <w:rsid w:val="42FC7797"/>
    <w:rsid w:val="430D110E"/>
    <w:rsid w:val="430D368B"/>
    <w:rsid w:val="431C167A"/>
    <w:rsid w:val="431E02ED"/>
    <w:rsid w:val="433E55F2"/>
    <w:rsid w:val="4355293C"/>
    <w:rsid w:val="43827BD5"/>
    <w:rsid w:val="438356FB"/>
    <w:rsid w:val="438374A9"/>
    <w:rsid w:val="438C7FE1"/>
    <w:rsid w:val="43970571"/>
    <w:rsid w:val="43994DD7"/>
    <w:rsid w:val="439B2D87"/>
    <w:rsid w:val="43A53412"/>
    <w:rsid w:val="43AC3ED1"/>
    <w:rsid w:val="43BC275F"/>
    <w:rsid w:val="43BE41CB"/>
    <w:rsid w:val="43D70A3E"/>
    <w:rsid w:val="43F16B09"/>
    <w:rsid w:val="43F202D8"/>
    <w:rsid w:val="43F44339"/>
    <w:rsid w:val="43F45BD0"/>
    <w:rsid w:val="43FB478E"/>
    <w:rsid w:val="43FC6D22"/>
    <w:rsid w:val="440873F8"/>
    <w:rsid w:val="441049B7"/>
    <w:rsid w:val="4411001F"/>
    <w:rsid w:val="44112439"/>
    <w:rsid w:val="44142073"/>
    <w:rsid w:val="44204C51"/>
    <w:rsid w:val="44301B45"/>
    <w:rsid w:val="443C78D0"/>
    <w:rsid w:val="443F3F3E"/>
    <w:rsid w:val="44555450"/>
    <w:rsid w:val="445D7297"/>
    <w:rsid w:val="44633349"/>
    <w:rsid w:val="446403A9"/>
    <w:rsid w:val="446A1915"/>
    <w:rsid w:val="446B5E6B"/>
    <w:rsid w:val="44790B63"/>
    <w:rsid w:val="4491109A"/>
    <w:rsid w:val="449C1238"/>
    <w:rsid w:val="449F0024"/>
    <w:rsid w:val="449F5E85"/>
    <w:rsid w:val="44A1052F"/>
    <w:rsid w:val="44AD5B3A"/>
    <w:rsid w:val="44B10EA1"/>
    <w:rsid w:val="44B53FC2"/>
    <w:rsid w:val="44B546FA"/>
    <w:rsid w:val="44BF2CE3"/>
    <w:rsid w:val="44C13F54"/>
    <w:rsid w:val="44C401EC"/>
    <w:rsid w:val="44D80E18"/>
    <w:rsid w:val="44D83825"/>
    <w:rsid w:val="44E14D9A"/>
    <w:rsid w:val="44E16B7D"/>
    <w:rsid w:val="44EA7277"/>
    <w:rsid w:val="44EC452F"/>
    <w:rsid w:val="44FC597B"/>
    <w:rsid w:val="451707F1"/>
    <w:rsid w:val="451A1577"/>
    <w:rsid w:val="451A6CEE"/>
    <w:rsid w:val="451E70F3"/>
    <w:rsid w:val="452901CE"/>
    <w:rsid w:val="452D580C"/>
    <w:rsid w:val="453E08E3"/>
    <w:rsid w:val="45500BC7"/>
    <w:rsid w:val="456078ED"/>
    <w:rsid w:val="456F753C"/>
    <w:rsid w:val="4570761C"/>
    <w:rsid w:val="457C5F26"/>
    <w:rsid w:val="458A4B1F"/>
    <w:rsid w:val="45975CBC"/>
    <w:rsid w:val="45AA3413"/>
    <w:rsid w:val="45C30031"/>
    <w:rsid w:val="45C53E45"/>
    <w:rsid w:val="45D43FEC"/>
    <w:rsid w:val="45D60368"/>
    <w:rsid w:val="46001285"/>
    <w:rsid w:val="46050649"/>
    <w:rsid w:val="462211FB"/>
    <w:rsid w:val="462417D4"/>
    <w:rsid w:val="462E5DF2"/>
    <w:rsid w:val="46302433"/>
    <w:rsid w:val="463A4797"/>
    <w:rsid w:val="463C5F52"/>
    <w:rsid w:val="46431172"/>
    <w:rsid w:val="464521E7"/>
    <w:rsid w:val="46455732"/>
    <w:rsid w:val="46495120"/>
    <w:rsid w:val="464D26CA"/>
    <w:rsid w:val="465D66F5"/>
    <w:rsid w:val="466B19C4"/>
    <w:rsid w:val="467D4684"/>
    <w:rsid w:val="468269BA"/>
    <w:rsid w:val="46AB281B"/>
    <w:rsid w:val="46B67B95"/>
    <w:rsid w:val="46C329DE"/>
    <w:rsid w:val="46C97C75"/>
    <w:rsid w:val="46D00C57"/>
    <w:rsid w:val="46D6477E"/>
    <w:rsid w:val="46D851CA"/>
    <w:rsid w:val="46E14C12"/>
    <w:rsid w:val="46E3355B"/>
    <w:rsid w:val="46E94D27"/>
    <w:rsid w:val="46EF27ED"/>
    <w:rsid w:val="46EF355C"/>
    <w:rsid w:val="46F663C7"/>
    <w:rsid w:val="471274C2"/>
    <w:rsid w:val="471C076D"/>
    <w:rsid w:val="47233BB3"/>
    <w:rsid w:val="472657A6"/>
    <w:rsid w:val="47304C90"/>
    <w:rsid w:val="473110DC"/>
    <w:rsid w:val="473F25F0"/>
    <w:rsid w:val="473F3908"/>
    <w:rsid w:val="47406A95"/>
    <w:rsid w:val="474C71FC"/>
    <w:rsid w:val="474D5189"/>
    <w:rsid w:val="474D6260"/>
    <w:rsid w:val="4754581B"/>
    <w:rsid w:val="475A449F"/>
    <w:rsid w:val="475D1DCE"/>
    <w:rsid w:val="47625A6E"/>
    <w:rsid w:val="47644DAE"/>
    <w:rsid w:val="4779309D"/>
    <w:rsid w:val="477F442B"/>
    <w:rsid w:val="478A7058"/>
    <w:rsid w:val="478C6CF3"/>
    <w:rsid w:val="478F28C0"/>
    <w:rsid w:val="479202CF"/>
    <w:rsid w:val="47925F0D"/>
    <w:rsid w:val="47946129"/>
    <w:rsid w:val="47963FF7"/>
    <w:rsid w:val="47A3636C"/>
    <w:rsid w:val="47A7459E"/>
    <w:rsid w:val="47A80D71"/>
    <w:rsid w:val="47A85096"/>
    <w:rsid w:val="47AD0D2F"/>
    <w:rsid w:val="47AF44AD"/>
    <w:rsid w:val="47AF4D11"/>
    <w:rsid w:val="47B425AF"/>
    <w:rsid w:val="47B95B8F"/>
    <w:rsid w:val="47C54534"/>
    <w:rsid w:val="47C75C4C"/>
    <w:rsid w:val="47CD0DEC"/>
    <w:rsid w:val="47CD5197"/>
    <w:rsid w:val="47D112E0"/>
    <w:rsid w:val="47F00E85"/>
    <w:rsid w:val="47F1579B"/>
    <w:rsid w:val="48041AAC"/>
    <w:rsid w:val="480D3A23"/>
    <w:rsid w:val="483A0C1F"/>
    <w:rsid w:val="4846741F"/>
    <w:rsid w:val="484D0086"/>
    <w:rsid w:val="484E4529"/>
    <w:rsid w:val="485C55E7"/>
    <w:rsid w:val="485C7379"/>
    <w:rsid w:val="487D4E0F"/>
    <w:rsid w:val="488E0B1A"/>
    <w:rsid w:val="48954542"/>
    <w:rsid w:val="489C48EF"/>
    <w:rsid w:val="48AB2BB7"/>
    <w:rsid w:val="48AB372A"/>
    <w:rsid w:val="48B06F92"/>
    <w:rsid w:val="48D72771"/>
    <w:rsid w:val="48D90193"/>
    <w:rsid w:val="48DA7B6B"/>
    <w:rsid w:val="48E54B66"/>
    <w:rsid w:val="48F01FB9"/>
    <w:rsid w:val="49073172"/>
    <w:rsid w:val="49173469"/>
    <w:rsid w:val="49175151"/>
    <w:rsid w:val="492872E4"/>
    <w:rsid w:val="492A4964"/>
    <w:rsid w:val="493A64EB"/>
    <w:rsid w:val="49404145"/>
    <w:rsid w:val="4941303B"/>
    <w:rsid w:val="4941669C"/>
    <w:rsid w:val="4949284A"/>
    <w:rsid w:val="494B6C4D"/>
    <w:rsid w:val="4958156F"/>
    <w:rsid w:val="495D296B"/>
    <w:rsid w:val="496941FF"/>
    <w:rsid w:val="496C2214"/>
    <w:rsid w:val="496D5E51"/>
    <w:rsid w:val="496D6036"/>
    <w:rsid w:val="496D7ED3"/>
    <w:rsid w:val="49706721"/>
    <w:rsid w:val="49790663"/>
    <w:rsid w:val="49822BAA"/>
    <w:rsid w:val="49861160"/>
    <w:rsid w:val="49883A05"/>
    <w:rsid w:val="49933A5A"/>
    <w:rsid w:val="49A14359"/>
    <w:rsid w:val="49AF10F0"/>
    <w:rsid w:val="49B74940"/>
    <w:rsid w:val="49C03205"/>
    <w:rsid w:val="49C04C0E"/>
    <w:rsid w:val="49C11CF5"/>
    <w:rsid w:val="49C2084A"/>
    <w:rsid w:val="49C660D4"/>
    <w:rsid w:val="49D16BE6"/>
    <w:rsid w:val="49EF7646"/>
    <w:rsid w:val="49F044ED"/>
    <w:rsid w:val="49FD12F9"/>
    <w:rsid w:val="49FE5F91"/>
    <w:rsid w:val="4A026F25"/>
    <w:rsid w:val="4A0E4BFD"/>
    <w:rsid w:val="4A113742"/>
    <w:rsid w:val="4A1A5506"/>
    <w:rsid w:val="4A1C041F"/>
    <w:rsid w:val="4A2026B1"/>
    <w:rsid w:val="4A372155"/>
    <w:rsid w:val="4A3749D0"/>
    <w:rsid w:val="4A3D7280"/>
    <w:rsid w:val="4A553B36"/>
    <w:rsid w:val="4A5A2744"/>
    <w:rsid w:val="4A626327"/>
    <w:rsid w:val="4A6726BA"/>
    <w:rsid w:val="4A783AE0"/>
    <w:rsid w:val="4A8A6B0D"/>
    <w:rsid w:val="4A8E3F79"/>
    <w:rsid w:val="4A8F7AF1"/>
    <w:rsid w:val="4AA448D5"/>
    <w:rsid w:val="4ACC7988"/>
    <w:rsid w:val="4ACF669A"/>
    <w:rsid w:val="4AD877C8"/>
    <w:rsid w:val="4ADA535A"/>
    <w:rsid w:val="4AE271AB"/>
    <w:rsid w:val="4AE65A17"/>
    <w:rsid w:val="4AEA67B3"/>
    <w:rsid w:val="4B2E0642"/>
    <w:rsid w:val="4B3734F6"/>
    <w:rsid w:val="4B3B7A64"/>
    <w:rsid w:val="4B4900AE"/>
    <w:rsid w:val="4B6021EA"/>
    <w:rsid w:val="4B6B0F4E"/>
    <w:rsid w:val="4B6F679E"/>
    <w:rsid w:val="4B83273C"/>
    <w:rsid w:val="4B840262"/>
    <w:rsid w:val="4BB5666E"/>
    <w:rsid w:val="4BB906DD"/>
    <w:rsid w:val="4BEB429E"/>
    <w:rsid w:val="4BEB6533"/>
    <w:rsid w:val="4BFB0C29"/>
    <w:rsid w:val="4BFF74B1"/>
    <w:rsid w:val="4C0263CE"/>
    <w:rsid w:val="4C0473C6"/>
    <w:rsid w:val="4C2537F3"/>
    <w:rsid w:val="4C2555A1"/>
    <w:rsid w:val="4C266086"/>
    <w:rsid w:val="4C3618DB"/>
    <w:rsid w:val="4C3673D0"/>
    <w:rsid w:val="4C4F0AB3"/>
    <w:rsid w:val="4C531C47"/>
    <w:rsid w:val="4C586FC6"/>
    <w:rsid w:val="4C5D0796"/>
    <w:rsid w:val="4C6360FE"/>
    <w:rsid w:val="4C72455F"/>
    <w:rsid w:val="4C793B3F"/>
    <w:rsid w:val="4C8E75EA"/>
    <w:rsid w:val="4C9C194B"/>
    <w:rsid w:val="4CC01CF8"/>
    <w:rsid w:val="4CC15AE1"/>
    <w:rsid w:val="4CC35BEB"/>
    <w:rsid w:val="4CCF60BD"/>
    <w:rsid w:val="4CD02929"/>
    <w:rsid w:val="4CD370C7"/>
    <w:rsid w:val="4CDE5035"/>
    <w:rsid w:val="4CE41265"/>
    <w:rsid w:val="4CEE4C2A"/>
    <w:rsid w:val="4D103667"/>
    <w:rsid w:val="4D144D0B"/>
    <w:rsid w:val="4D185106"/>
    <w:rsid w:val="4D1A59F9"/>
    <w:rsid w:val="4D363E53"/>
    <w:rsid w:val="4D3701CB"/>
    <w:rsid w:val="4D386DDA"/>
    <w:rsid w:val="4D4B7AFC"/>
    <w:rsid w:val="4D715F84"/>
    <w:rsid w:val="4D7851EB"/>
    <w:rsid w:val="4D8F6A66"/>
    <w:rsid w:val="4D9229C5"/>
    <w:rsid w:val="4D930C30"/>
    <w:rsid w:val="4D953FDE"/>
    <w:rsid w:val="4D9B543E"/>
    <w:rsid w:val="4D9C7AE5"/>
    <w:rsid w:val="4D9E1AAF"/>
    <w:rsid w:val="4DA501AA"/>
    <w:rsid w:val="4DAA3EA7"/>
    <w:rsid w:val="4DB36BDD"/>
    <w:rsid w:val="4DB4344C"/>
    <w:rsid w:val="4DB51455"/>
    <w:rsid w:val="4DC62FE4"/>
    <w:rsid w:val="4DC8250B"/>
    <w:rsid w:val="4DE03454"/>
    <w:rsid w:val="4DE3710F"/>
    <w:rsid w:val="4DED4BFE"/>
    <w:rsid w:val="4DEE61D1"/>
    <w:rsid w:val="4E0005F3"/>
    <w:rsid w:val="4E005F07"/>
    <w:rsid w:val="4E0B6496"/>
    <w:rsid w:val="4E0E6509"/>
    <w:rsid w:val="4E186966"/>
    <w:rsid w:val="4E2B1EB6"/>
    <w:rsid w:val="4E3F2CAA"/>
    <w:rsid w:val="4E4854B2"/>
    <w:rsid w:val="4E4C6050"/>
    <w:rsid w:val="4E5263F6"/>
    <w:rsid w:val="4E6951D8"/>
    <w:rsid w:val="4E74636C"/>
    <w:rsid w:val="4E78439B"/>
    <w:rsid w:val="4E7B1363"/>
    <w:rsid w:val="4E8A3DE2"/>
    <w:rsid w:val="4EB038C3"/>
    <w:rsid w:val="4ED65CB0"/>
    <w:rsid w:val="4EE84443"/>
    <w:rsid w:val="4F0352F3"/>
    <w:rsid w:val="4F135B85"/>
    <w:rsid w:val="4F1B712F"/>
    <w:rsid w:val="4F236F63"/>
    <w:rsid w:val="4F2D30F6"/>
    <w:rsid w:val="4F2D4EEE"/>
    <w:rsid w:val="4F3F2683"/>
    <w:rsid w:val="4F431A16"/>
    <w:rsid w:val="4F58517B"/>
    <w:rsid w:val="4F5E5D57"/>
    <w:rsid w:val="4F5F526E"/>
    <w:rsid w:val="4F664600"/>
    <w:rsid w:val="4F6C109F"/>
    <w:rsid w:val="4F7A20A8"/>
    <w:rsid w:val="4F846A83"/>
    <w:rsid w:val="4F8847C5"/>
    <w:rsid w:val="4F8D432D"/>
    <w:rsid w:val="4F90367A"/>
    <w:rsid w:val="4F98252E"/>
    <w:rsid w:val="4F993C1F"/>
    <w:rsid w:val="4F9A241D"/>
    <w:rsid w:val="4F9E6E48"/>
    <w:rsid w:val="4FA52839"/>
    <w:rsid w:val="4FA60096"/>
    <w:rsid w:val="4FA831D2"/>
    <w:rsid w:val="4FB6798D"/>
    <w:rsid w:val="4FBB0580"/>
    <w:rsid w:val="4FBC575D"/>
    <w:rsid w:val="4FC1120E"/>
    <w:rsid w:val="4FCF5F48"/>
    <w:rsid w:val="4FD77F76"/>
    <w:rsid w:val="4FDC68BF"/>
    <w:rsid w:val="4FE72524"/>
    <w:rsid w:val="50093135"/>
    <w:rsid w:val="50100316"/>
    <w:rsid w:val="50107F18"/>
    <w:rsid w:val="50165391"/>
    <w:rsid w:val="501A73E7"/>
    <w:rsid w:val="501D4EFB"/>
    <w:rsid w:val="50241A99"/>
    <w:rsid w:val="502D711A"/>
    <w:rsid w:val="503469BD"/>
    <w:rsid w:val="503844DC"/>
    <w:rsid w:val="50496D46"/>
    <w:rsid w:val="504E0E81"/>
    <w:rsid w:val="5057648D"/>
    <w:rsid w:val="505B18D4"/>
    <w:rsid w:val="50621059"/>
    <w:rsid w:val="507028FD"/>
    <w:rsid w:val="50831F00"/>
    <w:rsid w:val="508661BD"/>
    <w:rsid w:val="508A55B1"/>
    <w:rsid w:val="508A5DF4"/>
    <w:rsid w:val="508B13F1"/>
    <w:rsid w:val="50940F47"/>
    <w:rsid w:val="50970A38"/>
    <w:rsid w:val="509C1BAA"/>
    <w:rsid w:val="50A8054F"/>
    <w:rsid w:val="50A820D4"/>
    <w:rsid w:val="50AD422D"/>
    <w:rsid w:val="50AD4A4F"/>
    <w:rsid w:val="50AF4CDE"/>
    <w:rsid w:val="50D37CC2"/>
    <w:rsid w:val="50D57015"/>
    <w:rsid w:val="50E84DEF"/>
    <w:rsid w:val="50F56EA0"/>
    <w:rsid w:val="5107796B"/>
    <w:rsid w:val="5108607B"/>
    <w:rsid w:val="51171918"/>
    <w:rsid w:val="511B41EA"/>
    <w:rsid w:val="511F6336"/>
    <w:rsid w:val="51241F2C"/>
    <w:rsid w:val="512C73D2"/>
    <w:rsid w:val="512C7ED2"/>
    <w:rsid w:val="51450494"/>
    <w:rsid w:val="5148134E"/>
    <w:rsid w:val="51510BE7"/>
    <w:rsid w:val="51594493"/>
    <w:rsid w:val="5164091A"/>
    <w:rsid w:val="51677F27"/>
    <w:rsid w:val="518F170F"/>
    <w:rsid w:val="51A056CA"/>
    <w:rsid w:val="51A451BA"/>
    <w:rsid w:val="51B51D64"/>
    <w:rsid w:val="51B80BAA"/>
    <w:rsid w:val="51BF28E4"/>
    <w:rsid w:val="51C1288B"/>
    <w:rsid w:val="51C20B31"/>
    <w:rsid w:val="51DC2283"/>
    <w:rsid w:val="51E34ACA"/>
    <w:rsid w:val="51E657D3"/>
    <w:rsid w:val="51EA1F0C"/>
    <w:rsid w:val="51FB798D"/>
    <w:rsid w:val="51FC4FF6"/>
    <w:rsid w:val="52081B54"/>
    <w:rsid w:val="520836B9"/>
    <w:rsid w:val="520B6FE7"/>
    <w:rsid w:val="522B58DB"/>
    <w:rsid w:val="52314BF0"/>
    <w:rsid w:val="52393E48"/>
    <w:rsid w:val="523957BE"/>
    <w:rsid w:val="52477F24"/>
    <w:rsid w:val="524B7D2C"/>
    <w:rsid w:val="52501DAB"/>
    <w:rsid w:val="5256651E"/>
    <w:rsid w:val="52691BE6"/>
    <w:rsid w:val="526B23B2"/>
    <w:rsid w:val="52730B44"/>
    <w:rsid w:val="52733A71"/>
    <w:rsid w:val="5277467D"/>
    <w:rsid w:val="52983DB8"/>
    <w:rsid w:val="529C0587"/>
    <w:rsid w:val="52A5743C"/>
    <w:rsid w:val="52AE4870"/>
    <w:rsid w:val="52B1623B"/>
    <w:rsid w:val="52B66E3F"/>
    <w:rsid w:val="52BD5936"/>
    <w:rsid w:val="52C378C2"/>
    <w:rsid w:val="52C7501B"/>
    <w:rsid w:val="52C8137C"/>
    <w:rsid w:val="52C86D86"/>
    <w:rsid w:val="52D27B05"/>
    <w:rsid w:val="52E53CDC"/>
    <w:rsid w:val="52E73435"/>
    <w:rsid w:val="52EF6909"/>
    <w:rsid w:val="52F56F98"/>
    <w:rsid w:val="531620E8"/>
    <w:rsid w:val="531E2D4A"/>
    <w:rsid w:val="53301E1E"/>
    <w:rsid w:val="533802B0"/>
    <w:rsid w:val="5349426B"/>
    <w:rsid w:val="534976B3"/>
    <w:rsid w:val="53570DD0"/>
    <w:rsid w:val="535C7948"/>
    <w:rsid w:val="53605111"/>
    <w:rsid w:val="53626210"/>
    <w:rsid w:val="536C61AC"/>
    <w:rsid w:val="53764934"/>
    <w:rsid w:val="5376752B"/>
    <w:rsid w:val="537979E1"/>
    <w:rsid w:val="53861A20"/>
    <w:rsid w:val="538816E0"/>
    <w:rsid w:val="53AE4137"/>
    <w:rsid w:val="53BD18F1"/>
    <w:rsid w:val="53D8114B"/>
    <w:rsid w:val="53E04DBD"/>
    <w:rsid w:val="53EF674A"/>
    <w:rsid w:val="53F669EB"/>
    <w:rsid w:val="54041F40"/>
    <w:rsid w:val="5414048A"/>
    <w:rsid w:val="54172B75"/>
    <w:rsid w:val="541A68A8"/>
    <w:rsid w:val="5420228D"/>
    <w:rsid w:val="54322F51"/>
    <w:rsid w:val="543D1818"/>
    <w:rsid w:val="544B3EE9"/>
    <w:rsid w:val="545D5EF6"/>
    <w:rsid w:val="546538BA"/>
    <w:rsid w:val="5468108F"/>
    <w:rsid w:val="5472334E"/>
    <w:rsid w:val="54756AF5"/>
    <w:rsid w:val="5483555B"/>
    <w:rsid w:val="548A4B3B"/>
    <w:rsid w:val="548B71EB"/>
    <w:rsid w:val="549A6186"/>
    <w:rsid w:val="549F69EF"/>
    <w:rsid w:val="54CB0CB0"/>
    <w:rsid w:val="54E0475B"/>
    <w:rsid w:val="54EA6C0E"/>
    <w:rsid w:val="54F372B3"/>
    <w:rsid w:val="5503044A"/>
    <w:rsid w:val="551D1C19"/>
    <w:rsid w:val="55201C9C"/>
    <w:rsid w:val="5523208A"/>
    <w:rsid w:val="552F56E3"/>
    <w:rsid w:val="5539030F"/>
    <w:rsid w:val="5549554B"/>
    <w:rsid w:val="554D1A31"/>
    <w:rsid w:val="55684751"/>
    <w:rsid w:val="556E644F"/>
    <w:rsid w:val="55782BA3"/>
    <w:rsid w:val="55874F5B"/>
    <w:rsid w:val="558E406A"/>
    <w:rsid w:val="5592206E"/>
    <w:rsid w:val="55A27C63"/>
    <w:rsid w:val="55BB0D24"/>
    <w:rsid w:val="55C776C9"/>
    <w:rsid w:val="55D70D09"/>
    <w:rsid w:val="55DB2EFA"/>
    <w:rsid w:val="55DD6540"/>
    <w:rsid w:val="55E737FF"/>
    <w:rsid w:val="55E93AE3"/>
    <w:rsid w:val="55EB238D"/>
    <w:rsid w:val="55ED4109"/>
    <w:rsid w:val="55F87E98"/>
    <w:rsid w:val="560143A9"/>
    <w:rsid w:val="561B1CE0"/>
    <w:rsid w:val="562B4FD7"/>
    <w:rsid w:val="563716DC"/>
    <w:rsid w:val="563A7E9B"/>
    <w:rsid w:val="56586573"/>
    <w:rsid w:val="566278C5"/>
    <w:rsid w:val="56725887"/>
    <w:rsid w:val="5685346F"/>
    <w:rsid w:val="568B419B"/>
    <w:rsid w:val="569752EE"/>
    <w:rsid w:val="569F23F4"/>
    <w:rsid w:val="56AA5F28"/>
    <w:rsid w:val="56B506F1"/>
    <w:rsid w:val="56B7303F"/>
    <w:rsid w:val="56B934B6"/>
    <w:rsid w:val="56BC09FD"/>
    <w:rsid w:val="56D02B61"/>
    <w:rsid w:val="56D71B8E"/>
    <w:rsid w:val="56DF6C95"/>
    <w:rsid w:val="57165E73"/>
    <w:rsid w:val="57305C46"/>
    <w:rsid w:val="57394A4D"/>
    <w:rsid w:val="57435475"/>
    <w:rsid w:val="57547004"/>
    <w:rsid w:val="5758495A"/>
    <w:rsid w:val="575C2093"/>
    <w:rsid w:val="57631EDC"/>
    <w:rsid w:val="57643792"/>
    <w:rsid w:val="576D3C31"/>
    <w:rsid w:val="576F0018"/>
    <w:rsid w:val="57725AAD"/>
    <w:rsid w:val="5774562F"/>
    <w:rsid w:val="578F06BB"/>
    <w:rsid w:val="579857A6"/>
    <w:rsid w:val="579F74A6"/>
    <w:rsid w:val="57A2797B"/>
    <w:rsid w:val="57A36349"/>
    <w:rsid w:val="57A70D03"/>
    <w:rsid w:val="57AC4DC9"/>
    <w:rsid w:val="57B44CCE"/>
    <w:rsid w:val="57C514C8"/>
    <w:rsid w:val="57C71C02"/>
    <w:rsid w:val="57D45CF1"/>
    <w:rsid w:val="57E74DAE"/>
    <w:rsid w:val="57F13854"/>
    <w:rsid w:val="580520C8"/>
    <w:rsid w:val="580B3421"/>
    <w:rsid w:val="58187D01"/>
    <w:rsid w:val="581A249A"/>
    <w:rsid w:val="584315C4"/>
    <w:rsid w:val="5846239B"/>
    <w:rsid w:val="586E207E"/>
    <w:rsid w:val="586E3461"/>
    <w:rsid w:val="586E7274"/>
    <w:rsid w:val="588A02D8"/>
    <w:rsid w:val="5891087F"/>
    <w:rsid w:val="589D0BB5"/>
    <w:rsid w:val="58B8581B"/>
    <w:rsid w:val="58BA45A1"/>
    <w:rsid w:val="58C02C27"/>
    <w:rsid w:val="58C12EE1"/>
    <w:rsid w:val="58D864B6"/>
    <w:rsid w:val="58DA784C"/>
    <w:rsid w:val="58DE5456"/>
    <w:rsid w:val="58EB2245"/>
    <w:rsid w:val="590649AC"/>
    <w:rsid w:val="59161F59"/>
    <w:rsid w:val="591744C4"/>
    <w:rsid w:val="592E0EF6"/>
    <w:rsid w:val="594204CF"/>
    <w:rsid w:val="594A2AEB"/>
    <w:rsid w:val="5951357A"/>
    <w:rsid w:val="59544BDF"/>
    <w:rsid w:val="59775A81"/>
    <w:rsid w:val="597B2CA5"/>
    <w:rsid w:val="59811737"/>
    <w:rsid w:val="59854011"/>
    <w:rsid w:val="599223FD"/>
    <w:rsid w:val="59941601"/>
    <w:rsid w:val="59951645"/>
    <w:rsid w:val="59965D30"/>
    <w:rsid w:val="59A117BD"/>
    <w:rsid w:val="59AD702D"/>
    <w:rsid w:val="59B03041"/>
    <w:rsid w:val="59BA45FA"/>
    <w:rsid w:val="59C33F06"/>
    <w:rsid w:val="59C962AE"/>
    <w:rsid w:val="59D10B16"/>
    <w:rsid w:val="59D625D1"/>
    <w:rsid w:val="5A0738B3"/>
    <w:rsid w:val="5A1223DE"/>
    <w:rsid w:val="5A126AC9"/>
    <w:rsid w:val="5A20479B"/>
    <w:rsid w:val="5A234A6D"/>
    <w:rsid w:val="5A47527D"/>
    <w:rsid w:val="5A594B8D"/>
    <w:rsid w:val="5A612F7B"/>
    <w:rsid w:val="5A684349"/>
    <w:rsid w:val="5A690A9C"/>
    <w:rsid w:val="5A6A2C63"/>
    <w:rsid w:val="5A7B0A82"/>
    <w:rsid w:val="5A8E36CC"/>
    <w:rsid w:val="5A9802AF"/>
    <w:rsid w:val="5AAB75B9"/>
    <w:rsid w:val="5AAC3332"/>
    <w:rsid w:val="5AAE5CD6"/>
    <w:rsid w:val="5ABF5916"/>
    <w:rsid w:val="5AC3781F"/>
    <w:rsid w:val="5AC90A7E"/>
    <w:rsid w:val="5AD71A00"/>
    <w:rsid w:val="5AD73617"/>
    <w:rsid w:val="5ADF1BC9"/>
    <w:rsid w:val="5AE20B01"/>
    <w:rsid w:val="5AE76118"/>
    <w:rsid w:val="5AEF10C3"/>
    <w:rsid w:val="5B021EDD"/>
    <w:rsid w:val="5B1036BE"/>
    <w:rsid w:val="5B1B1714"/>
    <w:rsid w:val="5B242EC8"/>
    <w:rsid w:val="5B280C0A"/>
    <w:rsid w:val="5B2C65A4"/>
    <w:rsid w:val="5B351579"/>
    <w:rsid w:val="5B3648FD"/>
    <w:rsid w:val="5B3E6680"/>
    <w:rsid w:val="5B413A7A"/>
    <w:rsid w:val="5B4325A2"/>
    <w:rsid w:val="5B4672E2"/>
    <w:rsid w:val="5B4E481E"/>
    <w:rsid w:val="5B601CC1"/>
    <w:rsid w:val="5B6234AA"/>
    <w:rsid w:val="5B6854AA"/>
    <w:rsid w:val="5B813346"/>
    <w:rsid w:val="5B8172A8"/>
    <w:rsid w:val="5B871DD5"/>
    <w:rsid w:val="5B9601D2"/>
    <w:rsid w:val="5B9F6DE2"/>
    <w:rsid w:val="5BA265DE"/>
    <w:rsid w:val="5BA46CE2"/>
    <w:rsid w:val="5BB95E08"/>
    <w:rsid w:val="5BBA0393"/>
    <w:rsid w:val="5BBD57F6"/>
    <w:rsid w:val="5BCE7981"/>
    <w:rsid w:val="5BD41136"/>
    <w:rsid w:val="5BD54692"/>
    <w:rsid w:val="5BD7618C"/>
    <w:rsid w:val="5BD92F2A"/>
    <w:rsid w:val="5BE32D83"/>
    <w:rsid w:val="5BEA4FCD"/>
    <w:rsid w:val="5BEC1C38"/>
    <w:rsid w:val="5BF84A80"/>
    <w:rsid w:val="5BFA4B6A"/>
    <w:rsid w:val="5C003935"/>
    <w:rsid w:val="5C043425"/>
    <w:rsid w:val="5C124BEB"/>
    <w:rsid w:val="5C1D44E7"/>
    <w:rsid w:val="5C1F498A"/>
    <w:rsid w:val="5C25339C"/>
    <w:rsid w:val="5C2B3CC6"/>
    <w:rsid w:val="5C380531"/>
    <w:rsid w:val="5C4B22BD"/>
    <w:rsid w:val="5C4B3416"/>
    <w:rsid w:val="5C4D0F4D"/>
    <w:rsid w:val="5C4F1B7F"/>
    <w:rsid w:val="5C4F21C6"/>
    <w:rsid w:val="5C504241"/>
    <w:rsid w:val="5C6550CC"/>
    <w:rsid w:val="5C7731D7"/>
    <w:rsid w:val="5C826B51"/>
    <w:rsid w:val="5C93136F"/>
    <w:rsid w:val="5C957AE8"/>
    <w:rsid w:val="5CA61CCA"/>
    <w:rsid w:val="5CA61FE4"/>
    <w:rsid w:val="5CA67A5D"/>
    <w:rsid w:val="5CAA564F"/>
    <w:rsid w:val="5CAC7619"/>
    <w:rsid w:val="5CB526EE"/>
    <w:rsid w:val="5CC31B3E"/>
    <w:rsid w:val="5CC67A06"/>
    <w:rsid w:val="5CD718AB"/>
    <w:rsid w:val="5CDD125B"/>
    <w:rsid w:val="5CF039A9"/>
    <w:rsid w:val="5D131446"/>
    <w:rsid w:val="5D1551BE"/>
    <w:rsid w:val="5D17220F"/>
    <w:rsid w:val="5D213E13"/>
    <w:rsid w:val="5D301FF8"/>
    <w:rsid w:val="5D3543FB"/>
    <w:rsid w:val="5D3A69D3"/>
    <w:rsid w:val="5D3D7B55"/>
    <w:rsid w:val="5D49561A"/>
    <w:rsid w:val="5D4D4B67"/>
    <w:rsid w:val="5D692B4A"/>
    <w:rsid w:val="5D6E1FD6"/>
    <w:rsid w:val="5D760DFE"/>
    <w:rsid w:val="5D7F5AF4"/>
    <w:rsid w:val="5D8F4370"/>
    <w:rsid w:val="5D972077"/>
    <w:rsid w:val="5DA87DE0"/>
    <w:rsid w:val="5DAB1143"/>
    <w:rsid w:val="5DAF2A40"/>
    <w:rsid w:val="5DB17D02"/>
    <w:rsid w:val="5DC0337C"/>
    <w:rsid w:val="5DCF2503"/>
    <w:rsid w:val="5DD43000"/>
    <w:rsid w:val="5DD619A0"/>
    <w:rsid w:val="5DD97B2E"/>
    <w:rsid w:val="5DE33377"/>
    <w:rsid w:val="5DE52DE2"/>
    <w:rsid w:val="5E183CFF"/>
    <w:rsid w:val="5E1E394A"/>
    <w:rsid w:val="5E2B7EEF"/>
    <w:rsid w:val="5E2C0A11"/>
    <w:rsid w:val="5E2E1600"/>
    <w:rsid w:val="5E416216"/>
    <w:rsid w:val="5E4C10B3"/>
    <w:rsid w:val="5E50072C"/>
    <w:rsid w:val="5E52616B"/>
    <w:rsid w:val="5E6623EB"/>
    <w:rsid w:val="5E664F76"/>
    <w:rsid w:val="5E67417C"/>
    <w:rsid w:val="5E6B1C04"/>
    <w:rsid w:val="5E6C3504"/>
    <w:rsid w:val="5E8048B9"/>
    <w:rsid w:val="5E912F6A"/>
    <w:rsid w:val="5E914D18"/>
    <w:rsid w:val="5E9345EC"/>
    <w:rsid w:val="5E946DA5"/>
    <w:rsid w:val="5E961741"/>
    <w:rsid w:val="5E9B254F"/>
    <w:rsid w:val="5EA05BE0"/>
    <w:rsid w:val="5EAE7678"/>
    <w:rsid w:val="5EBA601D"/>
    <w:rsid w:val="5ED77D68"/>
    <w:rsid w:val="5ED94EE3"/>
    <w:rsid w:val="5EDC1A1D"/>
    <w:rsid w:val="5EE673AD"/>
    <w:rsid w:val="5EE906B0"/>
    <w:rsid w:val="5EF05EE3"/>
    <w:rsid w:val="5F0B4ACB"/>
    <w:rsid w:val="5F100333"/>
    <w:rsid w:val="5F3176B9"/>
    <w:rsid w:val="5F4B7B56"/>
    <w:rsid w:val="5F5046EA"/>
    <w:rsid w:val="5F5B1DE2"/>
    <w:rsid w:val="5F5F0972"/>
    <w:rsid w:val="5F6441ED"/>
    <w:rsid w:val="5F6661A5"/>
    <w:rsid w:val="5F6A6AC8"/>
    <w:rsid w:val="5F6F6A29"/>
    <w:rsid w:val="5F84250C"/>
    <w:rsid w:val="5F866EC2"/>
    <w:rsid w:val="5F875EC9"/>
    <w:rsid w:val="5F8B48CF"/>
    <w:rsid w:val="5F920EC8"/>
    <w:rsid w:val="5F9A5E4E"/>
    <w:rsid w:val="5F9E1348"/>
    <w:rsid w:val="5FA12D39"/>
    <w:rsid w:val="5FAA42E4"/>
    <w:rsid w:val="5FAC4886"/>
    <w:rsid w:val="5FB66D02"/>
    <w:rsid w:val="5FC058B5"/>
    <w:rsid w:val="5FC41398"/>
    <w:rsid w:val="5FE311ED"/>
    <w:rsid w:val="5FE42E7C"/>
    <w:rsid w:val="5FEC48FC"/>
    <w:rsid w:val="5FF2749D"/>
    <w:rsid w:val="5FF87C5D"/>
    <w:rsid w:val="600315B6"/>
    <w:rsid w:val="60071C9B"/>
    <w:rsid w:val="600E3B45"/>
    <w:rsid w:val="60273055"/>
    <w:rsid w:val="603242D9"/>
    <w:rsid w:val="60522285"/>
    <w:rsid w:val="605C5A30"/>
    <w:rsid w:val="607D63DF"/>
    <w:rsid w:val="60A3109B"/>
    <w:rsid w:val="60A3539C"/>
    <w:rsid w:val="60AE7E03"/>
    <w:rsid w:val="60B149D0"/>
    <w:rsid w:val="60B70030"/>
    <w:rsid w:val="60BC0397"/>
    <w:rsid w:val="60C627BB"/>
    <w:rsid w:val="60C90799"/>
    <w:rsid w:val="60D443A1"/>
    <w:rsid w:val="60DC2CC3"/>
    <w:rsid w:val="60DD7D2A"/>
    <w:rsid w:val="60E21853"/>
    <w:rsid w:val="60E80F88"/>
    <w:rsid w:val="61366D54"/>
    <w:rsid w:val="613720DD"/>
    <w:rsid w:val="613979C7"/>
    <w:rsid w:val="61447E20"/>
    <w:rsid w:val="614A1A89"/>
    <w:rsid w:val="614E6EF1"/>
    <w:rsid w:val="614F763C"/>
    <w:rsid w:val="615755BD"/>
    <w:rsid w:val="615D2A65"/>
    <w:rsid w:val="61613BEB"/>
    <w:rsid w:val="61693D2A"/>
    <w:rsid w:val="61796574"/>
    <w:rsid w:val="618042CE"/>
    <w:rsid w:val="61880654"/>
    <w:rsid w:val="6189617B"/>
    <w:rsid w:val="619E4563"/>
    <w:rsid w:val="619F63A8"/>
    <w:rsid w:val="61C9247D"/>
    <w:rsid w:val="61CD6067"/>
    <w:rsid w:val="61DD059C"/>
    <w:rsid w:val="61E06BEB"/>
    <w:rsid w:val="61FA38A4"/>
    <w:rsid w:val="61FB44F2"/>
    <w:rsid w:val="62026A91"/>
    <w:rsid w:val="62086C73"/>
    <w:rsid w:val="624060C2"/>
    <w:rsid w:val="625941A1"/>
    <w:rsid w:val="625C0D21"/>
    <w:rsid w:val="62671448"/>
    <w:rsid w:val="62726C0F"/>
    <w:rsid w:val="62751A14"/>
    <w:rsid w:val="628110AA"/>
    <w:rsid w:val="62875A90"/>
    <w:rsid w:val="629047BC"/>
    <w:rsid w:val="629762BF"/>
    <w:rsid w:val="62B13E15"/>
    <w:rsid w:val="62B56ACB"/>
    <w:rsid w:val="62C30852"/>
    <w:rsid w:val="62E61DA2"/>
    <w:rsid w:val="62EC0759"/>
    <w:rsid w:val="62EC69C1"/>
    <w:rsid w:val="62FA0C93"/>
    <w:rsid w:val="62FD472A"/>
    <w:rsid w:val="63065CD5"/>
    <w:rsid w:val="63102F38"/>
    <w:rsid w:val="631421D2"/>
    <w:rsid w:val="633012F7"/>
    <w:rsid w:val="6333416A"/>
    <w:rsid w:val="63387D47"/>
    <w:rsid w:val="63414F5F"/>
    <w:rsid w:val="634C61F4"/>
    <w:rsid w:val="635D7C35"/>
    <w:rsid w:val="636C0637"/>
    <w:rsid w:val="63873AE1"/>
    <w:rsid w:val="63AA7892"/>
    <w:rsid w:val="63AB062A"/>
    <w:rsid w:val="63AE2A15"/>
    <w:rsid w:val="63B1030F"/>
    <w:rsid w:val="63C65464"/>
    <w:rsid w:val="63CA40E4"/>
    <w:rsid w:val="63D11CD0"/>
    <w:rsid w:val="63D60D6D"/>
    <w:rsid w:val="63DA0F0F"/>
    <w:rsid w:val="63DC4C88"/>
    <w:rsid w:val="63FE1B1D"/>
    <w:rsid w:val="64083EBA"/>
    <w:rsid w:val="640A6B8A"/>
    <w:rsid w:val="641B5F97"/>
    <w:rsid w:val="64243F39"/>
    <w:rsid w:val="64262637"/>
    <w:rsid w:val="64270A9F"/>
    <w:rsid w:val="643144B1"/>
    <w:rsid w:val="643423CE"/>
    <w:rsid w:val="64430863"/>
    <w:rsid w:val="64441708"/>
    <w:rsid w:val="644B2E9F"/>
    <w:rsid w:val="64601415"/>
    <w:rsid w:val="646107A2"/>
    <w:rsid w:val="6469042C"/>
    <w:rsid w:val="647944D1"/>
    <w:rsid w:val="647D7FBC"/>
    <w:rsid w:val="64802D6E"/>
    <w:rsid w:val="64805613"/>
    <w:rsid w:val="648A0240"/>
    <w:rsid w:val="64AD2B0F"/>
    <w:rsid w:val="64B11C70"/>
    <w:rsid w:val="64BD5DA3"/>
    <w:rsid w:val="64C67161"/>
    <w:rsid w:val="64CD2E6D"/>
    <w:rsid w:val="64E42046"/>
    <w:rsid w:val="64EA5182"/>
    <w:rsid w:val="64EC297E"/>
    <w:rsid w:val="64F102BF"/>
    <w:rsid w:val="64FE364A"/>
    <w:rsid w:val="6507754E"/>
    <w:rsid w:val="650D2C1F"/>
    <w:rsid w:val="65123962"/>
    <w:rsid w:val="65337EC4"/>
    <w:rsid w:val="653C01C1"/>
    <w:rsid w:val="654153AA"/>
    <w:rsid w:val="65434131"/>
    <w:rsid w:val="654B7228"/>
    <w:rsid w:val="654D7C2E"/>
    <w:rsid w:val="65505F7C"/>
    <w:rsid w:val="657C5654"/>
    <w:rsid w:val="6593581A"/>
    <w:rsid w:val="65AF1C1C"/>
    <w:rsid w:val="65C17EA5"/>
    <w:rsid w:val="65C200D8"/>
    <w:rsid w:val="65C41297"/>
    <w:rsid w:val="65C60E87"/>
    <w:rsid w:val="65CF5000"/>
    <w:rsid w:val="65D22501"/>
    <w:rsid w:val="65D969F1"/>
    <w:rsid w:val="65F468C3"/>
    <w:rsid w:val="66081D64"/>
    <w:rsid w:val="660B53B0"/>
    <w:rsid w:val="661669E2"/>
    <w:rsid w:val="661B76D3"/>
    <w:rsid w:val="662B74D0"/>
    <w:rsid w:val="662D3578"/>
    <w:rsid w:val="663533F6"/>
    <w:rsid w:val="663F14FE"/>
    <w:rsid w:val="663F7253"/>
    <w:rsid w:val="66415147"/>
    <w:rsid w:val="664D7777"/>
    <w:rsid w:val="666E0E1B"/>
    <w:rsid w:val="667529CC"/>
    <w:rsid w:val="66763171"/>
    <w:rsid w:val="667D51BE"/>
    <w:rsid w:val="667E2883"/>
    <w:rsid w:val="667E6793"/>
    <w:rsid w:val="668313EA"/>
    <w:rsid w:val="66860EDB"/>
    <w:rsid w:val="669C0748"/>
    <w:rsid w:val="66A51361"/>
    <w:rsid w:val="66A80E51"/>
    <w:rsid w:val="66A8260B"/>
    <w:rsid w:val="66AB3962"/>
    <w:rsid w:val="66C12C09"/>
    <w:rsid w:val="66C15989"/>
    <w:rsid w:val="66C739CD"/>
    <w:rsid w:val="66C814F3"/>
    <w:rsid w:val="66DE6A20"/>
    <w:rsid w:val="66E6060C"/>
    <w:rsid w:val="66EB050D"/>
    <w:rsid w:val="67055E1B"/>
    <w:rsid w:val="671059A6"/>
    <w:rsid w:val="672277D6"/>
    <w:rsid w:val="67290209"/>
    <w:rsid w:val="67290ACE"/>
    <w:rsid w:val="672F50CE"/>
    <w:rsid w:val="67307EB3"/>
    <w:rsid w:val="67355406"/>
    <w:rsid w:val="6739040E"/>
    <w:rsid w:val="674E60A1"/>
    <w:rsid w:val="67531912"/>
    <w:rsid w:val="675D60DF"/>
    <w:rsid w:val="676129D2"/>
    <w:rsid w:val="676378A7"/>
    <w:rsid w:val="67644C59"/>
    <w:rsid w:val="677B490E"/>
    <w:rsid w:val="677B7C35"/>
    <w:rsid w:val="6785559A"/>
    <w:rsid w:val="678673E4"/>
    <w:rsid w:val="678A6C8A"/>
    <w:rsid w:val="67955879"/>
    <w:rsid w:val="67B5271A"/>
    <w:rsid w:val="67B57CC9"/>
    <w:rsid w:val="67C021CA"/>
    <w:rsid w:val="67C16637"/>
    <w:rsid w:val="67CD37DA"/>
    <w:rsid w:val="67E916C6"/>
    <w:rsid w:val="67E934CF"/>
    <w:rsid w:val="67EC408F"/>
    <w:rsid w:val="67FE19E3"/>
    <w:rsid w:val="68071BA7"/>
    <w:rsid w:val="68076A48"/>
    <w:rsid w:val="68106CAE"/>
    <w:rsid w:val="68125890"/>
    <w:rsid w:val="682E5386"/>
    <w:rsid w:val="683A1C10"/>
    <w:rsid w:val="683B4874"/>
    <w:rsid w:val="683F7593"/>
    <w:rsid w:val="684352D5"/>
    <w:rsid w:val="684A6664"/>
    <w:rsid w:val="684F3C7A"/>
    <w:rsid w:val="68A67612"/>
    <w:rsid w:val="68AE414D"/>
    <w:rsid w:val="68C6767F"/>
    <w:rsid w:val="68C81889"/>
    <w:rsid w:val="68E424F2"/>
    <w:rsid w:val="68EB171F"/>
    <w:rsid w:val="68F12C01"/>
    <w:rsid w:val="68FA6539"/>
    <w:rsid w:val="69045669"/>
    <w:rsid w:val="69061428"/>
    <w:rsid w:val="690F3409"/>
    <w:rsid w:val="6927078B"/>
    <w:rsid w:val="69286279"/>
    <w:rsid w:val="69393D31"/>
    <w:rsid w:val="693F5EA4"/>
    <w:rsid w:val="69460607"/>
    <w:rsid w:val="694858F0"/>
    <w:rsid w:val="69550BFB"/>
    <w:rsid w:val="696A6B29"/>
    <w:rsid w:val="696E0A9A"/>
    <w:rsid w:val="69715E72"/>
    <w:rsid w:val="69750E21"/>
    <w:rsid w:val="69842192"/>
    <w:rsid w:val="698450AA"/>
    <w:rsid w:val="6985687C"/>
    <w:rsid w:val="699851AD"/>
    <w:rsid w:val="69A048BD"/>
    <w:rsid w:val="69A71034"/>
    <w:rsid w:val="69A83492"/>
    <w:rsid w:val="69A9560C"/>
    <w:rsid w:val="69C27B02"/>
    <w:rsid w:val="69C91F97"/>
    <w:rsid w:val="69E623BC"/>
    <w:rsid w:val="69ED6F02"/>
    <w:rsid w:val="69EE7223"/>
    <w:rsid w:val="69FD14B4"/>
    <w:rsid w:val="6A056DDC"/>
    <w:rsid w:val="6A057393"/>
    <w:rsid w:val="6A0E1913"/>
    <w:rsid w:val="6A143694"/>
    <w:rsid w:val="6A1C0949"/>
    <w:rsid w:val="6A1E0A41"/>
    <w:rsid w:val="6A2E3F76"/>
    <w:rsid w:val="6A2E73C3"/>
    <w:rsid w:val="6A465FF0"/>
    <w:rsid w:val="6A472B4C"/>
    <w:rsid w:val="6A570A63"/>
    <w:rsid w:val="6A63210D"/>
    <w:rsid w:val="6A7670F5"/>
    <w:rsid w:val="6A8120E5"/>
    <w:rsid w:val="6A987C6F"/>
    <w:rsid w:val="6AAA1DFE"/>
    <w:rsid w:val="6AAF79FF"/>
    <w:rsid w:val="6AC00E5F"/>
    <w:rsid w:val="6AC306AA"/>
    <w:rsid w:val="6AC33F7B"/>
    <w:rsid w:val="6AC60616"/>
    <w:rsid w:val="6AC87871"/>
    <w:rsid w:val="6AD26369"/>
    <w:rsid w:val="6AD959DC"/>
    <w:rsid w:val="6AEB19C5"/>
    <w:rsid w:val="6AF40B09"/>
    <w:rsid w:val="6B0B1A2E"/>
    <w:rsid w:val="6B193F82"/>
    <w:rsid w:val="6B33736F"/>
    <w:rsid w:val="6B3453A9"/>
    <w:rsid w:val="6B39476E"/>
    <w:rsid w:val="6B450D39"/>
    <w:rsid w:val="6B4A1FF9"/>
    <w:rsid w:val="6B592AF9"/>
    <w:rsid w:val="6B5C2732"/>
    <w:rsid w:val="6B633598"/>
    <w:rsid w:val="6B747558"/>
    <w:rsid w:val="6B7E44A8"/>
    <w:rsid w:val="6B802B7B"/>
    <w:rsid w:val="6B851761"/>
    <w:rsid w:val="6B9D2F4E"/>
    <w:rsid w:val="6BA22313"/>
    <w:rsid w:val="6BAF67DE"/>
    <w:rsid w:val="6BB32772"/>
    <w:rsid w:val="6BB641D1"/>
    <w:rsid w:val="6BC91283"/>
    <w:rsid w:val="6BDD77EF"/>
    <w:rsid w:val="6BE5007F"/>
    <w:rsid w:val="6BE75F78"/>
    <w:rsid w:val="6BEB1F0C"/>
    <w:rsid w:val="6BFB26B9"/>
    <w:rsid w:val="6C003F58"/>
    <w:rsid w:val="6C0510AF"/>
    <w:rsid w:val="6C0A12A0"/>
    <w:rsid w:val="6C131371"/>
    <w:rsid w:val="6C1E27FB"/>
    <w:rsid w:val="6C2125B9"/>
    <w:rsid w:val="6C45127D"/>
    <w:rsid w:val="6C465394"/>
    <w:rsid w:val="6C477A48"/>
    <w:rsid w:val="6C497C2B"/>
    <w:rsid w:val="6C4D6279"/>
    <w:rsid w:val="6C691929"/>
    <w:rsid w:val="6C6B4DFB"/>
    <w:rsid w:val="6C7653EA"/>
    <w:rsid w:val="6C80161C"/>
    <w:rsid w:val="6C8346BA"/>
    <w:rsid w:val="6C8917F3"/>
    <w:rsid w:val="6C8C7A1A"/>
    <w:rsid w:val="6C8E07EB"/>
    <w:rsid w:val="6C922387"/>
    <w:rsid w:val="6CAA1C24"/>
    <w:rsid w:val="6CC5763D"/>
    <w:rsid w:val="6CD7449F"/>
    <w:rsid w:val="6CEF50C6"/>
    <w:rsid w:val="6CF43A7A"/>
    <w:rsid w:val="6CF803B7"/>
    <w:rsid w:val="6CFC7A9E"/>
    <w:rsid w:val="6CFD633E"/>
    <w:rsid w:val="6D147240"/>
    <w:rsid w:val="6D1A3AF6"/>
    <w:rsid w:val="6D281E21"/>
    <w:rsid w:val="6D295F60"/>
    <w:rsid w:val="6D347596"/>
    <w:rsid w:val="6D596E90"/>
    <w:rsid w:val="6D68758C"/>
    <w:rsid w:val="6D7F1132"/>
    <w:rsid w:val="6D82064E"/>
    <w:rsid w:val="6D860032"/>
    <w:rsid w:val="6DA07862"/>
    <w:rsid w:val="6DAB5AB0"/>
    <w:rsid w:val="6DAE7C8E"/>
    <w:rsid w:val="6DC7004F"/>
    <w:rsid w:val="6DD864C0"/>
    <w:rsid w:val="6DE33684"/>
    <w:rsid w:val="6DE60B88"/>
    <w:rsid w:val="6DEB5D49"/>
    <w:rsid w:val="6DF33D76"/>
    <w:rsid w:val="6DF40A60"/>
    <w:rsid w:val="6DFD3487"/>
    <w:rsid w:val="6DFF1AAA"/>
    <w:rsid w:val="6E015BBB"/>
    <w:rsid w:val="6E061D25"/>
    <w:rsid w:val="6E0F7A08"/>
    <w:rsid w:val="6E16620A"/>
    <w:rsid w:val="6E182D60"/>
    <w:rsid w:val="6E217E67"/>
    <w:rsid w:val="6E2900AC"/>
    <w:rsid w:val="6E2B7977"/>
    <w:rsid w:val="6E2E4063"/>
    <w:rsid w:val="6E3C285F"/>
    <w:rsid w:val="6E414A73"/>
    <w:rsid w:val="6E562AD8"/>
    <w:rsid w:val="6E5E6D9D"/>
    <w:rsid w:val="6E714591"/>
    <w:rsid w:val="6E772037"/>
    <w:rsid w:val="6E786804"/>
    <w:rsid w:val="6E8250F1"/>
    <w:rsid w:val="6E846A90"/>
    <w:rsid w:val="6E9D5013"/>
    <w:rsid w:val="6EAD16FA"/>
    <w:rsid w:val="6ECB3E6A"/>
    <w:rsid w:val="6ECB4CD8"/>
    <w:rsid w:val="6ECE1BA8"/>
    <w:rsid w:val="6ECF5D6D"/>
    <w:rsid w:val="6EDC418C"/>
    <w:rsid w:val="6EE15A63"/>
    <w:rsid w:val="6EE67590"/>
    <w:rsid w:val="6EEA69AD"/>
    <w:rsid w:val="6EEE6498"/>
    <w:rsid w:val="6EFD1D73"/>
    <w:rsid w:val="6EFD5AB2"/>
    <w:rsid w:val="6F053C43"/>
    <w:rsid w:val="6F075837"/>
    <w:rsid w:val="6F1B6067"/>
    <w:rsid w:val="6F256125"/>
    <w:rsid w:val="6F2620DC"/>
    <w:rsid w:val="6F28453E"/>
    <w:rsid w:val="6F4656AB"/>
    <w:rsid w:val="6F49551F"/>
    <w:rsid w:val="6F4A3F3C"/>
    <w:rsid w:val="6F540B15"/>
    <w:rsid w:val="6F54601A"/>
    <w:rsid w:val="6F555835"/>
    <w:rsid w:val="6F55769C"/>
    <w:rsid w:val="6F5837CB"/>
    <w:rsid w:val="6F597080"/>
    <w:rsid w:val="6F626E48"/>
    <w:rsid w:val="6F630BD6"/>
    <w:rsid w:val="6F812184"/>
    <w:rsid w:val="6F845B2B"/>
    <w:rsid w:val="6F8D5088"/>
    <w:rsid w:val="6F970471"/>
    <w:rsid w:val="6F974654"/>
    <w:rsid w:val="6FA10C39"/>
    <w:rsid w:val="6FC51A41"/>
    <w:rsid w:val="6FC532F8"/>
    <w:rsid w:val="6FE32EFA"/>
    <w:rsid w:val="6FEC1DAE"/>
    <w:rsid w:val="6FF8441E"/>
    <w:rsid w:val="70092D5A"/>
    <w:rsid w:val="702E0D9C"/>
    <w:rsid w:val="70300C7F"/>
    <w:rsid w:val="70312EE4"/>
    <w:rsid w:val="70385739"/>
    <w:rsid w:val="703F7E7D"/>
    <w:rsid w:val="704020FA"/>
    <w:rsid w:val="70457711"/>
    <w:rsid w:val="704A5564"/>
    <w:rsid w:val="70751679"/>
    <w:rsid w:val="708B47AA"/>
    <w:rsid w:val="709616C4"/>
    <w:rsid w:val="70981E9C"/>
    <w:rsid w:val="709F2104"/>
    <w:rsid w:val="70A47E6A"/>
    <w:rsid w:val="70B52D25"/>
    <w:rsid w:val="70C36F04"/>
    <w:rsid w:val="70C740E1"/>
    <w:rsid w:val="70D07EC3"/>
    <w:rsid w:val="70D319E7"/>
    <w:rsid w:val="70D75F53"/>
    <w:rsid w:val="70D80585"/>
    <w:rsid w:val="70EC468E"/>
    <w:rsid w:val="70EE7DA8"/>
    <w:rsid w:val="70F33FDC"/>
    <w:rsid w:val="70FD71A6"/>
    <w:rsid w:val="71072D19"/>
    <w:rsid w:val="71082AAC"/>
    <w:rsid w:val="711D6AEF"/>
    <w:rsid w:val="71202DBA"/>
    <w:rsid w:val="714E3E56"/>
    <w:rsid w:val="71614A1E"/>
    <w:rsid w:val="7176585C"/>
    <w:rsid w:val="71902BFF"/>
    <w:rsid w:val="719A5DCE"/>
    <w:rsid w:val="719B7F30"/>
    <w:rsid w:val="71A74762"/>
    <w:rsid w:val="71A93FA1"/>
    <w:rsid w:val="71BA28B0"/>
    <w:rsid w:val="71BD203C"/>
    <w:rsid w:val="71CC3CC0"/>
    <w:rsid w:val="71D76943"/>
    <w:rsid w:val="71EC41F4"/>
    <w:rsid w:val="72035AD5"/>
    <w:rsid w:val="720E21AB"/>
    <w:rsid w:val="72127AC6"/>
    <w:rsid w:val="72135D18"/>
    <w:rsid w:val="72172DD6"/>
    <w:rsid w:val="72190E55"/>
    <w:rsid w:val="723E4170"/>
    <w:rsid w:val="72422A05"/>
    <w:rsid w:val="724759C2"/>
    <w:rsid w:val="72516841"/>
    <w:rsid w:val="725716A5"/>
    <w:rsid w:val="726A16B0"/>
    <w:rsid w:val="726F7761"/>
    <w:rsid w:val="72780225"/>
    <w:rsid w:val="727C5F33"/>
    <w:rsid w:val="727F77F5"/>
    <w:rsid w:val="72816D82"/>
    <w:rsid w:val="7299539E"/>
    <w:rsid w:val="729C3F60"/>
    <w:rsid w:val="72B37534"/>
    <w:rsid w:val="72B70089"/>
    <w:rsid w:val="72B73C27"/>
    <w:rsid w:val="72C7009D"/>
    <w:rsid w:val="72D354A8"/>
    <w:rsid w:val="72D36A71"/>
    <w:rsid w:val="72DB0E40"/>
    <w:rsid w:val="72E4478C"/>
    <w:rsid w:val="72FD42D3"/>
    <w:rsid w:val="72FF004B"/>
    <w:rsid w:val="72FF2DB8"/>
    <w:rsid w:val="731352DC"/>
    <w:rsid w:val="731F249B"/>
    <w:rsid w:val="73237AF4"/>
    <w:rsid w:val="73253671"/>
    <w:rsid w:val="73306456"/>
    <w:rsid w:val="73317A27"/>
    <w:rsid w:val="73357E69"/>
    <w:rsid w:val="73365490"/>
    <w:rsid w:val="733817AF"/>
    <w:rsid w:val="7351733F"/>
    <w:rsid w:val="73593E7F"/>
    <w:rsid w:val="735B6DB7"/>
    <w:rsid w:val="735C2691"/>
    <w:rsid w:val="735D3FB1"/>
    <w:rsid w:val="736D7FD1"/>
    <w:rsid w:val="737353DE"/>
    <w:rsid w:val="73767F05"/>
    <w:rsid w:val="7379604F"/>
    <w:rsid w:val="73886292"/>
    <w:rsid w:val="73935567"/>
    <w:rsid w:val="73A62438"/>
    <w:rsid w:val="73AC0E24"/>
    <w:rsid w:val="73BA21C4"/>
    <w:rsid w:val="73BA3CC2"/>
    <w:rsid w:val="73BC5F3C"/>
    <w:rsid w:val="73BE02D8"/>
    <w:rsid w:val="73CF5C6F"/>
    <w:rsid w:val="73D50144"/>
    <w:rsid w:val="73E060CE"/>
    <w:rsid w:val="73F602AE"/>
    <w:rsid w:val="74034BE4"/>
    <w:rsid w:val="740D1EA9"/>
    <w:rsid w:val="74165E03"/>
    <w:rsid w:val="741E5489"/>
    <w:rsid w:val="741F7825"/>
    <w:rsid w:val="742F7A23"/>
    <w:rsid w:val="74325266"/>
    <w:rsid w:val="74417576"/>
    <w:rsid w:val="7452064E"/>
    <w:rsid w:val="745443C6"/>
    <w:rsid w:val="74685677"/>
    <w:rsid w:val="74895730"/>
    <w:rsid w:val="74943E9C"/>
    <w:rsid w:val="749A50E1"/>
    <w:rsid w:val="749B1FF5"/>
    <w:rsid w:val="749F1AE5"/>
    <w:rsid w:val="74A0551B"/>
    <w:rsid w:val="74A30713"/>
    <w:rsid w:val="74B6122E"/>
    <w:rsid w:val="74C46221"/>
    <w:rsid w:val="74C54CA2"/>
    <w:rsid w:val="74CA6436"/>
    <w:rsid w:val="74DD1818"/>
    <w:rsid w:val="74EB5F77"/>
    <w:rsid w:val="74EE481B"/>
    <w:rsid w:val="74F2284A"/>
    <w:rsid w:val="74F26A6B"/>
    <w:rsid w:val="74FB1883"/>
    <w:rsid w:val="750F7705"/>
    <w:rsid w:val="75241FEA"/>
    <w:rsid w:val="75275B9B"/>
    <w:rsid w:val="75275C40"/>
    <w:rsid w:val="752D0D38"/>
    <w:rsid w:val="753560F9"/>
    <w:rsid w:val="75482A22"/>
    <w:rsid w:val="758208D8"/>
    <w:rsid w:val="758A424E"/>
    <w:rsid w:val="758E3C4E"/>
    <w:rsid w:val="75947170"/>
    <w:rsid w:val="75A44310"/>
    <w:rsid w:val="75B52BD6"/>
    <w:rsid w:val="75B72D40"/>
    <w:rsid w:val="75BB6DDA"/>
    <w:rsid w:val="75BC0475"/>
    <w:rsid w:val="75BF50AF"/>
    <w:rsid w:val="75C84C1B"/>
    <w:rsid w:val="75E14175"/>
    <w:rsid w:val="75E1612D"/>
    <w:rsid w:val="75E85141"/>
    <w:rsid w:val="75F76319"/>
    <w:rsid w:val="76094035"/>
    <w:rsid w:val="760A3051"/>
    <w:rsid w:val="760B6D06"/>
    <w:rsid w:val="761262E7"/>
    <w:rsid w:val="76155DFB"/>
    <w:rsid w:val="761757F3"/>
    <w:rsid w:val="76230272"/>
    <w:rsid w:val="76263B40"/>
    <w:rsid w:val="76360227"/>
    <w:rsid w:val="76371C9A"/>
    <w:rsid w:val="763E40F3"/>
    <w:rsid w:val="764D35D7"/>
    <w:rsid w:val="76581B86"/>
    <w:rsid w:val="765A1DB4"/>
    <w:rsid w:val="765A68B9"/>
    <w:rsid w:val="765D1540"/>
    <w:rsid w:val="7662023E"/>
    <w:rsid w:val="76643AE7"/>
    <w:rsid w:val="767A306F"/>
    <w:rsid w:val="768309E0"/>
    <w:rsid w:val="7684793E"/>
    <w:rsid w:val="769767EC"/>
    <w:rsid w:val="76983734"/>
    <w:rsid w:val="76A235BC"/>
    <w:rsid w:val="76B305FF"/>
    <w:rsid w:val="76C02622"/>
    <w:rsid w:val="76C04379"/>
    <w:rsid w:val="76D66190"/>
    <w:rsid w:val="76F352B7"/>
    <w:rsid w:val="76F62536"/>
    <w:rsid w:val="76F63F8E"/>
    <w:rsid w:val="7705394C"/>
    <w:rsid w:val="77097DD0"/>
    <w:rsid w:val="771E4103"/>
    <w:rsid w:val="77541DD9"/>
    <w:rsid w:val="77560455"/>
    <w:rsid w:val="775B3563"/>
    <w:rsid w:val="77737259"/>
    <w:rsid w:val="77750B1E"/>
    <w:rsid w:val="77785FC0"/>
    <w:rsid w:val="777C69F4"/>
    <w:rsid w:val="7782124A"/>
    <w:rsid w:val="779D6D1F"/>
    <w:rsid w:val="77B37656"/>
    <w:rsid w:val="77C3377A"/>
    <w:rsid w:val="77C35AEB"/>
    <w:rsid w:val="77C51D8C"/>
    <w:rsid w:val="77C655DB"/>
    <w:rsid w:val="77C74EAF"/>
    <w:rsid w:val="77DE46D3"/>
    <w:rsid w:val="77E617D9"/>
    <w:rsid w:val="77EB6DF0"/>
    <w:rsid w:val="77EE6703"/>
    <w:rsid w:val="77F43EF6"/>
    <w:rsid w:val="77F54AD9"/>
    <w:rsid w:val="78024049"/>
    <w:rsid w:val="780802FA"/>
    <w:rsid w:val="78177082"/>
    <w:rsid w:val="78212811"/>
    <w:rsid w:val="78291AB0"/>
    <w:rsid w:val="78320EC2"/>
    <w:rsid w:val="7843609F"/>
    <w:rsid w:val="784B2D5A"/>
    <w:rsid w:val="785051F3"/>
    <w:rsid w:val="78632E2A"/>
    <w:rsid w:val="78646F86"/>
    <w:rsid w:val="787057C4"/>
    <w:rsid w:val="78727E4E"/>
    <w:rsid w:val="7873289B"/>
    <w:rsid w:val="787B63C5"/>
    <w:rsid w:val="7888098F"/>
    <w:rsid w:val="78880AE2"/>
    <w:rsid w:val="78886D34"/>
    <w:rsid w:val="788A0834"/>
    <w:rsid w:val="78A23952"/>
    <w:rsid w:val="78AE072B"/>
    <w:rsid w:val="78AE0DB3"/>
    <w:rsid w:val="78B638A1"/>
    <w:rsid w:val="78C12F29"/>
    <w:rsid w:val="78C7160B"/>
    <w:rsid w:val="78CD0CE6"/>
    <w:rsid w:val="78CE6947"/>
    <w:rsid w:val="79017595"/>
    <w:rsid w:val="790C6D01"/>
    <w:rsid w:val="79121A2E"/>
    <w:rsid w:val="791D122B"/>
    <w:rsid w:val="79231E78"/>
    <w:rsid w:val="79294073"/>
    <w:rsid w:val="792B34EF"/>
    <w:rsid w:val="792B7DEB"/>
    <w:rsid w:val="79325BEF"/>
    <w:rsid w:val="793B3DA7"/>
    <w:rsid w:val="79420C91"/>
    <w:rsid w:val="79450781"/>
    <w:rsid w:val="79532003"/>
    <w:rsid w:val="795821A2"/>
    <w:rsid w:val="797445F1"/>
    <w:rsid w:val="79763A5F"/>
    <w:rsid w:val="79821A9D"/>
    <w:rsid w:val="79A75DED"/>
    <w:rsid w:val="79BB0B66"/>
    <w:rsid w:val="79BC3EB0"/>
    <w:rsid w:val="79D02741"/>
    <w:rsid w:val="79E57808"/>
    <w:rsid w:val="79E91A91"/>
    <w:rsid w:val="79F20909"/>
    <w:rsid w:val="7A02015B"/>
    <w:rsid w:val="7A0648A7"/>
    <w:rsid w:val="7A096D9E"/>
    <w:rsid w:val="7A0E5017"/>
    <w:rsid w:val="7A116EA2"/>
    <w:rsid w:val="7A1350B3"/>
    <w:rsid w:val="7A2041A1"/>
    <w:rsid w:val="7A2454C3"/>
    <w:rsid w:val="7A2E7B6A"/>
    <w:rsid w:val="7A3D378A"/>
    <w:rsid w:val="7A4A42A1"/>
    <w:rsid w:val="7A4D2AE1"/>
    <w:rsid w:val="7A527E3C"/>
    <w:rsid w:val="7A886B78"/>
    <w:rsid w:val="7A8D0632"/>
    <w:rsid w:val="7A940CEF"/>
    <w:rsid w:val="7A981A09"/>
    <w:rsid w:val="7AA42D9E"/>
    <w:rsid w:val="7AB908C6"/>
    <w:rsid w:val="7ABD4A62"/>
    <w:rsid w:val="7AC06311"/>
    <w:rsid w:val="7ADB1185"/>
    <w:rsid w:val="7AEF6BF7"/>
    <w:rsid w:val="7AF27FBF"/>
    <w:rsid w:val="7AF97A75"/>
    <w:rsid w:val="7B217224"/>
    <w:rsid w:val="7B354232"/>
    <w:rsid w:val="7B46489C"/>
    <w:rsid w:val="7B5353D8"/>
    <w:rsid w:val="7B53600E"/>
    <w:rsid w:val="7B660B9C"/>
    <w:rsid w:val="7B737828"/>
    <w:rsid w:val="7B7E43E3"/>
    <w:rsid w:val="7B864A64"/>
    <w:rsid w:val="7B973491"/>
    <w:rsid w:val="7BAF222A"/>
    <w:rsid w:val="7BB43953"/>
    <w:rsid w:val="7BB87930"/>
    <w:rsid w:val="7BBF13B3"/>
    <w:rsid w:val="7BD15117"/>
    <w:rsid w:val="7BD27A5D"/>
    <w:rsid w:val="7BD60A58"/>
    <w:rsid w:val="7BDC1EC1"/>
    <w:rsid w:val="7BDF0A19"/>
    <w:rsid w:val="7BE1477E"/>
    <w:rsid w:val="7BED5740"/>
    <w:rsid w:val="7BFD3FCE"/>
    <w:rsid w:val="7C010D1F"/>
    <w:rsid w:val="7C085991"/>
    <w:rsid w:val="7C0F2B75"/>
    <w:rsid w:val="7C1508DF"/>
    <w:rsid w:val="7C2B29AB"/>
    <w:rsid w:val="7C37476C"/>
    <w:rsid w:val="7C445F6B"/>
    <w:rsid w:val="7C465062"/>
    <w:rsid w:val="7C4A252D"/>
    <w:rsid w:val="7C4A67DB"/>
    <w:rsid w:val="7C4F3EB5"/>
    <w:rsid w:val="7C550AA2"/>
    <w:rsid w:val="7C5D397B"/>
    <w:rsid w:val="7C5E2BFE"/>
    <w:rsid w:val="7C6B1D2B"/>
    <w:rsid w:val="7C6C62C5"/>
    <w:rsid w:val="7C75137E"/>
    <w:rsid w:val="7C923CDE"/>
    <w:rsid w:val="7C9C1750"/>
    <w:rsid w:val="7C9F18C8"/>
    <w:rsid w:val="7CA0289E"/>
    <w:rsid w:val="7CBA3AAE"/>
    <w:rsid w:val="7CC443BD"/>
    <w:rsid w:val="7CC72DC3"/>
    <w:rsid w:val="7CE81B50"/>
    <w:rsid w:val="7D1564DB"/>
    <w:rsid w:val="7D1A3036"/>
    <w:rsid w:val="7D1C1DCC"/>
    <w:rsid w:val="7D212011"/>
    <w:rsid w:val="7D2A660C"/>
    <w:rsid w:val="7D366731"/>
    <w:rsid w:val="7D3D1E9B"/>
    <w:rsid w:val="7D513B99"/>
    <w:rsid w:val="7D5176F5"/>
    <w:rsid w:val="7D5353F5"/>
    <w:rsid w:val="7D552799"/>
    <w:rsid w:val="7D6F7660"/>
    <w:rsid w:val="7D746A0E"/>
    <w:rsid w:val="7D7776E4"/>
    <w:rsid w:val="7D7B1F42"/>
    <w:rsid w:val="7D8B6E4D"/>
    <w:rsid w:val="7D8E1243"/>
    <w:rsid w:val="7D917500"/>
    <w:rsid w:val="7D935F5F"/>
    <w:rsid w:val="7DA95783"/>
    <w:rsid w:val="7DAA70EE"/>
    <w:rsid w:val="7DCA16EC"/>
    <w:rsid w:val="7DD32800"/>
    <w:rsid w:val="7DD52BE0"/>
    <w:rsid w:val="7DE467BB"/>
    <w:rsid w:val="7DF52776"/>
    <w:rsid w:val="7DFA7D8C"/>
    <w:rsid w:val="7E012B5A"/>
    <w:rsid w:val="7E09289C"/>
    <w:rsid w:val="7E133C92"/>
    <w:rsid w:val="7E150010"/>
    <w:rsid w:val="7E176C01"/>
    <w:rsid w:val="7E1A4D7A"/>
    <w:rsid w:val="7E2D63B4"/>
    <w:rsid w:val="7E35461F"/>
    <w:rsid w:val="7E361EBB"/>
    <w:rsid w:val="7E525835"/>
    <w:rsid w:val="7E5E47BF"/>
    <w:rsid w:val="7E5F4018"/>
    <w:rsid w:val="7E6943E0"/>
    <w:rsid w:val="7E7E10FB"/>
    <w:rsid w:val="7E843835"/>
    <w:rsid w:val="7E8C712F"/>
    <w:rsid w:val="7E993502"/>
    <w:rsid w:val="7E9E1908"/>
    <w:rsid w:val="7EA0044B"/>
    <w:rsid w:val="7EA87DB4"/>
    <w:rsid w:val="7EC35188"/>
    <w:rsid w:val="7EC7646A"/>
    <w:rsid w:val="7ECA3E11"/>
    <w:rsid w:val="7ED405DD"/>
    <w:rsid w:val="7ED62316"/>
    <w:rsid w:val="7EDF1235"/>
    <w:rsid w:val="7EE36A72"/>
    <w:rsid w:val="7EF4608E"/>
    <w:rsid w:val="7EFE1AFE"/>
    <w:rsid w:val="7F0A3FFF"/>
    <w:rsid w:val="7F153328"/>
    <w:rsid w:val="7F196938"/>
    <w:rsid w:val="7F217AD5"/>
    <w:rsid w:val="7F2210EE"/>
    <w:rsid w:val="7F436EBA"/>
    <w:rsid w:val="7F46773E"/>
    <w:rsid w:val="7F4B6252"/>
    <w:rsid w:val="7F531F0C"/>
    <w:rsid w:val="7F547970"/>
    <w:rsid w:val="7F5E2CF2"/>
    <w:rsid w:val="7F7B4EFD"/>
    <w:rsid w:val="7F7D5E5E"/>
    <w:rsid w:val="7F89736C"/>
    <w:rsid w:val="7F9B559F"/>
    <w:rsid w:val="7FAE0E2E"/>
    <w:rsid w:val="7FBA59C5"/>
    <w:rsid w:val="7FCC4CBB"/>
    <w:rsid w:val="7FDB18A6"/>
    <w:rsid w:val="7FDB4950"/>
    <w:rsid w:val="7FE14118"/>
    <w:rsid w:val="7FEE1B73"/>
    <w:rsid w:val="7FF04A62"/>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left"/>
    </w:pPr>
    <w:rPr>
      <w:rFonts w:asciiTheme="minorHAnsi" w:hAnsiTheme="minorHAnsi" w:eastAsiaTheme="minorEastAsia" w:cstheme="minorBidi"/>
      <w:kern w:val="0"/>
      <w:sz w:val="24"/>
      <w:szCs w:val="24"/>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pPr>
    <w:rPr>
      <w:sz w:val="18"/>
    </w:rPr>
  </w:style>
  <w:style w:type="paragraph" w:styleId="5">
    <w:name w:val="Body Text"/>
    <w:basedOn w:val="1"/>
    <w:autoRedefine/>
    <w:qFormat/>
    <w:uiPriority w:val="1"/>
    <w:rPr>
      <w:sz w:val="28"/>
      <w:szCs w:val="28"/>
    </w:rPr>
  </w:style>
  <w:style w:type="paragraph" w:styleId="6">
    <w:name w:val="Body Text Indent"/>
    <w:basedOn w:val="1"/>
    <w:qFormat/>
    <w:uiPriority w:val="0"/>
    <w:pPr>
      <w:ind w:firstLine="720" w:firstLineChars="257"/>
    </w:pPr>
    <w:rPr>
      <w:rFonts w:ascii="Calibri" w:hAnsi="Calibri" w:cs="Times New Roman"/>
      <w:kern w:val="0"/>
      <w:sz w:val="20"/>
    </w:rPr>
  </w:style>
  <w:style w:type="paragraph" w:styleId="7">
    <w:name w:val="toc 5"/>
    <w:basedOn w:val="1"/>
    <w:next w:val="1"/>
    <w:qFormat/>
    <w:uiPriority w:val="0"/>
    <w:pPr>
      <w:ind w:left="1680" w:leftChars="800"/>
    </w:pPr>
    <w:rPr>
      <w:rFonts w:ascii="Times New Roman" w:hAnsi="Times New Roman" w:eastAsia="宋体" w:cs="Times New Roman"/>
      <w:szCs w:val="24"/>
    </w:rPr>
  </w:style>
  <w:style w:type="paragraph" w:styleId="8">
    <w:name w:val="Body Text Indent 2"/>
    <w:basedOn w:val="1"/>
    <w:qFormat/>
    <w:uiPriority w:val="0"/>
    <w:pPr>
      <w:spacing w:after="120" w:line="480" w:lineRule="auto"/>
      <w:ind w:left="420" w:leftChars="200"/>
    </w:p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autoRedefine/>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1"/>
    <w:next w:val="1"/>
    <w:qFormat/>
    <w:uiPriority w:val="0"/>
    <w:pPr>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paragraph" w:customStyle="1" w:styleId="18">
    <w:name w:val="Table Text"/>
    <w:basedOn w:val="1"/>
    <w:autoRedefine/>
    <w:semiHidden/>
    <w:qFormat/>
    <w:uiPriority w:val="0"/>
    <w:rPr>
      <w:rFonts w:ascii="宋体" w:hAnsi="宋体" w:eastAsia="宋体" w:cs="宋体"/>
      <w:sz w:val="18"/>
      <w:szCs w:val="18"/>
      <w:lang w:val="en-US" w:eastAsia="en-US" w:bidi="ar-SA"/>
    </w:rPr>
  </w:style>
  <w:style w:type="character" w:customStyle="1" w:styleId="19">
    <w:name w:val="font41"/>
    <w:basedOn w:val="16"/>
    <w:autoRedefine/>
    <w:qFormat/>
    <w:uiPriority w:val="0"/>
    <w:rPr>
      <w:rFonts w:hint="eastAsia" w:ascii="宋体" w:hAnsi="宋体" w:eastAsia="宋体" w:cs="宋体"/>
      <w:color w:val="000000"/>
      <w:sz w:val="18"/>
      <w:szCs w:val="18"/>
      <w:u w:val="none"/>
    </w:rPr>
  </w:style>
  <w:style w:type="character" w:customStyle="1" w:styleId="20">
    <w:name w:val="font51"/>
    <w:basedOn w:val="16"/>
    <w:autoRedefine/>
    <w:qFormat/>
    <w:uiPriority w:val="0"/>
    <w:rPr>
      <w:rFonts w:hint="eastAsia" w:ascii="宋体" w:hAnsi="宋体" w:eastAsia="宋体" w:cs="宋体"/>
      <w:color w:val="000000"/>
      <w:sz w:val="18"/>
      <w:szCs w:val="18"/>
      <w:u w:val="none"/>
    </w:rPr>
  </w:style>
  <w:style w:type="character" w:customStyle="1" w:styleId="21">
    <w:name w:val="font11"/>
    <w:basedOn w:val="16"/>
    <w:qFormat/>
    <w:uiPriority w:val="0"/>
    <w:rPr>
      <w:rFonts w:hint="eastAsia" w:ascii="宋体" w:hAnsi="宋体" w:eastAsia="宋体" w:cs="宋体"/>
      <w:color w:val="000000"/>
      <w:sz w:val="22"/>
      <w:szCs w:val="22"/>
      <w:u w:val="none"/>
    </w:rPr>
  </w:style>
  <w:style w:type="character" w:customStyle="1" w:styleId="22">
    <w:name w:val="font21"/>
    <w:basedOn w:val="16"/>
    <w:qFormat/>
    <w:uiPriority w:val="0"/>
    <w:rPr>
      <w:rFonts w:hint="eastAsia" w:ascii="宋体" w:hAnsi="宋体" w:eastAsia="宋体" w:cs="宋体"/>
      <w:color w:val="000000"/>
      <w:sz w:val="21"/>
      <w:szCs w:val="21"/>
      <w:u w:val="none"/>
    </w:rPr>
  </w:style>
  <w:style w:type="character" w:customStyle="1" w:styleId="23">
    <w:name w:val="font01"/>
    <w:basedOn w:val="16"/>
    <w:qFormat/>
    <w:uiPriority w:val="0"/>
    <w:rPr>
      <w:rFonts w:hint="eastAsia" w:ascii="宋体" w:hAnsi="宋体" w:eastAsia="宋体" w:cs="宋体"/>
      <w:color w:val="000000"/>
      <w:sz w:val="22"/>
      <w:szCs w:val="22"/>
      <w:u w:val="none"/>
    </w:rPr>
  </w:style>
  <w:style w:type="character" w:customStyle="1" w:styleId="24">
    <w:name w:val="font31"/>
    <w:basedOn w:val="16"/>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emf"/><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025.2.1-2025.4.30\7.7.7&#32489;&#25928;&#25253;&#21578;&#31609;&#22791;&#38454;&#27573;&#21450;&#19994;&#21153;&#38454;&#27573;\1&#27491;&#24335;&#36164;&#26009;&#21450;&#35201;&#27714;&#23454;&#26045;&#38454;&#27573;\000004.8&#21306;&#32489;&#25928;&#35780;&#20215;&#36827;&#22330;&#19994;&#21153;&#21450;&#23567;&#32467;\1&#32489;&#25928;&#35780;&#20215;&#19994;&#21153;2025.4&#19994;&#21153;&#27719;&#24635;\D&#32452;&#24213;&#31295;\20-&#32452;&#32455;&#37096;&#65288;&#32599;&#38745;&#24609;&#65289;\2024&#24180;&#32489;&#25928;&#32452;&#32455;&#37096;&#25552;&#20379;&#30005;&#23376;&#29256;&#36164;&#26009;\2024&#21333;&#20301;&#25351;&#26631;&#25191;&#34892;&#24773;&#20917;&#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指标下达数与指标使用数对比图（金额：元）</a:t>
            </a:r>
          </a:p>
        </c:rich>
      </c:tx>
      <c:layout/>
      <c:overlay val="0"/>
      <c:spPr>
        <a:noFill/>
        <a:ln>
          <a:noFill/>
        </a:ln>
        <a:effectLst/>
      </c:spPr>
    </c:title>
    <c:autoTitleDeleted val="0"/>
    <c:plotArea>
      <c:layout/>
      <c:barChart>
        <c:barDir val="col"/>
        <c:grouping val="clustered"/>
        <c:varyColors val="0"/>
        <c:ser>
          <c:idx val="0"/>
          <c:order val="0"/>
          <c:tx>
            <c:strRef>
              <c:f>[2024单位指标执行情况表.xlsx]Sheet2!$I$3</c:f>
              <c:strCache>
                <c:ptCount val="1"/>
                <c:pt idx="0">
                  <c:v>指标下达数</c:v>
                </c:pt>
              </c:strCache>
            </c:strRef>
          </c:tx>
          <c:spPr>
            <a:solidFill>
              <a:schemeClr val="accent1"/>
            </a:solidFill>
            <a:ln>
              <a:noFill/>
            </a:ln>
            <a:effectLst/>
          </c:spPr>
          <c:invertIfNegative val="0"/>
          <c:dLbls>
            <c:delete val="1"/>
          </c:dLbls>
          <c:cat>
            <c:strRef>
              <c:f>[2024单位指标执行情况表.xlsx]Sheet2!$H$4:$H$14</c:f>
              <c:strCache>
                <c:ptCount val="11"/>
                <c:pt idx="0">
                  <c:v>1月</c:v>
                </c:pt>
                <c:pt idx="1">
                  <c:v>2月</c:v>
                </c:pt>
                <c:pt idx="2">
                  <c:v>3月</c:v>
                </c:pt>
                <c:pt idx="3">
                  <c:v>4月</c:v>
                </c:pt>
                <c:pt idx="4">
                  <c:v>5月</c:v>
                </c:pt>
                <c:pt idx="5">
                  <c:v>6月</c:v>
                </c:pt>
                <c:pt idx="6">
                  <c:v>7月</c:v>
                </c:pt>
                <c:pt idx="7">
                  <c:v>8月</c:v>
                </c:pt>
                <c:pt idx="8">
                  <c:v>9月</c:v>
                </c:pt>
                <c:pt idx="9">
                  <c:v>11月</c:v>
                </c:pt>
                <c:pt idx="10">
                  <c:v>12月</c:v>
                </c:pt>
              </c:strCache>
            </c:strRef>
          </c:cat>
          <c:val>
            <c:numRef>
              <c:f>[2024单位指标执行情况表.xlsx]Sheet2!$I$4:$I$14</c:f>
              <c:numCache>
                <c:formatCode>#,##0.00_ </c:formatCode>
                <c:ptCount val="11"/>
                <c:pt idx="0">
                  <c:v>3977327.14</c:v>
                </c:pt>
                <c:pt idx="1">
                  <c:v>140700</c:v>
                </c:pt>
                <c:pt idx="2">
                  <c:v>28100</c:v>
                </c:pt>
                <c:pt idx="3">
                  <c:v>22000</c:v>
                </c:pt>
                <c:pt idx="4">
                  <c:v>10000</c:v>
                </c:pt>
                <c:pt idx="5">
                  <c:v>1451000</c:v>
                </c:pt>
                <c:pt idx="6">
                  <c:v>34548</c:v>
                </c:pt>
                <c:pt idx="7">
                  <c:v>288900</c:v>
                </c:pt>
                <c:pt idx="8">
                  <c:v>1146000</c:v>
                </c:pt>
                <c:pt idx="9">
                  <c:v>50000</c:v>
                </c:pt>
                <c:pt idx="10">
                  <c:v>1199500.96</c:v>
                </c:pt>
              </c:numCache>
            </c:numRef>
          </c:val>
        </c:ser>
        <c:ser>
          <c:idx val="1"/>
          <c:order val="1"/>
          <c:tx>
            <c:strRef>
              <c:f>[2024单位指标执行情况表.xlsx]Sheet2!$J$3</c:f>
              <c:strCache>
                <c:ptCount val="1"/>
                <c:pt idx="0">
                  <c:v>占比1</c:v>
                </c:pt>
              </c:strCache>
            </c:strRef>
          </c:tx>
          <c:spPr>
            <a:solidFill>
              <a:schemeClr val="accent2"/>
            </a:solidFill>
            <a:ln>
              <a:noFill/>
            </a:ln>
            <a:effectLst/>
          </c:spPr>
          <c:invertIfNegative val="0"/>
          <c:dLbls>
            <c:delete val="1"/>
          </c:dLbls>
          <c:cat>
            <c:strRef>
              <c:f>[2024单位指标执行情况表.xlsx]Sheet2!$H$4:$H$14</c:f>
              <c:strCache>
                <c:ptCount val="11"/>
                <c:pt idx="0">
                  <c:v>1月</c:v>
                </c:pt>
                <c:pt idx="1">
                  <c:v>2月</c:v>
                </c:pt>
                <c:pt idx="2">
                  <c:v>3月</c:v>
                </c:pt>
                <c:pt idx="3">
                  <c:v>4月</c:v>
                </c:pt>
                <c:pt idx="4">
                  <c:v>5月</c:v>
                </c:pt>
                <c:pt idx="5">
                  <c:v>6月</c:v>
                </c:pt>
                <c:pt idx="6">
                  <c:v>7月</c:v>
                </c:pt>
                <c:pt idx="7">
                  <c:v>8月</c:v>
                </c:pt>
                <c:pt idx="8">
                  <c:v>9月</c:v>
                </c:pt>
                <c:pt idx="9">
                  <c:v>11月</c:v>
                </c:pt>
                <c:pt idx="10">
                  <c:v>12月</c:v>
                </c:pt>
              </c:strCache>
            </c:strRef>
          </c:cat>
          <c:val>
            <c:numRef>
              <c:f>[2024单位指标执行情况表.xlsx]Sheet2!$J$4:$J$14</c:f>
              <c:numCache>
                <c:formatCode>0.00%</c:formatCode>
                <c:ptCount val="11"/>
                <c:pt idx="0">
                  <c:v>0.476436377957791</c:v>
                </c:pt>
                <c:pt idx="1">
                  <c:v>0.0168541827260056</c:v>
                </c:pt>
                <c:pt idx="2">
                  <c:v>0.00336604502203807</c:v>
                </c:pt>
                <c:pt idx="3">
                  <c:v>0.00263533773967394</c:v>
                </c:pt>
                <c:pt idx="4">
                  <c:v>0.00119788079076088</c:v>
                </c:pt>
                <c:pt idx="5">
                  <c:v>0.173812502739404</c:v>
                </c:pt>
                <c:pt idx="6">
                  <c:v>0.00413843855592069</c:v>
                </c:pt>
                <c:pt idx="7">
                  <c:v>0.0346067760450818</c:v>
                </c:pt>
                <c:pt idx="8">
                  <c:v>0.137277138621197</c:v>
                </c:pt>
                <c:pt idx="9">
                  <c:v>0.0059894039538044</c:v>
                </c:pt>
                <c:pt idx="10">
                  <c:v>0.143685915848323</c:v>
                </c:pt>
              </c:numCache>
            </c:numRef>
          </c:val>
        </c:ser>
        <c:ser>
          <c:idx val="2"/>
          <c:order val="2"/>
          <c:tx>
            <c:strRef>
              <c:f>[2024单位指标执行情况表.xlsx]Sheet2!$K$3</c:f>
              <c:strCache>
                <c:ptCount val="1"/>
                <c:pt idx="0">
                  <c:v>指标使用数</c:v>
                </c:pt>
              </c:strCache>
            </c:strRef>
          </c:tx>
          <c:spPr>
            <a:solidFill>
              <a:schemeClr val="accent2"/>
            </a:solidFill>
            <a:ln>
              <a:noFill/>
            </a:ln>
            <a:effectLst/>
          </c:spPr>
          <c:invertIfNegative val="0"/>
          <c:dLbls>
            <c:delete val="1"/>
          </c:dLbls>
          <c:cat>
            <c:strRef>
              <c:f>[2024单位指标执行情况表.xlsx]Sheet2!$H$4:$H$14</c:f>
              <c:strCache>
                <c:ptCount val="11"/>
                <c:pt idx="0">
                  <c:v>1月</c:v>
                </c:pt>
                <c:pt idx="1">
                  <c:v>2月</c:v>
                </c:pt>
                <c:pt idx="2">
                  <c:v>3月</c:v>
                </c:pt>
                <c:pt idx="3">
                  <c:v>4月</c:v>
                </c:pt>
                <c:pt idx="4">
                  <c:v>5月</c:v>
                </c:pt>
                <c:pt idx="5">
                  <c:v>6月</c:v>
                </c:pt>
                <c:pt idx="6">
                  <c:v>7月</c:v>
                </c:pt>
                <c:pt idx="7">
                  <c:v>8月</c:v>
                </c:pt>
                <c:pt idx="8">
                  <c:v>9月</c:v>
                </c:pt>
                <c:pt idx="9">
                  <c:v>11月</c:v>
                </c:pt>
                <c:pt idx="10">
                  <c:v>12月</c:v>
                </c:pt>
              </c:strCache>
            </c:strRef>
          </c:cat>
          <c:val>
            <c:numRef>
              <c:f>[2024单位指标执行情况表.xlsx]Sheet2!$K$4:$K$14</c:f>
              <c:numCache>
                <c:formatCode>#,##0.00_ </c:formatCode>
                <c:ptCount val="11"/>
                <c:pt idx="0">
                  <c:v>3963928.68</c:v>
                </c:pt>
                <c:pt idx="1">
                  <c:v>140700</c:v>
                </c:pt>
                <c:pt idx="2">
                  <c:v>22940.47</c:v>
                </c:pt>
                <c:pt idx="3">
                  <c:v>22000</c:v>
                </c:pt>
                <c:pt idx="4">
                  <c:v>10000</c:v>
                </c:pt>
                <c:pt idx="5">
                  <c:v>1451000</c:v>
                </c:pt>
                <c:pt idx="6">
                  <c:v>34548</c:v>
                </c:pt>
                <c:pt idx="7">
                  <c:v>283900</c:v>
                </c:pt>
                <c:pt idx="8">
                  <c:v>1133000</c:v>
                </c:pt>
                <c:pt idx="9">
                  <c:v>41000</c:v>
                </c:pt>
                <c:pt idx="10">
                  <c:v>1186440.96</c:v>
                </c:pt>
              </c:numCache>
            </c:numRef>
          </c:val>
        </c:ser>
        <c:ser>
          <c:idx val="3"/>
          <c:order val="3"/>
          <c:tx>
            <c:strRef>
              <c:f>[2024单位指标执行情况表.xlsx]Sheet2!$L$3</c:f>
              <c:strCache>
                <c:ptCount val="1"/>
                <c:pt idx="0">
                  <c:v>占比2</c:v>
                </c:pt>
              </c:strCache>
            </c:strRef>
          </c:tx>
          <c:spPr>
            <a:solidFill>
              <a:schemeClr val="accent4"/>
            </a:solidFill>
            <a:ln>
              <a:noFill/>
            </a:ln>
            <a:effectLst/>
          </c:spPr>
          <c:invertIfNegative val="0"/>
          <c:dLbls>
            <c:delete val="1"/>
          </c:dLbls>
          <c:cat>
            <c:strRef>
              <c:f>[2024单位指标执行情况表.xlsx]Sheet2!$H$4:$H$14</c:f>
              <c:strCache>
                <c:ptCount val="11"/>
                <c:pt idx="0">
                  <c:v>1月</c:v>
                </c:pt>
                <c:pt idx="1">
                  <c:v>2月</c:v>
                </c:pt>
                <c:pt idx="2">
                  <c:v>3月</c:v>
                </c:pt>
                <c:pt idx="3">
                  <c:v>4月</c:v>
                </c:pt>
                <c:pt idx="4">
                  <c:v>5月</c:v>
                </c:pt>
                <c:pt idx="5">
                  <c:v>6月</c:v>
                </c:pt>
                <c:pt idx="6">
                  <c:v>7月</c:v>
                </c:pt>
                <c:pt idx="7">
                  <c:v>8月</c:v>
                </c:pt>
                <c:pt idx="8">
                  <c:v>9月</c:v>
                </c:pt>
                <c:pt idx="9">
                  <c:v>11月</c:v>
                </c:pt>
                <c:pt idx="10">
                  <c:v>12月</c:v>
                </c:pt>
              </c:strCache>
            </c:strRef>
          </c:cat>
          <c:val>
            <c:numRef>
              <c:f>[2024单位指标执行情况表.xlsx]Sheet2!$L$4:$L$14</c:f>
              <c:numCache>
                <c:formatCode>0.00%</c:formatCode>
                <c:ptCount val="11"/>
                <c:pt idx="0">
                  <c:v>0.478189120132968</c:v>
                </c:pt>
                <c:pt idx="1">
                  <c:v>0.0169733652227841</c:v>
                </c:pt>
                <c:pt idx="2">
                  <c:v>0.00276742697720201</c:v>
                </c:pt>
                <c:pt idx="3">
                  <c:v>0.00265397324023633</c:v>
                </c:pt>
                <c:pt idx="4">
                  <c:v>0.00120635147283469</c:v>
                </c:pt>
                <c:pt idx="5">
                  <c:v>0.175041598708314</c:v>
                </c:pt>
                <c:pt idx="6">
                  <c:v>0.0041677030683493</c:v>
                </c:pt>
                <c:pt idx="7">
                  <c:v>0.034248318313777</c:v>
                </c:pt>
                <c:pt idx="8">
                  <c:v>0.136679621872171</c:v>
                </c:pt>
                <c:pt idx="9">
                  <c:v>0.00494604103862225</c:v>
                </c:pt>
                <c:pt idx="10">
                  <c:v>0.143126479952741</c:v>
                </c:pt>
              </c:numCache>
            </c:numRef>
          </c:val>
        </c:ser>
        <c:dLbls>
          <c:showLegendKey val="0"/>
          <c:showVal val="0"/>
          <c:showCatName val="0"/>
          <c:showSerName val="0"/>
          <c:showPercent val="0"/>
          <c:showBubbleSize val="0"/>
        </c:dLbls>
        <c:gapWidth val="43"/>
        <c:overlap val="45"/>
        <c:axId val="341731427"/>
        <c:axId val="611929724"/>
      </c:barChart>
      <c:catAx>
        <c:axId val="34173142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1929724"/>
        <c:crosses val="autoZero"/>
        <c:auto val="1"/>
        <c:lblAlgn val="ctr"/>
        <c:lblOffset val="100"/>
        <c:noMultiLvlLbl val="0"/>
      </c:catAx>
      <c:valAx>
        <c:axId val="611929724"/>
        <c:scaling>
          <c:orientation val="minMax"/>
        </c:scaling>
        <c:delete val="0"/>
        <c:axPos val="l"/>
        <c:majorGridlines>
          <c:spPr>
            <a:ln w="9525" cap="flat" cmpd="sng" algn="ctr">
              <a:solidFill>
                <a:schemeClr val="lt1">
                  <a:lumMod val="902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1731427"/>
        <c:crosses val="autoZero"/>
        <c:crossBetween val="between"/>
      </c:valAx>
      <c:spPr>
        <a:noFill/>
        <a:ln>
          <a:noFill/>
        </a:ln>
        <a:effectLst/>
      </c:spPr>
    </c:plotArea>
    <c:legend>
      <c:legendPos val="b"/>
      <c:legendEntry>
        <c:idx val="1"/>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904b226-a60f-44c8-9eed-97b4b53cddb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ddc2e8da-b8cb-4fd7-b8ea-9cbad1f999c2</errorID>
      <errorWord>[2025]</errorWord>
      <group>L1_Punc</group>
      <groupName>标点问题</groupName>
      <ability>L2_Punc</ability>
      <abilityName>标点符号检查</abilityName>
      <candidateList>
        <item>〔2025〕</item>
      </candidateList>
      <explain/>
      <paraID>59FC2698</paraID>
      <start>5</start>
      <end>11</end>
      <status>unmodified</status>
      <modifiedWord/>
      <trackRevisions>false</trackRevisions>
    </reviewItem>
    <reviewItem>
      <errorID>c27275aa-d64a-44ff-998e-4a2133f51718</errorID>
      <errorWord>[2025]</errorWord>
      <group>L1_Punc</group>
      <groupName>标点问题</groupName>
      <ability>L2_Punc</ability>
      <abilityName>标点符号检查</abilityName>
      <candidateList>
        <item>〔2025〕</item>
      </candidateList>
      <explain/>
      <paraID>18CF8679</paraID>
      <start>5</start>
      <end>11</end>
      <status>unmodified</status>
      <modifiedWord/>
      <trackRevisions>false</trackRevisions>
    </reviewItem>
    <reviewItem>
      <errorID>57d9c53d-14d1-486e-b61b-f7af59c3a9d7</errorID>
      <errorWord>。</errorWord>
      <group>L1_Grammar</group>
      <groupName>语法问题</groupName>
      <ability>L2_Missing</ability>
      <abilityName>成分残缺</abilityName>
      <candidateList>
        <item>的步骤。</item>
      </candidateList>
      <explain>句子中可能存在主谓宾、修饰语或者必要的词语残缺。</explain>
      <paraID>46E904E7</paraID>
      <start>108</start>
      <end>109</end>
      <status>unmodified</status>
      <modifiedWord/>
      <trackRevisions>false</trackRevisions>
    </reviewItem>
    <reviewItem>
      <errorID>a939f16e-dba1-4503-8fc3-2966cd8654a2</errorID>
      <errorWord>括</errorWord>
      <group>L1_Word</group>
      <groupName>字词问题</groupName>
      <ability>L2_Typo</ability>
      <abilityName>字词错误</abilityName>
      <candidateList>
        <item>括但</item>
      </candidateList>
      <explain/>
      <paraID> 68AC208</paraID>
      <start>35</start>
      <end>36</end>
      <status>unmodified</status>
      <modifiedWord/>
      <trackRevisions>false</trackRevisions>
    </reviewItem>
    <reviewItem>
      <errorID>62007f85-2253-45b4-9888-38cd61cb5875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7E639943</paraID>
      <start>0</start>
      <end>2</end>
      <status>unmodified</status>
      <modifiedWord/>
      <trackRevisions>false</trackRevisions>
    </reviewItem>
    <reviewItem>
      <errorID>759cf593-11b6-473b-a42d-73c6bd379af8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70207DD6</paraID>
      <start>0</start>
      <end>2</end>
      <status>unmodified</status>
      <modifiedWord/>
      <trackRevisions>false</trackRevisions>
    </reviewItem>
    <reviewItem>
      <errorID>0993250f-5187-46ec-9f7d-bbad448c403b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54B859B</paraID>
      <start>0</start>
      <end>2</end>
      <status>unmodified</status>
      <modifiedWord/>
      <trackRevisions>false</trackRevisions>
    </reviewItem>
    <reviewItem>
      <errorID>536f546d-cbc6-46d7-847b-b6fb1e3f3a09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393EE0EE</paraID>
      <start>0</start>
      <end>2</end>
      <status>unmodified</status>
      <modifiedWord/>
      <trackRevisions>false</trackRevisions>
    </reviewItem>
    <reviewItem>
      <errorID>a74a56e0-b9e2-4fc9-8794-2e88f12b21d1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95FF3AA</paraID>
      <start>0</start>
      <end>2</end>
      <status>unmodified</status>
      <modifiedWord/>
      <trackRevisions>false</trackRevisions>
    </reviewItem>
    <reviewItem>
      <errorID>545b9faa-07a5-4335-b255-ebada8390882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58819D15</paraID>
      <start>0</start>
      <end>2</end>
      <status>unmodified</status>
      <modifiedWord/>
      <trackRevisions>false</trackRevisions>
    </reviewItem>
    <reviewItem>
      <errorID>9e366184-5245-4436-a50f-b7b54707ffcd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4C76F82A</paraID>
      <start>0</start>
      <end>2</end>
      <status>unmodified</status>
      <modifiedWord/>
      <trackRevisions>false</trackRevisions>
    </reviewItem>
    <reviewItem>
      <errorID>de92ff54-04a6-4e49-b78d-3f0c68bf83d5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4CD93FB7</paraID>
      <start>0</start>
      <end>2</end>
      <status>unmodified</status>
      <modifiedWord/>
      <trackRevisions>false</trackRevisions>
    </reviewItem>
    <reviewItem>
      <errorID>19c046b5-bd81-4ab2-bef3-d7e795ade155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531721EF</paraID>
      <start>0</start>
      <end>2</end>
      <status>unmodified</status>
      <modifiedWord/>
      <trackRevisions>false</trackRevisions>
    </reviewItem>
    <reviewItem>
      <errorID>81f33769-1545-4af5-8bc5-462ebe5196df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4391BE99</paraID>
      <start>0</start>
      <end>3</end>
      <status>unmodified</status>
      <modifiedWord/>
      <trackRevisions>false</trackRevisions>
    </reviewItem>
    <reviewItem>
      <errorID>dd7b3613-200a-4414-97fc-d956aff003b0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63EC011E</paraID>
      <start>0</start>
      <end>3</end>
      <status>unmodified</status>
      <modifiedWord/>
      <trackRevisions>false</trackRevisions>
    </reviewItem>
    <reviewItem>
      <errorID>41d72d0f-62a9-41ee-aae1-abc760cec21c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4C67DECB</paraID>
      <start>0</start>
      <end>3</end>
      <status>unmodified</status>
      <modifiedWord/>
      <trackRevisions>false</trackRevisions>
    </reviewItem>
    <reviewItem>
      <errorID>677bb538-549b-440b-b4a3-0a229965f62a</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36A5A86A</paraID>
      <start>0</start>
      <end>3</end>
      <status>unmodified</status>
      <modifiedWord/>
      <trackRevisions>false</trackRevisions>
    </reviewItem>
    <reviewItem>
      <errorID>7c332c7c-94d7-42f3-a4c0-698a6e32359f</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1BAE7B51</paraID>
      <start>0</start>
      <end>3</end>
      <status>unmodified</status>
      <modifiedWord/>
      <trackRevisions>false</trackRevisions>
    </reviewItem>
    <reviewItem>
      <errorID>ff30e679-0ef0-4cd0-b7a3-966c0d9f4b1c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3AEBA156</paraID>
      <start>0</start>
      <end>3</end>
      <status>unmodified</status>
      <modifiedWord/>
      <trackRevisions>false</trackRevisions>
    </reviewItem>
    <reviewItem>
      <errorID>7c410b14-c0ea-436e-9905-4c08616d1afe</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5D2E8234</paraID>
      <start>0</start>
      <end>3</end>
      <status>unmodified</status>
      <modifiedWord/>
      <trackRevisions>false</trackRevisions>
    </reviewItem>
    <reviewItem>
      <errorID>17866ee0-422e-406c-bdf6-a6326467192f</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D4C8011</paraID>
      <start>0</start>
      <end>3</end>
      <status>unmodified</status>
      <modifiedWord/>
      <trackRevisions>false</trackRevisions>
    </reviewItem>
    <reviewItem>
      <errorID>eb88797c-d30d-4751-9c30-0a99420e22f4</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 D4C8011</paraID>
      <start>10</start>
      <end>12</end>
      <status>unmodified</status>
      <modifiedWord/>
      <trackRevisions>false</trackRevisions>
    </reviewItem>
    <reviewItem>
      <errorID>72226ad9-a95c-4937-b6d4-daac389d1abb</errorID>
      <errorWord>。</errorWord>
      <group>L1_Grammar</group>
      <groupName>语法问题</groupName>
      <ability>L2_Missing</ability>
      <abilityName>成分残缺</abilityName>
      <candidateList>
        <item>作出明确要求。</item>
      </candidateList>
      <explain>句子中可能存在主谓宾、修饰语或者必要的词语残缺。</explain>
      <paraID> D4C8011</paraID>
      <start>30</start>
      <end>31</end>
      <status>unmodified</status>
      <modifiedWord/>
      <trackRevisions>false</trackRevisions>
    </reviewItem>
    <reviewItem>
      <errorID>f46ba4e0-73fc-4594-8602-9c718643298d</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4AF561C1</paraID>
      <start>0</start>
      <end>3</end>
      <status>unmodified</status>
      <modifiedWord/>
      <trackRevisions>false</trackRevisions>
    </reviewItem>
    <reviewItem>
      <errorID>edeacf5e-9304-4100-884a-d2a3adc010a8</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71A41B9F</paraID>
      <start>0</start>
      <end>3</end>
      <status>unmodified</status>
      <modifiedWord/>
      <trackRevisions>false</trackRevisions>
    </reviewItem>
    <reviewItem>
      <errorID>273b3478-e360-4597-8fd8-4917b9ba3e22</errorID>
      <errorWord>[2017]409号</errorWord>
      <group>L1_Knowledge</group>
      <groupName>知识性问题</groupName>
      <ability>L2_Knowledge</ability>
      <abilityName>其他知识</abilityName>
      <candidateList>
        <item>〔2017〕409号</item>
      </candidateList>
      <explain>发文字号格式错误。</explain>
      <paraID>71A41B9F</paraID>
      <start>20</start>
      <end>30</end>
      <status>unmodified</status>
      <modifiedWord/>
      <trackRevisions>false</trackRevisions>
    </reviewItem>
    <reviewItem>
      <errorID>328dde76-b2b7-4512-b0bc-ded738eb94d3</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34DA055C</paraID>
      <start>0</start>
      <end>3</end>
      <status>unmodified</status>
      <modifiedWord/>
      <trackRevisions>false</trackRevisions>
    </reviewItem>
    <reviewItem>
      <errorID>034062f8-b6bb-4832-97a7-2aa7b88a4e37</errorID>
      <errorWord>[2018]467号</errorWord>
      <group>L1_Knowledge</group>
      <groupName>知识性问题</groupName>
      <ability>L2_Knowledge</ability>
      <abilityName>其他知识</abilityName>
      <candidateList>
        <item>〔2018〕467号</item>
      </candidateList>
      <explain>发文字号格式错误。</explain>
      <paraID>34DA055C</paraID>
      <start>14</start>
      <end>24</end>
      <status>unmodified</status>
      <modifiedWord/>
      <trackRevisions>false</trackRevisions>
    </reviewItem>
    <reviewItem>
      <errorID>48fafeb1-9c35-4557-b809-749d9cc8e5c2</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73E24FFD</paraID>
      <start>0</start>
      <end>3</end>
      <status>unmodified</status>
      <modifiedWord/>
      <trackRevisions>false</trackRevisions>
    </reviewItem>
    <reviewItem>
      <errorID>09841a7b-8069-4766-b406-d3d5489deb12</errorID>
      <errorWord>[2025]6号</errorWord>
      <group>L1_Knowledge</group>
      <groupName>知识性问题</groupName>
      <ability>L2_Knowledge</ability>
      <abilityName>其他知识</abilityName>
      <candidateList>
        <item>〔2025〕6号</item>
      </candidateList>
      <explain>发文字号格式错误。</explain>
      <paraID>73E24FFD</paraID>
      <start>28</start>
      <end>36</end>
      <status>unmodified</status>
      <modifiedWord/>
      <trackRevisions>false</trackRevisions>
    </reviewItem>
    <reviewItem>
      <errorID>a3bcd6ba-dc10-47c0-8ebf-a173a517143a</errorID>
      <errorWord>。</errorWord>
      <group>L1_Grammar</group>
      <groupName>语法问题</groupName>
      <ability>L2_Missing</ability>
      <abilityName>成分残缺</abilityName>
      <candidateList>
        <item>已发布。</item>
      </candidateList>
      <explain>句子中可能存在主谓宾、修饰语或者必要的词语残缺。</explain>
      <paraID>73E24FFD</paraID>
      <start>59</start>
      <end>60</end>
      <status>unmodified</status>
      <modifiedWord/>
      <trackRevisions>false</trackRevisions>
    </reviewItem>
    <reviewItem>
      <errorID>1992a83f-4086-41cb-9621-b40c0394879a</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18017CDF</paraID>
      <start>0</start>
      <end>3</end>
      <status>unmodified</status>
      <modifiedWord/>
      <trackRevisions>false</trackRevisions>
    </reviewItem>
    <reviewItem>
      <errorID>b6f77f01-8d60-4fb8-b37a-023036c6732f</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1CC63EDA</paraID>
      <start>0</start>
      <end>3</end>
      <status>unmodified</status>
      <modifiedWord/>
      <trackRevisions>false</trackRevisions>
    </reviewItem>
    <reviewItem>
      <errorID>f92668c8-8907-4f41-a71c-01d6f3379c02</errorID>
      <errorWord>第一议题制度</errorWord>
      <group>L1_Political</group>
      <groupName>政治性问题</groupName>
      <ability>L2_Keyword</ability>
      <abilityName>固定表述</abilityName>
      <candidateList>
        <item>“第一议题”制度</item>
      </candidateList>
      <explain>注意检查当前固定表述标点是否使用规范。</explain>
      <paraID>1499F282</paraID>
      <start>61</start>
      <end>67</end>
      <status>unmodified</status>
      <modifiedWord/>
      <trackRevisions>false</trackRevisions>
    </reviewItem>
    <reviewItem>
      <errorID>43bfc5a2-4226-44e7-a0d2-d1b23fcfe635</errorID>
      <errorWord>学习习近平总书记</errorWord>
      <group>L1_Political</group>
      <groupName>政治性问题</groupName>
      <ability>L2_Keyword</ability>
      <abilityName>固定表述</abilityName>
      <candidateList>
        <item>学习贯彻习近平总书记</item>
      </candidateList>
      <explain>词汇“学习贯彻习近平总书记”在特定场景下为固定表述形式，请确认此处的“学习习近平总书记”是否存在不当。</explain>
      <paraID>1499F282</paraID>
      <start>67</start>
      <end>75</end>
      <status>unmodified</status>
      <modifiedWord/>
      <trackRevisions>false</trackRevisions>
    </reviewItem>
    <reviewItem>
      <errorID>1a15edb3-9b86-48b4-a211-fd9969e4f04f</errorID>
      <errorWord>量力而行、尽力而为</errorWord>
      <group>L1_Political</group>
      <groupName>政治性问题</groupName>
      <ability>L2_Keyword</ability>
      <abilityName>固定表述</abilityName>
      <candidateList>
        <item>尽力而为、量力而行</item>
      </candidateList>
      <explain>词汇“尽力而为、量力而行”在特定场景下为固定表述形式，请确认此处的“量力而行、尽力而为”是否存在不当。</explain>
      <paraID>1B78F83C</paraID>
      <start>23</start>
      <end>32</end>
      <status>unmodified</status>
      <modifiedWord/>
      <trackRevisions>false</trackRevisions>
    </reviewItem>
    <reviewItem>
      <errorID>42e211f3-02f4-4cb7-875e-ef8cf047e672</errorID>
      <errorWord>职</errorWord>
      <group>L1_Word</group>
      <groupName>字词问题</groupName>
      <ability>L2_Typo</ability>
      <abilityName>字词错误</abilityName>
      <candidateList>
        <item>职效</item>
      </candidateList>
      <explain/>
      <paraID>6EBA30CD</paraID>
      <start>5</start>
      <end>6</end>
      <status>unmodified</status>
      <modifiedWord/>
      <trackRevisions>false</trackRevisions>
    </reviewItem>
    <reviewItem>
      <errorID>9904cdfd-c9c2-4b5a-95ab-4fc0061205fe</errorID>
      <errorWord>，</errorWord>
      <group>L1_Word</group>
      <groupName>字词问题</groupName>
      <ability>L2_Typo</ability>
      <abilityName>字词错误</abilityName>
      <candidateList>
        <item>，党</item>
      </candidateList>
      <explain/>
      <paraID>6EBA30CD</paraID>
      <start>58</start>
      <end>59</end>
      <status>unmodified</status>
      <modifiedWord/>
      <trackRevisions>false</trackRevisions>
    </reviewItem>
    <reviewItem>
      <errorID>d0310d04-76d8-4f9f-b102-d374664655c1</errorID>
      <errorWord>-</errorWord>
      <group>L1_Format</group>
      <groupName>格式问题</groupName>
      <ability>L2_HalfPunc</ability>
      <abilityName>全半角检查</abilityName>
      <candidateList>
        <item>－</item>
      </candidateList>
      <explain>文本全半角错误。</explain>
      <paraID> E4BBADD</paraID>
      <start>27</start>
      <end>28</end>
      <status>unmodified</status>
      <modifiedWord/>
      <trackRevisions>false</trackRevisions>
    </reviewItem>
    <reviewItem>
      <errorID>04bc354f-786f-408f-8a36-f608b5a0ee98</errorID>
      <errorWord>-</errorWord>
      <group>L1_Format</group>
      <groupName>格式问题</groupName>
      <ability>L2_HalfPunc</ability>
      <abilityName>全半角检查</abilityName>
      <candidateList>
        <item>－</item>
      </candidateList>
      <explain>文本全半角错误。</explain>
      <paraID> E4BBADD</paraID>
      <start>37</start>
      <end>38</end>
      <status>unmodified</status>
      <modifiedWord/>
      <trackRevisions>false</trackRevisions>
    </reviewItem>
    <reviewItem>
      <errorID>c73ab557-1504-4212-8b62-2070314b20b1</errorID>
      <errorWord>-</errorWord>
      <group>L1_Format</group>
      <groupName>格式问题</groupName>
      <ability>L2_HalfPunc</ability>
      <abilityName>全半角检查</abilityName>
      <candidateList>
        <item>－</item>
      </candidateList>
      <explain>文本全半角错误。</explain>
      <paraID> E4BBADD</paraID>
      <start>61</start>
      <end>62</end>
      <status>unmodified</status>
      <modifiedWord/>
      <trackRevisions>false</trackRevisions>
    </reviewItem>
    <reviewItem>
      <errorID>72d09bb3-e8e4-4a9b-9870-120f96231321</errorID>
      <errorWord>-</errorWord>
      <group>L1_Format</group>
      <groupName>格式问题</groupName>
      <ability>L2_HalfPunc</ability>
      <abilityName>全半角检查</abilityName>
      <candidateList>
        <item>－</item>
      </candidateList>
      <explain>文本全半角错误。</explain>
      <paraID> E4BBADD</paraID>
      <start>111</start>
      <end>112</end>
      <status>unmodified</status>
      <modifiedWord/>
      <trackRevisions>false</trackRevisions>
    </reviewItem>
    <reviewItem>
      <errorID>dcd0fa19-d854-4888-8cd2-7685dcb80c6c</errorID>
      <errorWord>-</errorWord>
      <group>L1_Format</group>
      <groupName>格式问题</groupName>
      <ability>L2_HalfPunc</ability>
      <abilityName>全半角检查</abilityName>
      <candidateList>
        <item>－</item>
      </candidateList>
      <explain>文本全半角错误。</explain>
      <paraID>483A402F</paraID>
      <start>6</start>
      <end>7</end>
      <status>unmodified</status>
      <modifiedWord/>
      <trackRevisions>false</trackRevisions>
    </reviewItem>
    <reviewItem>
      <errorID>73a56782-6ef5-40a7-9175-5e5ccec717bb</errorID>
      <errorWord>-</errorWord>
      <group>L1_Format</group>
      <groupName>格式问题</groupName>
      <ability>L2_HalfPunc</ability>
      <abilityName>全半角检查</abilityName>
      <candidateList>
        <item>－</item>
      </candidateList>
      <explain>文本全半角错误。</explain>
      <paraID>5F8EBFE3</paraID>
      <start>6</start>
      <end>7</end>
      <status>unmodified</status>
      <modifiedWord/>
      <trackRevisions>false</trackRevisions>
    </reviewItem>
    <reviewItem>
      <errorID>a7eb9a20-4386-4487-a79d-359e6164342c</errorID>
      <errorWord>3号</errorWord>
      <group>L1_Knowledge</group>
      <groupName>知识性问题</groupName>
      <ability>L2_Time</ability>
      <abilityName>日期时间</abilityName>
      <candidateList>
        <item>3日</item>
      </candidateList>
      <explain>日期表达规范为x月x日。</explain>
      <paraID>68144545</paraID>
      <start>10</start>
      <end>12</end>
      <status>unmodified</status>
      <modifiedWord/>
      <trackRevisions>false</trackRevisions>
    </reviewItem>
    <reviewItem>
      <errorID>c09d79c8-eacd-4ce0-830a-347c76594e70</errorID>
      <errorWord>凭证</errorWord>
      <group>L1_Word</group>
      <groupName>字词问题</groupName>
      <ability>L2_Typo</ability>
      <abilityName>字词错误</abilityName>
      <candidateList>
        <item>凭</item>
      </candidateList>
      <explain/>
      <paraID>68144545</paraID>
      <start>12</start>
      <end>14</end>
      <status>unmodified</status>
      <modifiedWord/>
      <trackRevisions>false</trackRevisions>
    </reviewItem>
    <reviewItem>
      <errorID>86f24f35-e881-4539-be58-a0700d1b1b49</errorID>
      <errorWord>16号</errorWord>
      <group>L1_Knowledge</group>
      <groupName>知识性问题</groupName>
      <ability>L2_Time</ability>
      <abilityName>日期时间</abilityName>
      <candidateList>
        <item>16日</item>
      </candidateList>
      <explain>日期表达规范为x月x日。</explain>
      <paraID>68144545</paraID>
      <start>65</start>
      <end>68</end>
      <status>unmodified</status>
      <modifiedWord/>
      <trackRevisions>false</trackRevisions>
    </reviewItem>
    <reviewItem>
      <errorID>132440b6-26f4-4957-a533-1525351fa152</errorID>
      <errorWord>16号</errorWord>
      <group>L1_Knowledge</group>
      <groupName>知识性问题</groupName>
      <ability>L2_Time</ability>
      <abilityName>日期时间</abilityName>
      <candidateList>
        <item>16日</item>
      </candidateList>
      <explain>日期表达规范为x月x日。</explain>
      <paraID>68144545</paraID>
      <start>137</start>
      <end>140</end>
      <status>unmodified</status>
      <modifiedWord/>
      <trackRevisions>false</trackRevisions>
    </reviewItem>
    <reviewItem>
      <errorID>57cbcc1a-fad4-48bc-90a0-bad92066db6e</errorID>
      <errorWord>6号</errorWord>
      <group>L1_Knowledge</group>
      <groupName>知识性问题</groupName>
      <ability>L2_Time</ability>
      <abilityName>日期时间</abilityName>
      <candidateList>
        <item>6日</item>
      </candidateList>
      <explain>日期表达规范为x月x日。</explain>
      <paraID>68144545</paraID>
      <start>205</start>
      <end>207</end>
      <status>unmodified</status>
      <modifiedWord/>
      <trackRevisions>false</trackRevisions>
    </reviewItem>
    <reviewItem>
      <errorID>4f0a662a-2bdd-4886-93b6-cdbfa5801590</errorID>
      <errorWord>10号</errorWord>
      <group>L1_Knowledge</group>
      <groupName>知识性问题</groupName>
      <ability>L2_Time</ability>
      <abilityName>日期时间</abilityName>
      <candidateList>
        <item>10日</item>
      </candidateList>
      <explain>日期表达规范为x月x日。</explain>
      <paraID>68144545</paraID>
      <start>248</start>
      <end>251</end>
      <status>unmodified</status>
      <modifiedWord/>
      <trackRevisions>false</trackRevisions>
    </reviewItem>
    <reviewItem>
      <errorID>cffea8e4-67a3-424c-8075-020ff3efd446</errorID>
      <errorWord>2号</errorWord>
      <group>L1_Knowledge</group>
      <groupName>知识性问题</groupName>
      <ability>L2_Time</ability>
      <abilityName>日期时间</abilityName>
      <candidateList>
        <item>2日</item>
      </candidateList>
      <explain>日期表达规范为x月x日。</explain>
      <paraID>68144545</paraID>
      <start>284</start>
      <end>286</end>
      <status>unmodified</status>
      <modifiedWord/>
      <trackRevisions>false</trackRevisions>
    </reviewItem>
    <reviewItem>
      <errorID>4823579e-1790-47a5-8e4f-a6e8f26e6f09</errorID>
      <errorWord>3号</errorWord>
      <group>L1_Knowledge</group>
      <groupName>知识性问题</groupName>
      <ability>L2_Time</ability>
      <abilityName>日期时间</abilityName>
      <candidateList>
        <item>3日</item>
      </candidateList>
      <explain>日期表达规范为x月x日。</explain>
      <paraID>68144545</paraID>
      <start>329</start>
      <end>331</end>
      <status>unmodified</status>
      <modifiedWord/>
      <trackRevisions>false</trackRevisions>
    </reviewItem>
    <reviewItem>
      <errorID>ff06c83b-ffc5-46ca-9144-059f512129ae</errorID>
      <errorWord>1号</errorWord>
      <group>L1_Knowledge</group>
      <groupName>知识性问题</groupName>
      <ability>L2_Time</ability>
      <abilityName>日期时间</abilityName>
      <candidateList>
        <item>1日</item>
      </candidateList>
      <explain>日期表达规范为x月x日。</explain>
      <paraID>68144545</paraID>
      <start>380</start>
      <end>382</end>
      <status>unmodified</status>
      <modifiedWord/>
      <trackRevisions>false</trackRevisions>
    </reviewItem>
    <reviewItem>
      <errorID>24667951-7c22-462f-8cd5-70134e3860c5</errorID>
      <errorWord>10号</errorWord>
      <group>L1_Knowledge</group>
      <groupName>知识性问题</groupName>
      <ability>L2_Time</ability>
      <abilityName>日期时间</abilityName>
      <candidateList>
        <item>10日</item>
      </candidateList>
      <explain>日期表达规范为x月x日。</explain>
      <paraID>68144545</paraID>
      <start>425</start>
      <end>428</end>
      <status>unmodified</status>
      <modifiedWord/>
      <trackRevisions>false</trackRevisions>
    </reviewItem>
    <reviewItem>
      <errorID>51aee50d-1557-4bf2-be7d-1f3c851bff89</errorID>
      <errorWord>1号</errorWord>
      <group>L1_Knowledge</group>
      <groupName>知识性问题</groupName>
      <ability>L2_Time</ability>
      <abilityName>日期时间</abilityName>
      <candidateList>
        <item>1日</item>
      </candidateList>
      <explain>日期表达规范为x月x日。</explain>
      <paraID>68144545</paraID>
      <start>461</start>
      <end>463</end>
      <status>unmodified</status>
      <modifiedWord/>
      <trackRevisions>false</trackRevisions>
    </reviewItem>
    <reviewItem>
      <errorID>440cefd5-608a-41ed-9373-0d5c6ed7084d</errorID>
      <errorWord>22号</errorWord>
      <group>L1_Knowledge</group>
      <groupName>知识性问题</groupName>
      <ability>L2_Time</ability>
      <abilityName>日期时间</abilityName>
      <candidateList>
        <item>22日</item>
      </candidateList>
      <explain>日期表达规范为x月x日。</explain>
      <paraID>68144545</paraID>
      <start>523</start>
      <end>526</end>
      <status>unmodified</status>
      <modifiedWord/>
      <trackRevisions>false</trackRevisions>
    </reviewItem>
    <reviewItem>
      <errorID>20a6e5a8-071b-4a22-8b58-14435e8c8713</errorID>
      <errorWord>三重一大</errorWord>
      <group>L1_Political</group>
      <groupName>政治性问题</groupName>
      <ability>L2_Keyword</ability>
      <abilityName>固定表述</abilityName>
      <candidateList>
        <item>“三重一大”</item>
      </candidateList>
      <explain>注意检查当前固定表述标点是否使用规范。</explain>
      <paraID>68144545</paraID>
      <start>591</start>
      <end>595</end>
      <status>unmodified</status>
      <modifiedWord/>
      <trackRevisions>false</trackRevisions>
    </reviewItem>
    <reviewItem>
      <errorID>7168c7b3-37f8-437c-ae2b-88141939520d</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6C95C375</paraID>
      <start>2</start>
      <end>6</end>
      <status>unmodified</status>
      <modifiedWord/>
      <trackRevisions>false</trackRevisions>
    </reviewItem>
    <reviewItem>
      <errorID>388914cf-eb41-4f56-9a37-e74b3dc8bc5d</errorID>
      <errorWord>数</errorWord>
      <group>L1_Word</group>
      <groupName>字词问题</groupName>
      <ability>L2_Typo</ability>
      <abilityName>字词错误</abilityName>
      <candidateList>
        <item>数据</item>
      </candidateList>
      <explain/>
      <paraID>6C95C375</paraID>
      <start>9</start>
      <end>10</end>
      <status>unmodified</status>
      <modifiedWord/>
      <trackRevisions>false</trackRevisions>
    </reviewItem>
    <reviewItem>
      <errorID>bd770640-334a-4268-92e4-e2fe7b37790a</errorID>
      <errorWord>-</errorWord>
      <group>L1_Format</group>
      <groupName>格式问题</groupName>
      <ability>L2_HalfPunc</ability>
      <abilityName>全半角检查</abilityName>
      <candidateList>
        <item>－</item>
      </candidateList>
      <explain>文本全半角错误。</explain>
      <paraID>1100C993</paraID>
      <start>4</start>
      <end>5</end>
      <status>unmodified</status>
      <modifiedWord/>
      <trackRevisions>false</trackRevisions>
    </reviewItem>
    <reviewItem>
      <errorID>d346edb8-5412-44bb-b796-abab78d5ca2c</errorID>
      <errorWord>-</errorWord>
      <group>L1_Format</group>
      <groupName>格式问题</groupName>
      <ability>L2_HalfPunc</ability>
      <abilityName>全半角检查</abilityName>
      <candidateList>
        <item>－</item>
      </candidateList>
      <explain>文本全半角错误。</explain>
      <paraID>1100C993</paraID>
      <start>9</start>
      <end>10</end>
      <status>unmodified</status>
      <modifiedWord/>
      <trackRevisions>false</trackRevisions>
    </reviewItem>
    <reviewItem>
      <errorID>87254ae7-1566-4e27-909a-0c0d48a8e033</errorID>
      <errorWord>-</errorWord>
      <group>L1_Format</group>
      <groupName>格式问题</groupName>
      <ability>L2_HalfPunc</ability>
      <abilityName>全半角检查</abilityName>
      <candidateList>
        <item>－</item>
      </candidateList>
      <explain>文本全半角错误。</explain>
      <paraID>1100C890</paraID>
      <start>21</start>
      <end>22</end>
      <status>unmodified</status>
      <modifiedWord/>
      <trackRevisions>false</trackRevisions>
    </reviewItem>
    <reviewItem>
      <errorID>470d21c9-5bfa-46f7-b863-8a8d2d04862c</errorID>
      <errorWord>-</errorWord>
      <group>L1_Format</group>
      <groupName>格式问题</groupName>
      <ability>L2_HalfPunc</ability>
      <abilityName>全半角检查</abilityName>
      <candidateList>
        <item>－</item>
      </candidateList>
      <explain>文本全半角错误。</explain>
      <paraID>1100C890</paraID>
      <start>24</start>
      <end>25</end>
      <status>unmodified</status>
      <modifiedWord/>
      <trackRevisions>false</trackRevisions>
    </reviewItem>
    <reviewItem>
      <errorID>6f31abd1-e4fe-4ff3-8aac-edb027fe08dd</errorID>
      <errorWord>无计</errorWord>
      <group>L1_Word</group>
      <groupName>字词问题</groupName>
      <ability>L2_Typo</ability>
      <abilityName>字词错误</abilityName>
      <candidateList>
        <item>无</item>
      </candidateList>
      <explain/>
      <paraID>621B80F1</paraID>
      <start>35</start>
      <end>37</end>
      <status>unmodified</status>
      <modifiedWord/>
      <trackRevisions>false</trackRevisions>
    </reviewItem>
    <reviewItem>
      <errorID>d9d8ee89-015e-496a-a9e2-f8d28dae3d55</errorID>
      <errorWord>，无</errorWord>
      <group>L1_Word</group>
      <groupName>字词问题</groupName>
      <ability>L2_Typo</ability>
      <abilityName>字词错误</abilityName>
      <candidateList>
        <item>，</item>
      </candidateList>
      <explain/>
      <paraID>621B80F1</paraID>
      <start>110</start>
      <end>112</end>
      <status>unmodified</status>
      <modifiedWord/>
      <trackRevisions>false</trackRevisions>
    </reviewItem>
    <reviewItem>
      <errorID>42e6359a-7162-4e82-a89f-5fa503e1de93</errorID>
      <errorWord>11号</errorWord>
      <group>L1_Knowledge</group>
      <groupName>知识性问题</groupName>
      <ability>L2_Time</ability>
      <abilityName>日期时间</abilityName>
      <candidateList>
        <item>11日</item>
      </candidateList>
      <explain>日期表达规范为x月x日。</explain>
      <paraID>14AF0E63</paraID>
      <start>9</start>
      <end>12</end>
      <status>unmodified</status>
      <modifiedWord/>
      <trackRevisions>false</trackRevisions>
    </reviewItem>
    <reviewItem>
      <errorID>000d7a69-cb3e-4dfa-b47f-3e532643479c</errorID>
      <errorWord>三重一大</errorWord>
      <group>L1_Political</group>
      <groupName>政治性问题</groupName>
      <ability>L2_Keyword</ability>
      <abilityName>固定表述</abilityName>
      <candidateList>
        <item>“三重一大”</item>
      </candidateList>
      <explain>注意检查当前固定表述标点是否使用规范。</explain>
      <paraID>14AF0E63</paraID>
      <start>45</start>
      <end>49</end>
      <status>unmodified</status>
      <modifiedWord/>
      <trackRevisions>false</trackRevisions>
    </reviewItem>
    <reviewItem>
      <errorID>fd076b9c-c287-4109-a574-c13237bcf187</errorID>
      <errorWord>1号</errorWord>
      <group>L1_Knowledge</group>
      <groupName>知识性问题</groupName>
      <ability>L2_Time</ability>
      <abilityName>日期时间</abilityName>
      <candidateList>
        <item>1日</item>
      </candidateList>
      <explain>日期表达规范为x月x日。</explain>
      <paraID>14AF0E63</paraID>
      <start>90</start>
      <end>92</end>
      <status>unmodified</status>
      <modifiedWord/>
      <trackRevisions>false</trackRevisions>
    </reviewItem>
    <reviewItem>
      <errorID>542008b5-2039-4442-b310-f96b6b00834e</errorID>
      <errorWord>农贸市场农贸市场</errorWord>
      <group>L1_Word</group>
      <groupName>字词问题</groupName>
      <ability>L2_Typo</ability>
      <abilityName>字词错误</abilityName>
      <candidateList>
        <item>农贸市场</item>
      </candidateList>
      <explain/>
      <paraID> B5938C5</paraID>
      <start>33</start>
      <end>41</end>
      <status>unmodified</status>
      <modifiedWord/>
      <trackRevisions>false</trackRevisions>
    </reviewItem>
    <reviewItem>
      <errorID>eb3a8fa2-da1e-4ae2-90a0-32e95c8fccb6</errorID>
      <errorWord>号待</errorWord>
      <group>L1_Word</group>
      <groupName>字词问题</groupName>
      <ability>L2_Typo</ability>
      <abilityName>字词错误</abilityName>
      <candidateList>
        <item>尚待</item>
      </candidateList>
      <explain/>
      <paraID> B5938C5</paraID>
      <start>75</start>
      <end>77</end>
      <status>unmodified</status>
      <modifiedWord/>
      <trackRevisions>false</trackRevisions>
    </reviewItem>
    <reviewItem>
      <errorID>722f0b2e-244c-4216-98e8-c16646cd1121</errorID>
      <errorWord>,</errorWord>
      <group>L1_Format</group>
      <groupName>格式问题</groupName>
      <ability>L2_HalfPunc</ability>
      <abilityName>全半角检查</abilityName>
      <candidateList>
        <item>，</item>
      </candidateList>
      <explain>文本全半角错误。</explain>
      <paraID> B5938C5</paraID>
      <start>79</start>
      <end>80</end>
      <status>unmodified</status>
      <modifiedWord/>
      <trackRevisions>false</trackRevisions>
    </reviewItem>
    <reviewItem>
      <errorID>ceef54e6-73c1-4f48-8293-29dc1dfa71d6</errorID>
      <errorWord>"</errorWord>
      <group>L1_Format</group>
      <groupName>格式问题</groupName>
      <ability>L2_HalfPunc</ability>
      <abilityName>全半角检查</abilityName>
      <candidateList>
        <item>“</item>
      </candidateList>
      <explain>文本全半角错误。</explain>
      <paraID>3ADD418A</paraID>
      <start>31</start>
      <end>32</end>
      <status>unmodified</status>
      <modifiedWord/>
      <trackRevisions>false</trackRevisions>
    </reviewItem>
    <reviewItem>
      <errorID>0fb1c93a-6815-4bb0-9523-34c5abf88950</errorID>
      <errorWord>"</errorWord>
      <group>L1_Format</group>
      <groupName>格式问题</groupName>
      <ability>L2_HalfPunc</ability>
      <abilityName>全半角检查</abilityName>
      <candidateList>
        <item>”</item>
      </candidateList>
      <explain>文本全半角错误。</explain>
      <paraID>3ADD418A</paraID>
      <start>43</start>
      <end>44</end>
      <status>unmodified</status>
      <modifiedWord/>
      <trackRevisions>false</trackRevisions>
    </reviewItem>
    <reviewItem>
      <errorID>b318d37a-69db-4b25-8bdc-ab1d574490bc</errorID>
      <errorWord>"</errorWord>
      <group>L1_Format</group>
      <groupName>格式问题</groupName>
      <ability>L2_HalfPunc</ability>
      <abilityName>全半角检查</abilityName>
      <candidateList>
        <item>“</item>
      </candidateList>
      <explain>文本全半角错误。</explain>
      <paraID>3ADD418A</paraID>
      <start>95</start>
      <end>96</end>
      <status>unmodified</status>
      <modifiedWord/>
      <trackRevisions>false</trackRevisions>
    </reviewItem>
    <reviewItem>
      <errorID>420e3f4c-3e45-481a-9fd9-32aa73f6b7c9</errorID>
      <errorWord>"</errorWord>
      <group>L1_Format</group>
      <groupName>格式问题</groupName>
      <ability>L2_HalfPunc</ability>
      <abilityName>全半角检查</abilityName>
      <candidateList>
        <item>”</item>
      </candidateList>
      <explain>文本全半角错误。</explain>
      <paraID>3ADD418A</paraID>
      <start>101</start>
      <end>102</end>
      <status>unmodified</status>
      <modifiedWord/>
      <trackRevisions>false</trackRevisions>
    </reviewItem>
    <reviewItem>
      <errorID>7eed22a6-b934-48e1-b9cc-271906f3eab3</errorID>
      <errorWord>"</errorWord>
      <group>L1_Format</group>
      <groupName>格式问题</groupName>
      <ability>L2_HalfPunc</ability>
      <abilityName>全半角检查</abilityName>
      <candidateList>
        <item>“</item>
      </candidateList>
      <explain>文本全半角错误。</explain>
      <paraID>3ADD418A</paraID>
      <start>109</start>
      <end>110</end>
      <status>unmodified</status>
      <modifiedWord/>
      <trackRevisions>false</trackRevisions>
    </reviewItem>
    <reviewItem>
      <errorID>39201eb6-23bd-4624-ba46-61a16b65d4d8</errorID>
      <errorWord>"</errorWord>
      <group>L1_Format</group>
      <groupName>格式问题</groupName>
      <ability>L2_HalfPunc</ability>
      <abilityName>全半角检查</abilityName>
      <candidateList>
        <item>”</item>
      </candidateList>
      <explain>文本全半角错误。</explain>
      <paraID>3ADD418A</paraID>
      <start>119</start>
      <end>120</end>
      <status>unmodified</status>
      <modifiedWord/>
      <trackRevisions>false</trackRevisions>
    </reviewItem>
    <reviewItem>
      <errorID>c9f0a0d8-d37b-48a3-b4fd-e0512bb65127</errorID>
      <errorWord>必需</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3ADD418A</paraID>
      <start>791</start>
      <end>793</end>
      <status>modified</status>
      <modifiedWord>必须</modifiedWord>
      <trackRevisions>false</trackRevisions>
    </reviewItem>
    <reviewItem>
      <errorID>9d55aba1-b39c-47e5-ad15-f8810fc8c1a9</errorID>
      <errorWord>风清气正政治生态</errorWord>
      <group>L1_Political</group>
      <groupName>政治性问题</groupName>
      <ability>L2_Keyword</ability>
      <abilityName>固定表述</abilityName>
      <candidateList>
        <item>风清气正的政治生态</item>
      </candidateList>
      <explain>词汇“风清气正的政治生态”在特定场景下为固定表述形式，请确认此处的“风清气正政治生态”是否存在不当。</explain>
      <paraID>15170AC3</paraID>
      <start>200</start>
      <end>209</end>
      <status>modified</status>
      <modifiedWord>风清气正的政治生态</modifiedWord>
      <trackRevisions>false</trackRevisions>
    </reviewItem>
    <reviewItem>
      <errorID>9901aae5-b3fa-4ab5-93b6-1620c2abafb7</errorID>
      <errorWord>达</errorWord>
      <group>L1_Word</group>
      <groupName>字词问题</groupName>
      <ability>L2_Typo</ability>
      <abilityName>字词错误</abilityName>
      <candidateList>
        <item>达到</item>
      </candidateList>
      <explain>〈动〉到（多指抽象事物或程度）：达得到｜达不到｜目的没有～｜～国际水平。</explain>
      <paraID>65E5451F</paraID>
      <start>75</start>
      <end>77</end>
      <status>modified</status>
      <modifiedWord>达到</modifiedWord>
      <trackRevisions>false</trackRevisions>
    </reviewItem>
    <reviewItem>
      <errorID>5cefdac3-c329-4b88-aa76-a66d27d5694d</errorID>
      <errorWord>（</errorWord>
      <group>L1_Punc</group>
      <groupName>标点问题</groupName>
      <ability>L2_Punc</ability>
      <abilityName>标点符号检查</abilityName>
      <candidateList/>
      <explain/>
      <paraID>6C2AD678</paraID>
      <start>64</start>
      <end>65</end>
      <status>unmodified</status>
      <modifiedWord/>
      <trackRevisions>false</trackRevisions>
    </reviewItem>
    <reviewItem>
      <errorID>4eab9395-c220-4b48-922d-7cfdbe46df4f</errorID>
      <errorWord>无计</errorWord>
      <group>L1_Word</group>
      <groupName>字词问题</groupName>
      <ability>L2_Typo</ability>
      <abilityName>字词错误</abilityName>
      <candidateList>
        <item>无</item>
      </candidateList>
      <explain/>
      <paraID> AABC43A</paraID>
      <start>35</start>
      <end>37</end>
      <status>unmodified</status>
      <modifiedWord/>
      <trackRevisions>false</trackRevisions>
    </reviewItem>
    <reviewItem>
      <errorID>6de74bfa-f452-49e2-8db2-e71500fddfe1</errorID>
      <errorWord>，无</errorWord>
      <group>L1_Word</group>
      <groupName>字词问题</groupName>
      <ability>L2_Typo</ability>
      <abilityName>字词错误</abilityName>
      <candidateList>
        <item>，</item>
      </candidateList>
      <explain/>
      <paraID> AABC43A</paraID>
      <start>110</start>
      <end>112</end>
      <status>unmodified</status>
      <modifiedWord/>
      <trackRevisions>false</trackRevisions>
    </reviewItem>
    <reviewItem>
      <errorID>d0e57940-7904-4872-b538-22eecc43adac</errorID>
      <errorWord>，无</errorWord>
      <group>L1_Word</group>
      <groupName>字词问题</groupName>
      <ability>L2_Typo</ability>
      <abilityName>字词错误</abilityName>
      <candidateList>
        <item>，</item>
      </candidateList>
      <explain/>
      <paraID> AABC43A</paraID>
      <start>136</start>
      <end>138</end>
      <status>unmodified</status>
      <modifiedWord/>
      <trackRevisions>false</trackRevisions>
    </reviewItem>
    <reviewItem>
      <errorID>1eddf10a-be6a-4d2a-bd86-491b6af36ec6</errorID>
      <errorWord>3号</errorWord>
      <group>L1_Knowledge</group>
      <groupName>知识性问题</groupName>
      <ability>L2_Time</ability>
      <abilityName>日期时间</abilityName>
      <candidateList>
        <item>3日</item>
      </candidateList>
      <explain>日期表达规范为x月x日。</explain>
      <paraID> AABC43A</paraID>
      <start>212</start>
      <end>214</end>
      <status>unmodified</status>
      <modifiedWord/>
      <trackRevisions>false</trackRevisions>
    </reviewItem>
    <reviewItem>
      <errorID>758dba7a-d768-44d6-aad6-2c204e16dbd5</errorID>
      <errorWord>凭证</errorWord>
      <group>L1_Word</group>
      <groupName>字词问题</groupName>
      <ability>L2_Typo</ability>
      <abilityName>字词错误</abilityName>
      <candidateList>
        <item>凭</item>
      </candidateList>
      <explain/>
      <paraID> AABC43A</paraID>
      <start>214</start>
      <end>216</end>
      <status>unmodified</status>
      <modifiedWord/>
      <trackRevisions>false</trackRevisions>
    </reviewItem>
    <reviewItem>
      <errorID>a13cd659-8d4b-4447-8ecf-68ed8309b25b</errorID>
      <errorWord>16号</errorWord>
      <group>L1_Knowledge</group>
      <groupName>知识性问题</groupName>
      <ability>L2_Time</ability>
      <abilityName>日期时间</abilityName>
      <candidateList>
        <item>16日</item>
      </candidateList>
      <explain>日期表达规范为x月x日。</explain>
      <paraID> AABC43A</paraID>
      <start>267</start>
      <end>270</end>
      <status>unmodified</status>
      <modifiedWord/>
      <trackRevisions>false</trackRevisions>
    </reviewItem>
    <reviewItem>
      <errorID>bdea84a7-5d49-4bfc-8c51-22584e752a37</errorID>
      <errorWord>16号</errorWord>
      <group>L1_Knowledge</group>
      <groupName>知识性问题</groupName>
      <ability>L2_Time</ability>
      <abilityName>日期时间</abilityName>
      <candidateList>
        <item>16日</item>
      </candidateList>
      <explain>日期表达规范为x月x日。</explain>
      <paraID> AABC43A</paraID>
      <start>339</start>
      <end>342</end>
      <status>unmodified</status>
      <modifiedWord/>
      <trackRevisions>false</trackRevisions>
    </reviewItem>
    <reviewItem>
      <errorID>edbce4d3-1790-4aa9-ba1b-30dbe5d11cc8</errorID>
      <errorWord>6号</errorWord>
      <group>L1_Knowledge</group>
      <groupName>知识性问题</groupName>
      <ability>L2_Time</ability>
      <abilityName>日期时间</abilityName>
      <candidateList>
        <item>6日</item>
      </candidateList>
      <explain>日期表达规范为x月x日。</explain>
      <paraID> AABC43A</paraID>
      <start>407</start>
      <end>409</end>
      <status>unmodified</status>
      <modifiedWord/>
      <trackRevisions>false</trackRevisions>
    </reviewItem>
    <reviewItem>
      <errorID>475a9a07-f944-4aca-9649-94a907f72489</errorID>
      <errorWord>10号</errorWord>
      <group>L1_Knowledge</group>
      <groupName>知识性问题</groupName>
      <ability>L2_Time</ability>
      <abilityName>日期时间</abilityName>
      <candidateList>
        <item>10日</item>
      </candidateList>
      <explain>日期表达规范为x月x日。</explain>
      <paraID> AABC43A</paraID>
      <start>450</start>
      <end>453</end>
      <status>unmodified</status>
      <modifiedWord/>
      <trackRevisions>false</trackRevisions>
    </reviewItem>
    <reviewItem>
      <errorID>3041fd01-2313-4ee0-8228-edb0f3a21797</errorID>
      <errorWord>2号</errorWord>
      <group>L1_Knowledge</group>
      <groupName>知识性问题</groupName>
      <ability>L2_Time</ability>
      <abilityName>日期时间</abilityName>
      <candidateList>
        <item>2日</item>
      </candidateList>
      <explain>日期表达规范为x月x日。</explain>
      <paraID> AABC43A</paraID>
      <start>486</start>
      <end>488</end>
      <status>unmodified</status>
      <modifiedWord/>
      <trackRevisions>false</trackRevisions>
    </reviewItem>
    <reviewItem>
      <errorID>8ed9178b-5a47-4fb1-a919-9bf35a25a228</errorID>
      <errorWord>3号</errorWord>
      <group>L1_Knowledge</group>
      <groupName>知识性问题</groupName>
      <ability>L2_Time</ability>
      <abilityName>日期时间</abilityName>
      <candidateList>
        <item>3日</item>
      </candidateList>
      <explain>日期表达规范为x月x日。</explain>
      <paraID> AABC43A</paraID>
      <start>531</start>
      <end>533</end>
      <status>unmodified</status>
      <modifiedWord/>
      <trackRevisions>false</trackRevisions>
    </reviewItem>
    <reviewItem>
      <errorID>c127ad74-6f23-4a0c-a4cf-9b0f6293b260</errorID>
      <errorWord>1号</errorWord>
      <group>L1_Knowledge</group>
      <groupName>知识性问题</groupName>
      <ability>L2_Time</ability>
      <abilityName>日期时间</abilityName>
      <candidateList>
        <item>1日</item>
      </candidateList>
      <explain>日期表达规范为x月x日。</explain>
      <paraID> AABC43A</paraID>
      <start>582</start>
      <end>584</end>
      <status>unmodified</status>
      <modifiedWord/>
      <trackRevisions>false</trackRevisions>
    </reviewItem>
    <reviewItem>
      <errorID>1a26c154-ad1a-4bc1-bfe1-6dd01a2412f7</errorID>
      <errorWord>10号</errorWord>
      <group>L1_Knowledge</group>
      <groupName>知识性问题</groupName>
      <ability>L2_Time</ability>
      <abilityName>日期时间</abilityName>
      <candidateList>
        <item>10日</item>
      </candidateList>
      <explain>日期表达规范为x月x日。</explain>
      <paraID> AABC43A</paraID>
      <start>627</start>
      <end>630</end>
      <status>unmodified</status>
      <modifiedWord/>
      <trackRevisions>false</trackRevisions>
    </reviewItem>
    <reviewItem>
      <errorID>fbb4015c-84aa-4f3b-b592-f03a83b77f43</errorID>
      <errorWord>1号</errorWord>
      <group>L1_Knowledge</group>
      <groupName>知识性问题</groupName>
      <ability>L2_Time</ability>
      <abilityName>日期时间</abilityName>
      <candidateList>
        <item>1日</item>
      </candidateList>
      <explain>日期表达规范为x月x日。</explain>
      <paraID> AABC43A</paraID>
      <start>663</start>
      <end>665</end>
      <status>unmodified</status>
      <modifiedWord/>
      <trackRevisions>false</trackRevisions>
    </reviewItem>
    <reviewItem>
      <errorID>7dfeb761-8334-405a-bb0e-190648842f2b</errorID>
      <errorWord>22号</errorWord>
      <group>L1_Knowledge</group>
      <groupName>知识性问题</groupName>
      <ability>L2_Time</ability>
      <abilityName>日期时间</abilityName>
      <candidateList>
        <item>22日</item>
      </candidateList>
      <explain>日期表达规范为x月x日。</explain>
      <paraID> AABC43A</paraID>
      <start>726</start>
      <end>729</end>
      <status>unmodified</status>
      <modifiedWord/>
      <trackRevisions>false</trackRevisions>
    </reviewItem>
    <reviewItem>
      <errorID>6cb1ab95-70c4-454a-a3fa-e0d562ea1175</errorID>
      <errorWord>三重一大</errorWord>
      <group>L1_Political</group>
      <groupName>政治性问题</groupName>
      <ability>L2_Keyword</ability>
      <abilityName>固定表述</abilityName>
      <candidateList>
        <item>“三重一大”</item>
      </candidateList>
      <explain>注意检查当前固定表述标点是否使用规范。</explain>
      <paraID> AABC43A</paraID>
      <start>794</start>
      <end>798</end>
      <status>unmodified</status>
      <modifiedWord/>
      <trackRevisions>false</trackRevisions>
    </reviewItem>
    <reviewItem>
      <errorID>6078a227-ea1e-4e95-a1a3-98265efe64e8</errorID>
      <errorWord>（</errorWord>
      <group>L1_Punc</group>
      <groupName>标点问题</groupName>
      <ability>L2_Punc</ability>
      <abilityName>标点符号检查</abilityName>
      <candidateList/>
      <explain/>
      <paraID>45153AEF</paraID>
      <start>7</start>
      <end>8</end>
      <status>unmodified</status>
      <modifiedWord/>
      <trackRevisions>false</trackRevisions>
    </reviewItem>
    <reviewItem>
      <errorID>45ab479b-9d9e-4353-912c-dee2b1750b66</errorID>
      <errorWord>达</errorWord>
      <group>L1_Word</group>
      <groupName>字词问题</groupName>
      <ability>L2_Typo</ability>
      <abilityName>字词错误</abilityName>
      <candidateList>
        <item>达到</item>
      </candidateList>
      <explain>〈动〉到（多指抽象事物或程度）：达得到｜达不到｜目的没有～｜～国际水平。</explain>
      <paraID>342C985D</paraID>
      <start>16</start>
      <end>17</end>
      <status>unmodified</status>
      <modifiedWord/>
      <trackRevisions>false</trackRevisions>
    </reviewItem>
    <reviewItem>
      <errorID>5d3d2b63-72f4-4321-8f2c-3271beb5a5c8</errorID>
      <errorWord>达</errorWord>
      <group>L1_Word</group>
      <groupName>字词问题</groupName>
      <ability>L2_Typo</ability>
      <abilityName>字词错误</abilityName>
      <candidateList>
        <item>达到</item>
      </candidateList>
      <explain>〈动〉到（多指抽象事物或程度）：达得到｜达不到｜目的没有～｜～国际水平。</explain>
      <paraID>342C985D</paraID>
      <start>137</start>
      <end>138</end>
      <status>unmodified</status>
      <modifiedWord/>
      <trackRevisions>false</trackRevisions>
    </reviewItem>
    <reviewItem>
      <errorID>9f53bb6f-cde2-4f91-9f15-f9c0463314c0</errorID>
      <errorWord>达</errorWord>
      <group>L1_Word</group>
      <groupName>字词问题</groupName>
      <ability>L2_Typo</ability>
      <abilityName>字词错误</abilityName>
      <candidateList>
        <item>达到</item>
      </candidateList>
      <explain>〈动〉到（多指抽象事物或程度）：达得到｜达不到｜目的没有～｜～国际水平。</explain>
      <paraID> 8C0282C</paraID>
      <start>48</start>
      <end>49</end>
      <status>unmodified</status>
      <modifiedWord/>
      <trackRevisions>false</trackRevisions>
    </reviewItem>
    <reviewItem>
      <errorID>d4d261cb-1c69-4cae-9482-55215be63124</errorID>
      <errorWord>达</errorWord>
      <group>L1_Word</group>
      <groupName>字词问题</groupName>
      <ability>L2_Typo</ability>
      <abilityName>字词错误</abilityName>
      <candidateList>
        <item>达到</item>
      </candidateList>
      <explain>〈动〉到（多指抽象事物或程度）：达得到｜达不到｜目的没有～｜～国际水平。</explain>
      <paraID>3D1A25DA</paraID>
      <start>48</start>
      <end>49</end>
      <status>unmodified</status>
      <modifiedWord/>
      <trackRevisions>false</trackRevisions>
    </reviewItem>
    <reviewItem>
      <errorID>e77b1bc3-fb5a-4036-ad3b-4d6cf0bc927d</errorID>
      <errorWord>达</errorWord>
      <group>L1_Word</group>
      <groupName>字词问题</groupName>
      <ability>L2_Typo</ability>
      <abilityName>字词错误</abilityName>
      <candidateList>
        <item>达到</item>
      </candidateList>
      <explain>〈动〉到（多指抽象事物或程度）：达得到｜达不到｜目的没有～｜～国际水平。</explain>
      <paraID>3EA48BFF</paraID>
      <start>105</start>
      <end>106</end>
      <status>unmodified</status>
      <modifiedWord/>
      <trackRevisions>false</trackRevisions>
    </reviewItem>
    <reviewItem>
      <errorID>128c02c3-81c2-4e76-ab9c-cab699ab6e53</errorID>
      <errorWord>分</errorWord>
      <group>L1_Word</group>
      <groupName>字词问题</groupName>
      <ability>L2_Typo</ability>
      <abilityName>字词错误</abilityName>
      <candidateList>
        <item>分为</item>
      </candidateList>
      <explain/>
      <paraID>27D5FB03</paraID>
      <start>59</start>
      <end>60</end>
      <status>unmodified</status>
      <modifiedWord/>
      <trackRevisions>false</trackRevisions>
    </reviewItem>
    <reviewItem>
      <errorID>4a90ddf5-9b1e-4e29-af04-07d83ebf3040</errorID>
      <errorWord>、</errorWord>
      <group>L1_Word</group>
      <groupName>字词问题</groupName>
      <ability>L2_Typo</ability>
      <abilityName>字词错误</abilityName>
      <candidateList>
        <item>、以</item>
      </candidateList>
      <explain/>
      <paraID>64D50FEB</paraID>
      <start>202</start>
      <end>203</end>
      <status>unmodified</status>
      <modifiedWord/>
      <trackRevisions>false</trackRevisions>
    </reviewItem>
    <reviewItem>
      <errorID>e447f291-1dce-4eeb-b62b-de55df4d8f50</errorID>
      <errorWord>随意流用</errorWord>
      <group>L1_Word</group>
      <groupName>字词问题</groupName>
      <ability>L2_Typo</ability>
      <abilityName>字词错误</abilityName>
      <candidateList>
        <item>随意留用</item>
      </candidateList>
      <explain/>
      <paraID>439C9FAD</paraID>
      <start>119</start>
      <end>123</end>
      <status>unmodified</status>
      <modifiedWord/>
      <trackRevisions>false</trackRevisions>
    </reviewItem>
    <reviewItem>
      <errorID>6737aff1-dfb2-49cf-8960-15e3642318f5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439C9FAD</paraID>
      <start>245</start>
      <end>248</end>
      <status>unmodified</status>
      <modifiedWord/>
      <trackRevisions>false</trackRevisions>
    </reviewItem>
    <reviewItem>
      <errorID>0be465cf-0b92-44d5-a580-1753f563ec57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5CF6424</paraID>
      <start>273</start>
      <end>276</end>
      <status>unmodified</status>
      <modifiedWord/>
      <trackRevisions>false</trackRevisions>
    </reviewItem>
    <reviewItem>
      <errorID>a32b9eb1-aba4-48ea-a5e0-b9b2e1c788d1</errorID>
      <errorWord>-</errorWord>
      <group>L1_Format</group>
      <groupName>格式问题</groupName>
      <ability>L2_HalfPunc</ability>
      <abilityName>全半角检查</abilityName>
      <candidateList>
        <item>－</item>
      </candidateList>
      <explain>文本全半角错误。</explain>
      <paraID> 5CF6424</paraID>
      <start>414</start>
      <end>415</end>
      <status>unmodified</status>
      <modifiedWord/>
      <trackRevisions>false</trackRevisions>
    </reviewItem>
    <reviewItem>
      <errorID>9409535e-913d-43eb-b54c-03543d4b77d3</errorID>
      <errorWord>、以及</errorWord>
      <group>L1_Punc</group>
      <groupName>标点问题</groupName>
      <ability>L2_Punc</ability>
      <abilityName>标点符号检查</abilityName>
      <candidateList>
        <item>，以及</item>
      </candidateList>
      <explain>连接词前后不宜使用顿号，建议使用逗号。</explain>
      <paraID> 5CF6424</paraID>
      <start>468</start>
      <end>471</end>
      <status>unmodified</status>
      <modifiedWord/>
      <trackRevisions>false</trackRevisions>
    </reviewItem>
    <reviewItem>
      <errorID>26d1d1c0-7c96-43ff-a46d-557ed87c7981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5CF6424</paraID>
      <start>562</start>
      <end>565</end>
      <status>unmodified</status>
      <modifiedWord/>
      <trackRevisions>false</trackRevisions>
    </reviewItem>
    <reviewItem>
      <errorID>d9730567-8cfe-4ee9-a5e4-65e8d4d2ffc5</errorID>
      <errorWord>3号</errorWord>
      <group>L1_Knowledge</group>
      <groupName>知识性问题</groupName>
      <ability>L2_Time</ability>
      <abilityName>日期时间</abilityName>
      <candidateList>
        <item>3日</item>
      </candidateList>
      <explain>日期表达规范为x月x日。</explain>
      <paraID>7F3E610B</paraID>
      <start>10</start>
      <end>12</end>
      <status>unmodified</status>
      <modifiedWord/>
      <trackRevisions>false</trackRevisions>
    </reviewItem>
    <reviewItem>
      <errorID>68a6d08e-58b1-4789-936c-27c5b7a23ba3</errorID>
      <errorWord>发</errorWord>
      <group>L1_Word</group>
      <groupName>字词问题</groupName>
      <ability>L2_Typo</ability>
      <abilityName>字词错误</abilityName>
      <candidateList>
        <item>发放</item>
      </candidateList>
      <explain/>
      <paraID> 51C2909</paraID>
      <start>160</start>
      <end>161</end>
      <status>unmodified</status>
      <modifiedWord/>
      <trackRevisions>false</trackRevisions>
    </reviewItem>
    <reviewItem>
      <errorID>34b726c3-9212-4c32-8657-0eb529d005fb</errorID>
      <errorWord>16号</errorWord>
      <group>L1_Knowledge</group>
      <groupName>知识性问题</groupName>
      <ability>L2_Time</ability>
      <abilityName>日期时间</abilityName>
      <candidateList>
        <item>16日</item>
      </candidateList>
      <explain>日期表达规范为x月x日。</explain>
      <paraID>787C0E2F</paraID>
      <start>10</start>
      <end>13</end>
      <status>unmodified</status>
      <modifiedWord/>
      <trackRevisions>false</trackRevisions>
    </reviewItem>
    <reviewItem>
      <errorID>4fc77c56-3f27-4262-8627-6d83083b62cb</errorID>
      <errorWord>16号</errorWord>
      <group>L1_Knowledge</group>
      <groupName>知识性问题</groupName>
      <ability>L2_Time</ability>
      <abilityName>日期时间</abilityName>
      <candidateList>
        <item>16日</item>
      </candidateList>
      <explain>日期表达规范为x月x日。</explain>
      <paraID>31E48516</paraID>
      <start>15</start>
      <end>18</end>
      <status>unmodified</status>
      <modifiedWord/>
      <trackRevisions>false</trackRevisions>
    </reviewItem>
    <reviewItem>
      <errorID>84ca4841-6179-49b0-8ca8-18def848d47e</errorID>
      <errorWord>3号</errorWord>
      <group>L1_Knowledge</group>
      <groupName>知识性问题</groupName>
      <ability>L2_Time</ability>
      <abilityName>日期时间</abilityName>
      <candidateList>
        <item>3日</item>
      </candidateList>
      <explain>日期表达规范为x月x日。</explain>
      <paraID>31E48516</paraID>
      <start>86</start>
      <end>88</end>
      <status>unmodified</status>
      <modifiedWord/>
      <trackRevisions>false</trackRevisions>
    </reviewItem>
    <reviewItem>
      <errorID>41e18bb0-9f31-44cb-ab0c-2ba5dfa7069c</errorID>
      <errorWord>使用从</errorWord>
      <group>L1_Word</group>
      <groupName>字词问题</groupName>
      <ability>L2_Typo</ability>
      <abilityName>字词错误</abilityName>
      <candidateList>
        <item>使用</item>
      </candidateList>
      <explain>〈动〉使人员、器物、资金等为某种目的服务：～干部｜合理～资金。</explain>
      <paraID>31E48516</paraID>
      <start>193</start>
      <end>196</end>
      <status>unmodified</status>
      <modifiedWord/>
      <trackRevisions>false</trackRevisions>
    </reviewItem>
    <reviewItem>
      <errorID>4803492f-0de1-427b-9b35-de19cc422907</errorID>
      <errorWord>预算法</errorWord>
      <group>L1_Knowledge</group>
      <groupName>知识性问题</groupName>
      <ability>L2_Knowledge</ability>
      <abilityName>其他知识</abilityName>
      <candidateList>
        <item>中华人民共和国预算法</item>
      </candidateList>
      <explain>当前法律法规名称使用简称，请注意是否应当使用全称。</explain>
      <paraID>4F41401A</paraID>
      <start>12</start>
      <end>22</end>
      <status>modified</status>
      <modifiedWord>中华人民共和国预算法</modifiedWord>
      <trackRevisions>false</trackRevisions>
    </reviewItem>
    <reviewItem>
      <errorID>9b5e72bd-6e06-47de-b127-aa7770060bb5</errorID>
      <errorWord>人代会</errorWord>
      <group>L1_Political</group>
      <groupName>政治性问题</groupName>
      <ability>L2_Unpolitical</ability>
      <abilityName>政治敏感错误</abilityName>
      <candidateList>
        <item>人大</item>
      </candidateList>
      <explain/>
      <paraID>4F41401A</paraID>
      <start>108</start>
      <end>111</end>
      <status>unmodified</status>
      <modifiedWord/>
      <trackRevisions>false</trackRevisions>
    </reviewItem>
    <reviewItem>
      <errorID>a935f06f-81d6-4c1b-be59-db2b77144eba</errorID>
      <errorWord>6号</errorWord>
      <group>L1_Knowledge</group>
      <groupName>知识性问题</groupName>
      <ability>L2_Time</ability>
      <abilityName>日期时间</abilityName>
      <candidateList>
        <item>6日</item>
      </candidateList>
      <explain>日期表达规范为x月x日。</explain>
      <paraID>2206204B</paraID>
      <start>20</start>
      <end>22</end>
      <status>unmodified</status>
      <modifiedWord/>
      <trackRevisions>false</trackRevisions>
    </reviewItem>
    <reviewItem>
      <errorID>a1877264-f00f-47e0-8b97-d29c82c8d1f9</errorID>
      <errorWord>10号</errorWord>
      <group>L1_Knowledge</group>
      <groupName>知识性问题</groupName>
      <ability>L2_Time</ability>
      <abilityName>日期时间</abilityName>
      <candidateList>
        <item>10日</item>
      </candidateList>
      <explain>日期表达规范为x月x日。</explain>
      <paraID>2206204B</paraID>
      <start>63</start>
      <end>66</end>
      <status>unmodified</status>
      <modifiedWord/>
      <trackRevisions>false</trackRevisions>
    </reviewItem>
    <reviewItem>
      <errorID>048036ee-8146-48cc-a36a-c8aaf28b4183</errorID>
      <errorWord>22号</errorWord>
      <group>L1_Knowledge</group>
      <groupName>知识性问题</groupName>
      <ability>L2_Time</ability>
      <abilityName>日期时间</abilityName>
      <candidateList>
        <item>22日</item>
      </candidateList>
      <explain>日期表达规范为x月x日。</explain>
      <paraID>74057770</paraID>
      <start>10</start>
      <end>13</end>
      <status>unmodified</status>
      <modifiedWord/>
      <trackRevisions>false</trackRevisions>
    </reviewItem>
    <reviewItem>
      <errorID>5de42f03-21e5-4be1-9191-c20d8ee0e3ed</errorID>
      <errorWord>三重一大</errorWord>
      <group>L1_Political</group>
      <groupName>政治性问题</groupName>
      <ability>L2_Keyword</ability>
      <abilityName>固定表述</abilityName>
      <candidateList>
        <item>“三重一大”</item>
      </candidateList>
      <explain>注意检查当前固定表述标点是否使用规范。</explain>
      <paraID>74057770</paraID>
      <start>86</start>
      <end>90</end>
      <status>unmodified</status>
      <modifiedWord/>
      <trackRevisions>false</trackRevisions>
    </reviewItem>
    <reviewItem>
      <errorID>d583d52c-67c9-4d6c-a198-e18f52a4f72d</errorID>
      <errorWord>-</errorWord>
      <group>L1_Format</group>
      <groupName>格式问题</groupName>
      <ability>L2_HalfPunc</ability>
      <abilityName>全半角检查</abilityName>
      <candidateList>
        <item>－</item>
      </candidateList>
      <explain>文本全半角错误。</explain>
      <paraID>3819EB0A</paraID>
      <start>174</start>
      <end>175</end>
      <status>unmodified</status>
      <modifiedWord/>
      <trackRevisions>false</trackRevisions>
    </reviewItem>
    <reviewItem>
      <errorID>80676293-e688-427c-a54b-e0886ba64aea</errorID>
      <errorWord>-</errorWord>
      <group>L1_Format</group>
      <groupName>格式问题</groupName>
      <ability>L2_HalfPunc</ability>
      <abilityName>全半角检查</abilityName>
      <candidateList>
        <item>－</item>
      </candidateList>
      <explain>文本全半角错误。</explain>
      <paraID>3819EB0A</paraID>
      <start>177</start>
      <end>178</end>
      <status>unmodified</status>
      <modifiedWord/>
      <trackRevisions>false</trackRevisions>
    </reviewItem>
    <reviewItem>
      <errorID>a789e508-08af-48d8-bf34-6e5e8bdc9200</errorID>
      <errorWord>.</errorWord>
      <group>L1_Punc</group>
      <groupName>标点问题</groupName>
      <ability>L2_Punc</ability>
      <abilityName>标点符号检查</abilityName>
      <candidateList/>
      <explain/>
      <paraID>45EB8E07</paraID>
      <start>0</start>
      <end>1</end>
      <status>unmodified</status>
      <modifiedWord/>
      <trackRevisions>false</trackRevisions>
    </reviewItem>
    <reviewItem>
      <errorID>73588cde-84ba-44b8-991a-ea5a74fd2419</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3B40CC2C</paraID>
      <start>257</start>
      <end>267</end>
      <status>modified</status>
      <modifiedWord>人力资源和社会保障部</modifiedWord>
      <trackRevisions>false</trackRevisions>
    </reviewItem>
    <reviewItem>
      <errorID>b67a10a8-4d94-4f35-a292-944086375925</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10E58A4E</paraID>
      <start>237</start>
      <end>247</end>
      <status>modified</status>
      <modifiedWord>人力资源和社会保障部</modifiedWord>
      <trackRevisions>false</trackRevisions>
    </reviewItem>
    <reviewItem>
      <errorID>0204fcb8-3b10-43ea-9762-1a801ac34270</errorID>
      <errorWord>社会保险法</errorWord>
      <group>L1_Knowledge</group>
      <groupName>知识性问题</groupName>
      <ability>L2_Knowledge</ability>
      <abilityName>其他知识</abilityName>
      <candidateList>
        <item>中华人民共和国社会保险法</item>
      </candidateList>
      <explain>当前法律法规名称使用简称，请注意是否应当使用全称。</explain>
      <paraID> 1EEA21E</paraID>
      <start>490</start>
      <end>502</end>
      <status>modified</status>
      <modifiedWord>中华人民共和国社会保险法</modifiedWord>
      <trackRevisions>false</trackRevisions>
    </reviewItem>
    <reviewItem>
      <errorID>fa520633-64ae-45bf-8714-59b149792cd2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39E2D30</paraID>
      <start>419</start>
      <end>422</end>
      <status>unmodified</status>
      <modifiedWord/>
      <trackRevisions>false</trackRevisions>
    </reviewItem>
    <reviewItem>
      <errorID>a35307b0-f645-49bf-8b15-a772536da695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39E2D30</paraID>
      <start>431</start>
      <end>434</end>
      <status>unmodified</status>
      <modifiedWord/>
      <trackRevisions>false</trackRevisions>
    </reviewItem>
    <reviewItem>
      <errorID>267d54bb-9b69-44a0-802e-6bfd289a90a3</errorID>
      <errorWord>-</errorWord>
      <group>L1_Format</group>
      <groupName>格式问题</groupName>
      <ability>L2_HalfPunc</ability>
      <abilityName>全半角检查</abilityName>
      <candidateList>
        <item>－</item>
      </candidateList>
      <explain>文本全半角错误。</explain>
      <paraID>1EA520C4</paraID>
      <start>341</start>
      <end>342</end>
      <status>unmodified</status>
      <modifiedWord/>
      <trackRevisions>false</trackRevisions>
    </reviewItem>
    <reviewItem>
      <errorID>cb6edd55-dcb1-49a0-994b-a3095323fdb2</errorID>
      <errorWord>-</errorWord>
      <group>L1_Format</group>
      <groupName>格式问题</groupName>
      <ability>L2_HalfPunc</ability>
      <abilityName>全半角检查</abilityName>
      <candidateList>
        <item>－</item>
      </candidateList>
      <explain>文本全半角错误。</explain>
      <paraID>1EA520C4</paraID>
      <start>344</start>
      <end>345</end>
      <status>unmodified</status>
      <modifiedWord/>
      <trackRevisions>false</trackRevisions>
    </reviewItem>
    <reviewItem>
      <errorID>65f99a24-3a5e-4160-b3fd-ac4109a81174</errorID>
      <errorWord>人</errorWord>
      <group>L1_Word</group>
      <groupName>字词问题</groupName>
      <ability>L2_Typo</ability>
      <abilityName>字词错误</abilityName>
      <candidateList>
        <item>人员</item>
      </candidateList>
      <explain>〈名〉担任某种职务的人：机关工作～｜值班～｜～配备。</explain>
      <paraID>1EA520C4</paraID>
      <start>389</start>
      <end>391</end>
      <status>modified</status>
      <modifiedWord>人员</modifiedWord>
      <trackRevisions>false</trackRevisions>
    </reviewItem>
    <reviewItem>
      <errorID>3ec4edf6-278a-4b76-a3e1-0d7cb77d00f2</errorID>
      <errorWord>泄露风险</errorWord>
      <group>L1_Word</group>
      <groupName>字词问题</groupName>
      <ability>L2_Typo</ability>
      <abilityName>字词错误</abilityName>
      <candidateList>
        <item>泄漏风险</item>
      </candidateList>
      <explain/>
      <paraID>53A189E2</paraID>
      <start>77</start>
      <end>81</end>
      <status>modified</status>
      <modifiedWord>泄漏风险</modifiedWord>
      <trackRevisions>false</trackRevisions>
    </reviewItem>
    <reviewItem>
      <errorID>0c8656a2-f3d6-4993-813f-1c68bf872108</errorID>
      <errorWord>份</errorWord>
      <group>L1_Knowledge</group>
      <groupName>知识性问题</groupName>
      <ability>L2_Knowledge</ability>
      <abilityName>其他知识</abilityName>
      <candidateList>
        <item>套</item>
      </candidateList>
      <explain/>
      <paraID>53A189E2</paraID>
      <start>624</start>
      <end>625</end>
      <status>modified</status>
      <modifiedWord>套</modifiedWord>
      <trackRevisions>false</trackRevisions>
    </reviewItem>
    <reviewItem>
      <errorID>f4af8ff5-094c-46b5-a527-3d1e5bea14f8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3AA4CC5D</paraID>
      <start>355</start>
      <end>358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ebfcec-67da-4977-9f90-45756f66e0ec}">
  <ds:schemaRefs/>
</ds:datastoreItem>
</file>

<file path=docProps/app.xml><?xml version="1.0" encoding="utf-8"?>
<Properties xmlns="http://schemas.openxmlformats.org/officeDocument/2006/extended-properties" xmlns:vt="http://schemas.openxmlformats.org/officeDocument/2006/docPropsVTypes">
  <Template>Normal.dotm</Template>
  <Pages>45</Pages>
  <Words>6104</Words>
  <Characters>6426</Characters>
  <Lines>0</Lines>
  <Paragraphs>0</Paragraphs>
  <TotalTime>5</TotalTime>
  <ScaleCrop>false</ScaleCrop>
  <LinksUpToDate>false</LinksUpToDate>
  <CharactersWithSpaces>6467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2023-01-11T06:30:00Z</dcterms:created>
  <dc:creator>符敏（书魁）</dc:creator>
  <cp:lastModifiedBy>邓婷</cp:lastModifiedBy>
  <cp:lastPrinted>2025-11-03T02:48:00Z</cp:lastPrinted>
  <dcterms:modified xsi:type="dcterms:W3CDTF">2026-05-29T01:24:10Z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79224C720F06428CA3CC04C92A854D1A_13</vt:lpwstr>
  </property>
  <property fmtid="{D5CDD505-2E9C-101B-9397-08002B2CF9AE}" pid="4" name="KSOTemplateDocerSaveRecord">
    <vt:lpwstr>eyJoZGlkIjoiN2Y2YTkzM2Q3ZjFmZDA3MzYxZmZlNThiZjdiNmYxNGYiLCJ1c2VySWQiOiIxMDY5MjgzMDcxIn0=</vt:lpwstr>
  </property>
</Properties>
</file>