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C86">
      <w:pPr>
        <w:widowControl w:val="0"/>
        <w:jc w:val="distribute"/>
        <w:outlineLvl w:val="9"/>
        <w:rPr>
          <w:rFonts w:hint="eastAsia" w:ascii="仿宋" w:hAnsi="仿宋" w:eastAsia="仿宋" w:cs="仿宋"/>
          <w:b/>
          <w:bCs/>
          <w:sz w:val="36"/>
          <w:szCs w:val="36"/>
        </w:rPr>
      </w:pPr>
      <w:bookmarkStart w:id="0" w:name="_Toc19727"/>
      <w:bookmarkStart w:id="1" w:name="_Toc10716"/>
      <w:bookmarkStart w:id="2" w:name="_Toc26297"/>
      <w:bookmarkStart w:id="3" w:name="_Toc18112"/>
      <w:bookmarkStart w:id="4" w:name="_Toc30513"/>
      <w:r>
        <w:rPr>
          <w:rFonts w:hint="eastAsia" w:ascii="仿宋" w:hAnsi="仿宋" w:eastAsia="仿宋" w:cs="仿宋"/>
          <w:b/>
          <w:bCs/>
          <w:sz w:val="36"/>
          <w:szCs w:val="36"/>
        </w:rPr>
        <w:t>湖南浩元会计师事务所（普通合伙）</w:t>
      </w:r>
      <w:bookmarkEnd w:id="0"/>
      <w:bookmarkEnd w:id="1"/>
      <w:bookmarkEnd w:id="2"/>
      <w:bookmarkEnd w:id="3"/>
      <w:bookmarkEnd w:id="4"/>
    </w:p>
    <w:p w14:paraId="6128D20E">
      <w:pPr>
        <w:widowControl w:val="0"/>
        <w:jc w:val="center"/>
        <w:rPr>
          <w:rFonts w:hint="eastAsia" w:ascii="仿宋" w:hAnsi="仿宋" w:eastAsia="仿宋" w:cs="仿宋"/>
          <w:b/>
          <w:bCs/>
          <w:sz w:val="36"/>
          <w:szCs w:val="36"/>
        </w:rPr>
      </w:pPr>
      <w:r>
        <w:rPr>
          <w:rFonts w:hint="eastAsia" w:ascii="仿宋" w:hAnsi="仿宋" w:eastAsia="仿宋" w:cs="仿宋"/>
          <w:b/>
          <w:bCs/>
          <w:sz w:val="36"/>
          <w:szCs w:val="36"/>
        </w:rPr>
        <w:t>Hunan Haoyuan Certified Public Accountants GP</w:t>
      </w:r>
    </w:p>
    <w:p w14:paraId="760F57D2">
      <w:pPr>
        <w:widowControl w:val="0"/>
        <w:jc w:val="center"/>
        <w:rPr>
          <w:rFonts w:hint="eastAsia" w:ascii="仿宋" w:hAnsi="仿宋" w:eastAsia="仿宋" w:cs="仿宋"/>
          <w:sz w:val="32"/>
          <w:szCs w:val="32"/>
        </w:rPr>
      </w:pPr>
    </w:p>
    <w:p w14:paraId="45A91357">
      <w:pPr>
        <w:widowControl w:val="0"/>
        <w:jc w:val="both"/>
        <w:rPr>
          <w:rFonts w:hint="eastAsia" w:ascii="仿宋" w:hAnsi="仿宋" w:eastAsia="仿宋" w:cs="仿宋"/>
          <w:sz w:val="32"/>
          <w:szCs w:val="32"/>
        </w:rPr>
      </w:pPr>
    </w:p>
    <w:p w14:paraId="0257DAC8">
      <w:pPr>
        <w:widowControl w:val="0"/>
        <w:jc w:val="both"/>
        <w:rPr>
          <w:rFonts w:hint="eastAsia" w:ascii="仿宋" w:hAnsi="仿宋" w:eastAsia="仿宋" w:cs="仿宋"/>
          <w:sz w:val="32"/>
          <w:szCs w:val="32"/>
        </w:rPr>
      </w:pPr>
    </w:p>
    <w:p w14:paraId="7F70ECE4">
      <w:pPr>
        <w:widowControl w:val="0"/>
        <w:jc w:val="center"/>
        <w:rPr>
          <w:rFonts w:hint="eastAsia" w:ascii="方正隶二简体" w:hAnsi="方正隶二简体" w:eastAsia="方正隶二简体" w:cs="方正隶二简体"/>
          <w:sz w:val="72"/>
          <w:szCs w:val="72"/>
        </w:rPr>
      </w:pPr>
      <w:r>
        <w:rPr>
          <w:rFonts w:hint="eastAsia" w:ascii="方正隶二简体" w:hAnsi="方正隶二简体" w:eastAsia="方正隶二简体" w:cs="方正隶二简体"/>
          <w:sz w:val="72"/>
          <w:szCs w:val="72"/>
        </w:rPr>
        <w:t>绩效评价报告</w:t>
      </w:r>
    </w:p>
    <w:p w14:paraId="2A3CD68D">
      <w:pPr>
        <w:widowControl w:val="0"/>
        <w:jc w:val="center"/>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字[2025]第号</w:t>
      </w:r>
    </w:p>
    <w:p w14:paraId="7AFFA308">
      <w:pPr>
        <w:widowControl w:val="0"/>
        <w:jc w:val="center"/>
        <w:rPr>
          <w:rFonts w:hint="eastAsia" w:ascii="仿宋" w:hAnsi="仿宋" w:eastAsia="仿宋" w:cs="仿宋"/>
          <w:sz w:val="32"/>
          <w:szCs w:val="32"/>
        </w:rPr>
      </w:pPr>
    </w:p>
    <w:p w14:paraId="3C1E5282">
      <w:pPr>
        <w:widowControl w:val="0"/>
        <w:jc w:val="both"/>
        <w:rPr>
          <w:rFonts w:hint="eastAsia" w:ascii="仿宋" w:hAnsi="仿宋" w:eastAsia="仿宋" w:cs="仿宋"/>
          <w:sz w:val="32"/>
          <w:szCs w:val="32"/>
        </w:rPr>
      </w:pPr>
    </w:p>
    <w:p w14:paraId="639B1EAF">
      <w:pPr>
        <w:widowControl w:val="0"/>
        <w:jc w:val="center"/>
        <w:rPr>
          <w:rFonts w:hint="eastAsia" w:ascii="黑体" w:hAnsi="黑体" w:eastAsia="黑体" w:cs="黑体"/>
          <w:sz w:val="36"/>
          <w:szCs w:val="36"/>
        </w:rPr>
      </w:pPr>
      <w:r>
        <w:rPr>
          <w:rFonts w:hint="eastAsia" w:ascii="黑体" w:hAnsi="黑体" w:eastAsia="黑体" w:cs="黑体"/>
          <w:sz w:val="36"/>
          <w:szCs w:val="36"/>
        </w:rPr>
        <w:t>中国共产主义青年团雁峰区委员会部门</w:t>
      </w:r>
    </w:p>
    <w:p w14:paraId="044C3D4E">
      <w:pPr>
        <w:widowControl w:val="0"/>
        <w:jc w:val="center"/>
        <w:rPr>
          <w:rFonts w:hint="eastAsia" w:ascii="黑体" w:hAnsi="黑体" w:eastAsia="黑体" w:cs="黑体"/>
          <w:sz w:val="36"/>
          <w:szCs w:val="36"/>
        </w:rPr>
      </w:pPr>
      <w:r>
        <w:rPr>
          <w:rFonts w:hint="eastAsia" w:ascii="黑体" w:hAnsi="黑体" w:eastAsia="黑体" w:cs="黑体"/>
          <w:sz w:val="36"/>
          <w:szCs w:val="36"/>
        </w:rPr>
        <w:t>整体支出绩效评价报告</w:t>
      </w:r>
    </w:p>
    <w:p w14:paraId="7BD87E6C">
      <w:pPr>
        <w:spacing w:before="567" w:line="360" w:lineRule="auto"/>
        <w:jc w:val="both"/>
        <w:rPr>
          <w:rFonts w:hint="eastAsia" w:ascii="黑体" w:hAnsi="黑体" w:eastAsia="黑体" w:cs="黑体"/>
          <w:sz w:val="52"/>
          <w:szCs w:val="52"/>
        </w:rPr>
      </w:pPr>
    </w:p>
    <w:p w14:paraId="3B76F211">
      <w:pPr>
        <w:spacing w:line="360" w:lineRule="auto"/>
      </w:pPr>
    </w:p>
    <w:p w14:paraId="5D314154">
      <w:pPr>
        <w:spacing w:line="360" w:lineRule="auto"/>
        <w:rPr>
          <w:rFonts w:hint="eastAsia" w:ascii="宋体" w:hAnsi="宋体" w:eastAsia="宋体" w:cs="宋体"/>
          <w:b/>
          <w:bCs/>
          <w:sz w:val="32"/>
          <w:szCs w:val="32"/>
        </w:rPr>
      </w:pPr>
    </w:p>
    <w:p w14:paraId="45A41479">
      <w:pPr>
        <w:spacing w:line="360" w:lineRule="auto"/>
        <w:rPr>
          <w:rFonts w:hint="eastAsia" w:ascii="宋体" w:hAnsi="宋体" w:eastAsia="宋体" w:cs="宋体"/>
          <w:b/>
          <w:bCs/>
          <w:sz w:val="32"/>
          <w:szCs w:val="32"/>
        </w:rPr>
      </w:pPr>
    </w:p>
    <w:p w14:paraId="42B24172">
      <w:pPr>
        <w:spacing w:line="360" w:lineRule="auto"/>
        <w:outlineLvl w:val="9"/>
        <w:rPr>
          <w:rFonts w:hint="eastAsia" w:ascii="宋体" w:hAnsi="宋体" w:eastAsia="宋体" w:cs="宋体"/>
          <w:b/>
          <w:bCs/>
          <w:sz w:val="32"/>
          <w:szCs w:val="32"/>
        </w:rPr>
      </w:pPr>
      <w:bookmarkStart w:id="5" w:name="_Toc17667"/>
      <w:bookmarkStart w:id="6" w:name="_Toc5564"/>
      <w:bookmarkStart w:id="7" w:name="_Toc21829"/>
      <w:bookmarkStart w:id="8" w:name="_Toc9517"/>
      <w:bookmarkStart w:id="9" w:name="_Toc11024"/>
      <w:r>
        <w:rPr>
          <w:rFonts w:hint="eastAsia" w:ascii="宋体" w:hAnsi="宋体" w:eastAsia="宋体" w:cs="宋体"/>
          <w:b/>
          <w:bCs/>
          <w:sz w:val="32"/>
          <w:szCs w:val="32"/>
        </w:rPr>
        <w:t>项目单位：</w:t>
      </w:r>
      <w:bookmarkEnd w:id="5"/>
      <w:bookmarkEnd w:id="6"/>
      <w:bookmarkEnd w:id="7"/>
      <w:bookmarkEnd w:id="8"/>
      <w:bookmarkEnd w:id="9"/>
      <w:r>
        <w:rPr>
          <w:rFonts w:hint="eastAsia" w:ascii="宋体" w:hAnsi="宋体" w:eastAsia="宋体" w:cs="宋体"/>
          <w:b/>
          <w:bCs/>
          <w:sz w:val="32"/>
          <w:szCs w:val="32"/>
        </w:rPr>
        <w:t>中国共产主义青年团雁峰区委员会</w:t>
      </w:r>
    </w:p>
    <w:p w14:paraId="4B8583F0">
      <w:pPr>
        <w:spacing w:line="360" w:lineRule="auto"/>
        <w:outlineLvl w:val="9"/>
        <w:rPr>
          <w:rFonts w:hint="eastAsia" w:ascii="宋体" w:hAnsi="宋体" w:eastAsia="宋体" w:cs="宋体"/>
          <w:b/>
          <w:bCs/>
          <w:sz w:val="32"/>
          <w:szCs w:val="32"/>
        </w:rPr>
      </w:pPr>
      <w:r>
        <w:rPr>
          <w:rFonts w:hint="eastAsia" w:ascii="宋体" w:hAnsi="宋体" w:eastAsia="宋体" w:cs="宋体"/>
          <w:b/>
          <w:bCs/>
          <w:sz w:val="32"/>
          <w:szCs w:val="32"/>
        </w:rPr>
        <w:t>主管单位：雁峰区人民政府</w:t>
      </w:r>
    </w:p>
    <w:p w14:paraId="5C2359A4">
      <w:pPr>
        <w:spacing w:line="360" w:lineRule="auto"/>
        <w:outlineLvl w:val="9"/>
        <w:rPr>
          <w:rFonts w:hint="eastAsia" w:ascii="宋体" w:hAnsi="宋体" w:eastAsia="宋体" w:cs="宋体"/>
          <w:b/>
          <w:bCs/>
          <w:sz w:val="32"/>
          <w:szCs w:val="32"/>
        </w:rPr>
      </w:pPr>
      <w:bookmarkStart w:id="10" w:name="_Toc32054"/>
      <w:bookmarkStart w:id="11" w:name="_Toc18773"/>
      <w:bookmarkStart w:id="12" w:name="_Toc19386"/>
      <w:bookmarkStart w:id="13" w:name="_Toc1533"/>
      <w:bookmarkStart w:id="14" w:name="_Toc10517"/>
      <w:r>
        <w:rPr>
          <w:rFonts w:hint="eastAsia" w:ascii="宋体" w:hAnsi="宋体" w:eastAsia="宋体" w:cs="宋体"/>
          <w:b/>
          <w:bCs/>
          <w:sz w:val="32"/>
          <w:szCs w:val="32"/>
        </w:rPr>
        <w:t>委托单位：雁峰区财政局</w:t>
      </w:r>
      <w:bookmarkEnd w:id="10"/>
      <w:bookmarkEnd w:id="11"/>
      <w:bookmarkEnd w:id="12"/>
      <w:bookmarkEnd w:id="13"/>
      <w:bookmarkEnd w:id="14"/>
    </w:p>
    <w:p w14:paraId="5332BF0B">
      <w:pPr>
        <w:spacing w:line="360" w:lineRule="auto"/>
        <w:outlineLvl w:val="9"/>
        <w:rPr>
          <w:b/>
          <w:bCs/>
          <w:sz w:val="32"/>
          <w:szCs w:val="36"/>
        </w:rPr>
        <w:sectPr>
          <w:headerReference r:id="rId3" w:type="default"/>
          <w:footerReference r:id="rId4" w:type="default"/>
          <w:pgSz w:w="11906" w:h="16838"/>
          <w:pgMar w:top="1440" w:right="1803" w:bottom="1440" w:left="1803" w:header="851" w:footer="992" w:gutter="0"/>
          <w:cols w:space="0" w:num="1"/>
          <w:docGrid w:type="lines" w:linePitch="332" w:charSpace="0"/>
        </w:sectPr>
      </w:pPr>
      <w:r>
        <w:rPr>
          <w:rFonts w:hint="eastAsia" w:ascii="宋体" w:hAnsi="宋体" w:eastAsia="宋体" w:cs="宋体"/>
          <w:b/>
          <w:bCs/>
          <w:spacing w:val="320"/>
          <w:kern w:val="0"/>
          <w:sz w:val="32"/>
          <w:szCs w:val="32"/>
          <w:fitText w:val="1280" w:id="2085554003"/>
        </w:rPr>
        <w:t>日</w:t>
      </w:r>
      <w:r>
        <w:rPr>
          <w:rFonts w:hint="eastAsia" w:ascii="宋体" w:hAnsi="宋体" w:eastAsia="宋体" w:cs="宋体"/>
          <w:b/>
          <w:bCs/>
          <w:spacing w:val="0"/>
          <w:kern w:val="0"/>
          <w:sz w:val="32"/>
          <w:szCs w:val="32"/>
          <w:fitText w:val="1280" w:id="2085554003"/>
        </w:rPr>
        <w:t>期</w:t>
      </w: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 xml:space="preserve"> 11</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5 </w:t>
      </w:r>
      <w:r>
        <w:rPr>
          <w:rFonts w:hint="eastAsia" w:ascii="宋体" w:hAnsi="宋体" w:eastAsia="宋体" w:cs="宋体"/>
          <w:b/>
          <w:bCs/>
          <w:sz w:val="32"/>
          <w:szCs w:val="32"/>
        </w:rPr>
        <w:t>日</w:t>
      </w:r>
    </w:p>
    <w:p w14:paraId="4977FA7D"/>
    <w:p w14:paraId="56712C58">
      <w:pPr>
        <w:pStyle w:val="9"/>
        <w:keepNext w:val="0"/>
        <w:keepLines w:val="0"/>
        <w:pageBreakBefore w:val="0"/>
        <w:tabs>
          <w:tab w:val="center" w:pos="4210"/>
          <w:tab w:val="left" w:pos="5980"/>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sz w:val="36"/>
          <w:szCs w:val="36"/>
        </w:rPr>
        <w:tab/>
      </w:r>
      <w:r>
        <w:rPr>
          <w:rFonts w:hint="eastAsia" w:ascii="方正小标宋简体" w:hAnsi="方正小标宋简体" w:eastAsia="方正小标宋简体" w:cs="方正小标宋简体"/>
          <w:b/>
          <w:bCs/>
          <w:spacing w:val="320"/>
          <w:kern w:val="0"/>
          <w:sz w:val="44"/>
          <w:szCs w:val="44"/>
          <w:fitText w:val="1080" w:id="1955599196"/>
        </w:rPr>
        <w:t>目</w:t>
      </w:r>
      <w:r>
        <w:rPr>
          <w:rFonts w:hint="eastAsia" w:ascii="方正小标宋简体" w:hAnsi="方正小标宋简体" w:eastAsia="方正小标宋简体" w:cs="方正小标宋简体"/>
          <w:b/>
          <w:bCs/>
          <w:kern w:val="0"/>
          <w:sz w:val="44"/>
          <w:szCs w:val="44"/>
          <w:lang w:eastAsia="zh-CN"/>
        </w:rPr>
        <w:t>录</w:t>
      </w:r>
    </w:p>
    <w:sdt>
      <w:sdtPr>
        <w:rPr>
          <w:rFonts w:ascii="宋体" w:hAnsi="宋体" w:eastAsia="宋体" w:cs="Times New Roman"/>
          <w:sz w:val="32"/>
          <w:szCs w:val="32"/>
          <w:lang w:val="en-US" w:eastAsia="zh-CN" w:bidi="ar-SA"/>
        </w:rPr>
        <w:id w:val="147455549"/>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15170CB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32"/>
              <w:szCs w:val="32"/>
            </w:rPr>
          </w:pPr>
        </w:p>
        <w:p w14:paraId="45C9C27D">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_Toc30967 </w:instrText>
          </w:r>
          <w:r>
            <w:rPr>
              <w:sz w:val="32"/>
              <w:szCs w:val="32"/>
            </w:rPr>
            <w:fldChar w:fldCharType="separate"/>
          </w:r>
          <w:r>
            <w:rPr>
              <w:rFonts w:hint="eastAsia" w:ascii="黑体" w:hAnsi="黑体" w:eastAsia="黑体" w:cs="黑体"/>
              <w:sz w:val="32"/>
              <w:szCs w:val="32"/>
            </w:rPr>
            <w:t>一、绩效评价基本情况</w:t>
          </w:r>
          <w:r>
            <w:rPr>
              <w:sz w:val="32"/>
              <w:szCs w:val="32"/>
            </w:rPr>
            <w:tab/>
          </w:r>
          <w:r>
            <w:rPr>
              <w:sz w:val="32"/>
              <w:szCs w:val="32"/>
            </w:rPr>
            <w:fldChar w:fldCharType="begin"/>
          </w:r>
          <w:r>
            <w:rPr>
              <w:sz w:val="32"/>
              <w:szCs w:val="32"/>
            </w:rPr>
            <w:instrText xml:space="preserve"> PAGEREF _Toc30967 \h </w:instrText>
          </w:r>
          <w:r>
            <w:rPr>
              <w:sz w:val="32"/>
              <w:szCs w:val="32"/>
            </w:rPr>
            <w:fldChar w:fldCharType="separate"/>
          </w:r>
          <w:r>
            <w:rPr>
              <w:sz w:val="32"/>
              <w:szCs w:val="32"/>
            </w:rPr>
            <w:t>1</w:t>
          </w:r>
          <w:r>
            <w:rPr>
              <w:sz w:val="32"/>
              <w:szCs w:val="32"/>
            </w:rPr>
            <w:fldChar w:fldCharType="end"/>
          </w:r>
          <w:r>
            <w:rPr>
              <w:sz w:val="32"/>
              <w:szCs w:val="32"/>
            </w:rPr>
            <w:fldChar w:fldCharType="end"/>
          </w:r>
        </w:p>
        <w:p w14:paraId="4FF9E735">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_Toc8204 </w:instrText>
          </w:r>
          <w:r>
            <w:rPr>
              <w:sz w:val="32"/>
              <w:szCs w:val="32"/>
            </w:rPr>
            <w:fldChar w:fldCharType="separate"/>
          </w:r>
          <w:r>
            <w:rPr>
              <w:rFonts w:hint="eastAsia" w:ascii="楷体" w:hAnsi="楷体" w:eastAsia="楷体" w:cs="楷体"/>
              <w:bCs/>
              <w:sz w:val="32"/>
              <w:szCs w:val="32"/>
            </w:rPr>
            <w:t>（一）评价对象和范围</w:t>
          </w:r>
          <w:r>
            <w:rPr>
              <w:sz w:val="32"/>
              <w:szCs w:val="32"/>
            </w:rPr>
            <w:tab/>
          </w:r>
          <w:r>
            <w:rPr>
              <w:sz w:val="32"/>
              <w:szCs w:val="32"/>
            </w:rPr>
            <w:fldChar w:fldCharType="begin"/>
          </w:r>
          <w:r>
            <w:rPr>
              <w:sz w:val="32"/>
              <w:szCs w:val="32"/>
            </w:rPr>
            <w:instrText xml:space="preserve"> PAGEREF _Toc8204 \h </w:instrText>
          </w:r>
          <w:r>
            <w:rPr>
              <w:sz w:val="32"/>
              <w:szCs w:val="32"/>
            </w:rPr>
            <w:fldChar w:fldCharType="separate"/>
          </w:r>
          <w:r>
            <w:rPr>
              <w:sz w:val="32"/>
              <w:szCs w:val="32"/>
            </w:rPr>
            <w:t>1</w:t>
          </w:r>
          <w:r>
            <w:rPr>
              <w:sz w:val="32"/>
              <w:szCs w:val="32"/>
            </w:rPr>
            <w:fldChar w:fldCharType="end"/>
          </w:r>
          <w:r>
            <w:rPr>
              <w:sz w:val="32"/>
              <w:szCs w:val="32"/>
            </w:rPr>
            <w:fldChar w:fldCharType="end"/>
          </w:r>
        </w:p>
        <w:p w14:paraId="58ECA030">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_Toc5939 </w:instrText>
          </w:r>
          <w:r>
            <w:rPr>
              <w:sz w:val="32"/>
              <w:szCs w:val="32"/>
            </w:rPr>
            <w:fldChar w:fldCharType="separate"/>
          </w:r>
          <w:r>
            <w:rPr>
              <w:rFonts w:hint="eastAsia" w:ascii="楷体" w:hAnsi="楷体" w:eastAsia="楷体" w:cs="楷体"/>
              <w:bCs/>
              <w:sz w:val="32"/>
              <w:szCs w:val="32"/>
            </w:rPr>
            <w:t>（二）评价依据</w:t>
          </w:r>
          <w:r>
            <w:rPr>
              <w:sz w:val="32"/>
              <w:szCs w:val="32"/>
            </w:rPr>
            <w:tab/>
          </w:r>
          <w:r>
            <w:rPr>
              <w:sz w:val="32"/>
              <w:szCs w:val="32"/>
            </w:rPr>
            <w:fldChar w:fldCharType="begin"/>
          </w:r>
          <w:r>
            <w:rPr>
              <w:sz w:val="32"/>
              <w:szCs w:val="32"/>
            </w:rPr>
            <w:instrText xml:space="preserve"> PAGEREF _Toc5939 \h </w:instrText>
          </w:r>
          <w:r>
            <w:rPr>
              <w:sz w:val="32"/>
              <w:szCs w:val="32"/>
            </w:rPr>
            <w:fldChar w:fldCharType="separate"/>
          </w:r>
          <w:r>
            <w:rPr>
              <w:sz w:val="32"/>
              <w:szCs w:val="32"/>
            </w:rPr>
            <w:t>2</w:t>
          </w:r>
          <w:r>
            <w:rPr>
              <w:sz w:val="32"/>
              <w:szCs w:val="32"/>
            </w:rPr>
            <w:fldChar w:fldCharType="end"/>
          </w:r>
          <w:r>
            <w:rPr>
              <w:sz w:val="32"/>
              <w:szCs w:val="32"/>
            </w:rPr>
            <w:fldChar w:fldCharType="end"/>
          </w:r>
        </w:p>
        <w:p w14:paraId="6CF1F1E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_Toc29243 </w:instrText>
          </w:r>
          <w:r>
            <w:rPr>
              <w:sz w:val="32"/>
              <w:szCs w:val="32"/>
            </w:rPr>
            <w:fldChar w:fldCharType="separate"/>
          </w:r>
          <w:r>
            <w:rPr>
              <w:rFonts w:hint="eastAsia" w:ascii="楷体" w:hAnsi="楷体" w:eastAsia="楷体" w:cs="楷体"/>
              <w:bCs/>
              <w:sz w:val="32"/>
              <w:szCs w:val="32"/>
            </w:rPr>
            <w:t>（三）评价方法和目的</w:t>
          </w:r>
          <w:r>
            <w:rPr>
              <w:sz w:val="32"/>
              <w:szCs w:val="32"/>
            </w:rPr>
            <w:tab/>
          </w:r>
          <w:r>
            <w:rPr>
              <w:sz w:val="32"/>
              <w:szCs w:val="32"/>
            </w:rPr>
            <w:fldChar w:fldCharType="begin"/>
          </w:r>
          <w:r>
            <w:rPr>
              <w:sz w:val="32"/>
              <w:szCs w:val="32"/>
            </w:rPr>
            <w:instrText xml:space="preserve"> PAGEREF _Toc29243 \h </w:instrText>
          </w:r>
          <w:r>
            <w:rPr>
              <w:sz w:val="32"/>
              <w:szCs w:val="32"/>
            </w:rPr>
            <w:fldChar w:fldCharType="separate"/>
          </w:r>
          <w:r>
            <w:rPr>
              <w:sz w:val="32"/>
              <w:szCs w:val="32"/>
            </w:rPr>
            <w:t>3</w:t>
          </w:r>
          <w:r>
            <w:rPr>
              <w:sz w:val="32"/>
              <w:szCs w:val="32"/>
            </w:rPr>
            <w:fldChar w:fldCharType="end"/>
          </w:r>
          <w:r>
            <w:rPr>
              <w:sz w:val="32"/>
              <w:szCs w:val="32"/>
            </w:rPr>
            <w:fldChar w:fldCharType="end"/>
          </w:r>
        </w:p>
        <w:p w14:paraId="291B7DFD">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_Toc20119 </w:instrText>
          </w:r>
          <w:r>
            <w:rPr>
              <w:sz w:val="32"/>
              <w:szCs w:val="32"/>
            </w:rPr>
            <w:fldChar w:fldCharType="separate"/>
          </w:r>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r>
            <w:rPr>
              <w:sz w:val="32"/>
              <w:szCs w:val="32"/>
            </w:rPr>
            <w:tab/>
          </w:r>
          <w:r>
            <w:rPr>
              <w:sz w:val="32"/>
              <w:szCs w:val="32"/>
            </w:rPr>
            <w:fldChar w:fldCharType="begin"/>
          </w:r>
          <w:r>
            <w:rPr>
              <w:sz w:val="32"/>
              <w:szCs w:val="32"/>
            </w:rPr>
            <w:instrText xml:space="preserve"> PAGEREF _Toc20119 \h </w:instrText>
          </w:r>
          <w:r>
            <w:rPr>
              <w:sz w:val="32"/>
              <w:szCs w:val="32"/>
            </w:rPr>
            <w:fldChar w:fldCharType="separate"/>
          </w:r>
          <w:r>
            <w:rPr>
              <w:sz w:val="32"/>
              <w:szCs w:val="32"/>
            </w:rPr>
            <w:t>4</w:t>
          </w:r>
          <w:r>
            <w:rPr>
              <w:sz w:val="32"/>
              <w:szCs w:val="32"/>
            </w:rPr>
            <w:fldChar w:fldCharType="end"/>
          </w:r>
          <w:r>
            <w:rPr>
              <w:sz w:val="32"/>
              <w:szCs w:val="32"/>
            </w:rPr>
            <w:fldChar w:fldCharType="end"/>
          </w:r>
        </w:p>
        <w:p w14:paraId="760CB313">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_Toc9307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部门基本信息</w:t>
          </w:r>
          <w:r>
            <w:rPr>
              <w:sz w:val="32"/>
              <w:szCs w:val="32"/>
            </w:rPr>
            <w:tab/>
          </w:r>
          <w:r>
            <w:rPr>
              <w:sz w:val="32"/>
              <w:szCs w:val="32"/>
            </w:rPr>
            <w:fldChar w:fldCharType="begin"/>
          </w:r>
          <w:r>
            <w:rPr>
              <w:sz w:val="32"/>
              <w:szCs w:val="32"/>
            </w:rPr>
            <w:instrText xml:space="preserve"> PAGEREF _Toc9307 \h </w:instrText>
          </w:r>
          <w:r>
            <w:rPr>
              <w:sz w:val="32"/>
              <w:szCs w:val="32"/>
            </w:rPr>
            <w:fldChar w:fldCharType="separate"/>
          </w:r>
          <w:r>
            <w:rPr>
              <w:sz w:val="32"/>
              <w:szCs w:val="32"/>
            </w:rPr>
            <w:t>4</w:t>
          </w:r>
          <w:r>
            <w:rPr>
              <w:sz w:val="32"/>
              <w:szCs w:val="32"/>
            </w:rPr>
            <w:fldChar w:fldCharType="end"/>
          </w:r>
          <w:r>
            <w:rPr>
              <w:sz w:val="32"/>
              <w:szCs w:val="32"/>
            </w:rPr>
            <w:fldChar w:fldCharType="end"/>
          </w:r>
        </w:p>
        <w:p w14:paraId="74BF4CCF">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_Toc2299 </w:instrText>
          </w:r>
          <w:r>
            <w:rPr>
              <w:sz w:val="32"/>
              <w:szCs w:val="32"/>
            </w:rPr>
            <w:fldChar w:fldCharType="separate"/>
          </w:r>
          <w:r>
            <w:rPr>
              <w:rFonts w:hint="eastAsia" w:ascii="楷体" w:hAnsi="楷体" w:eastAsia="楷体" w:cs="楷体"/>
              <w:bCs/>
              <w:sz w:val="32"/>
              <w:szCs w:val="32"/>
              <w:lang w:val="en-US" w:eastAsia="zh-CN" w:bidi="ar-SA"/>
            </w:rPr>
            <w:t>（二）</w:t>
          </w:r>
          <w:r>
            <w:rPr>
              <w:rFonts w:hint="eastAsia" w:ascii="楷体" w:hAnsi="楷体" w:eastAsia="楷体" w:cs="楷体"/>
              <w:bCs/>
              <w:sz w:val="32"/>
              <w:szCs w:val="32"/>
            </w:rPr>
            <w:t>部门主要职责</w:t>
          </w:r>
          <w:r>
            <w:rPr>
              <w:sz w:val="32"/>
              <w:szCs w:val="32"/>
            </w:rPr>
            <w:tab/>
          </w:r>
          <w:r>
            <w:rPr>
              <w:sz w:val="32"/>
              <w:szCs w:val="32"/>
            </w:rPr>
            <w:fldChar w:fldCharType="begin"/>
          </w:r>
          <w:r>
            <w:rPr>
              <w:sz w:val="32"/>
              <w:szCs w:val="32"/>
            </w:rPr>
            <w:instrText xml:space="preserve"> PAGEREF _Toc2299 \h </w:instrText>
          </w:r>
          <w:r>
            <w:rPr>
              <w:sz w:val="32"/>
              <w:szCs w:val="32"/>
            </w:rPr>
            <w:fldChar w:fldCharType="separate"/>
          </w:r>
          <w:r>
            <w:rPr>
              <w:sz w:val="32"/>
              <w:szCs w:val="32"/>
            </w:rPr>
            <w:t>4</w:t>
          </w:r>
          <w:r>
            <w:rPr>
              <w:sz w:val="32"/>
              <w:szCs w:val="32"/>
            </w:rPr>
            <w:fldChar w:fldCharType="end"/>
          </w:r>
          <w:r>
            <w:rPr>
              <w:sz w:val="32"/>
              <w:szCs w:val="32"/>
            </w:rPr>
            <w:fldChar w:fldCharType="end"/>
          </w:r>
        </w:p>
        <w:p w14:paraId="16323E4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_Toc30216 </w:instrText>
          </w:r>
          <w:r>
            <w:rPr>
              <w:sz w:val="32"/>
              <w:szCs w:val="32"/>
            </w:rPr>
            <w:fldChar w:fldCharType="separate"/>
          </w:r>
          <w:r>
            <w:rPr>
              <w:rFonts w:hint="eastAsia" w:ascii="楷体" w:hAnsi="楷体" w:eastAsia="楷体" w:cs="楷体"/>
              <w:bCs/>
              <w:sz w:val="32"/>
              <w:szCs w:val="32"/>
            </w:rPr>
            <w:t>（三）部门组织架构与人员</w:t>
          </w:r>
          <w:r>
            <w:rPr>
              <w:sz w:val="32"/>
              <w:szCs w:val="32"/>
            </w:rPr>
            <w:tab/>
          </w:r>
          <w:r>
            <w:rPr>
              <w:sz w:val="32"/>
              <w:szCs w:val="32"/>
            </w:rPr>
            <w:fldChar w:fldCharType="begin"/>
          </w:r>
          <w:r>
            <w:rPr>
              <w:sz w:val="32"/>
              <w:szCs w:val="32"/>
            </w:rPr>
            <w:instrText xml:space="preserve"> PAGEREF _Toc30216 \h </w:instrText>
          </w:r>
          <w:r>
            <w:rPr>
              <w:sz w:val="32"/>
              <w:szCs w:val="32"/>
            </w:rPr>
            <w:fldChar w:fldCharType="separate"/>
          </w:r>
          <w:r>
            <w:rPr>
              <w:sz w:val="32"/>
              <w:szCs w:val="32"/>
            </w:rPr>
            <w:t>5</w:t>
          </w:r>
          <w:r>
            <w:rPr>
              <w:sz w:val="32"/>
              <w:szCs w:val="32"/>
            </w:rPr>
            <w:fldChar w:fldCharType="end"/>
          </w:r>
          <w:r>
            <w:rPr>
              <w:sz w:val="32"/>
              <w:szCs w:val="32"/>
            </w:rPr>
            <w:fldChar w:fldCharType="end"/>
          </w:r>
        </w:p>
        <w:p w14:paraId="52E1A456">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_Toc14342 </w:instrText>
          </w:r>
          <w:r>
            <w:rPr>
              <w:sz w:val="32"/>
              <w:szCs w:val="32"/>
            </w:rPr>
            <w:fldChar w:fldCharType="separate"/>
          </w:r>
          <w:r>
            <w:rPr>
              <w:rFonts w:hint="eastAsia" w:ascii="楷体" w:hAnsi="楷体" w:eastAsia="楷体" w:cs="楷体"/>
              <w:bCs/>
              <w:sz w:val="32"/>
              <w:szCs w:val="32"/>
            </w:rPr>
            <w:t>（四）部门2024年度职责履行及履职效益</w:t>
          </w:r>
          <w:r>
            <w:rPr>
              <w:sz w:val="32"/>
              <w:szCs w:val="32"/>
            </w:rPr>
            <w:tab/>
          </w:r>
          <w:r>
            <w:rPr>
              <w:sz w:val="32"/>
              <w:szCs w:val="32"/>
            </w:rPr>
            <w:fldChar w:fldCharType="begin"/>
          </w:r>
          <w:r>
            <w:rPr>
              <w:sz w:val="32"/>
              <w:szCs w:val="32"/>
            </w:rPr>
            <w:instrText xml:space="preserve"> PAGEREF _Toc14342 \h </w:instrText>
          </w:r>
          <w:r>
            <w:rPr>
              <w:sz w:val="32"/>
              <w:szCs w:val="32"/>
            </w:rPr>
            <w:fldChar w:fldCharType="separate"/>
          </w:r>
          <w:r>
            <w:rPr>
              <w:sz w:val="32"/>
              <w:szCs w:val="32"/>
            </w:rPr>
            <w:t>5</w:t>
          </w:r>
          <w:r>
            <w:rPr>
              <w:sz w:val="32"/>
              <w:szCs w:val="32"/>
            </w:rPr>
            <w:fldChar w:fldCharType="end"/>
          </w:r>
          <w:r>
            <w:rPr>
              <w:sz w:val="32"/>
              <w:szCs w:val="32"/>
            </w:rPr>
            <w:fldChar w:fldCharType="end"/>
          </w:r>
        </w:p>
        <w:p w14:paraId="12A1DD4C">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_Toc31679 </w:instrText>
          </w:r>
          <w:r>
            <w:rPr>
              <w:sz w:val="32"/>
              <w:szCs w:val="32"/>
            </w:rPr>
            <w:fldChar w:fldCharType="separate"/>
          </w:r>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r>
            <w:rPr>
              <w:sz w:val="32"/>
              <w:szCs w:val="32"/>
            </w:rPr>
            <w:tab/>
          </w:r>
          <w:r>
            <w:rPr>
              <w:sz w:val="32"/>
              <w:szCs w:val="32"/>
            </w:rPr>
            <w:fldChar w:fldCharType="begin"/>
          </w:r>
          <w:r>
            <w:rPr>
              <w:sz w:val="32"/>
              <w:szCs w:val="32"/>
            </w:rPr>
            <w:instrText xml:space="preserve"> PAGEREF _Toc31679 \h </w:instrText>
          </w:r>
          <w:r>
            <w:rPr>
              <w:sz w:val="32"/>
              <w:szCs w:val="32"/>
            </w:rPr>
            <w:fldChar w:fldCharType="separate"/>
          </w:r>
          <w:r>
            <w:rPr>
              <w:sz w:val="32"/>
              <w:szCs w:val="32"/>
            </w:rPr>
            <w:t>10</w:t>
          </w:r>
          <w:r>
            <w:rPr>
              <w:sz w:val="32"/>
              <w:szCs w:val="32"/>
            </w:rPr>
            <w:fldChar w:fldCharType="end"/>
          </w:r>
          <w:r>
            <w:rPr>
              <w:sz w:val="32"/>
              <w:szCs w:val="32"/>
            </w:rPr>
            <w:fldChar w:fldCharType="end"/>
          </w:r>
        </w:p>
        <w:p w14:paraId="7AC1B14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_Toc14034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预算配置情况及分析</w:t>
          </w:r>
          <w:r>
            <w:rPr>
              <w:sz w:val="32"/>
              <w:szCs w:val="32"/>
            </w:rPr>
            <w:tab/>
          </w:r>
          <w:r>
            <w:rPr>
              <w:sz w:val="32"/>
              <w:szCs w:val="32"/>
            </w:rPr>
            <w:fldChar w:fldCharType="begin"/>
          </w:r>
          <w:r>
            <w:rPr>
              <w:sz w:val="32"/>
              <w:szCs w:val="32"/>
            </w:rPr>
            <w:instrText xml:space="preserve"> PAGEREF _Toc14034 \h </w:instrText>
          </w:r>
          <w:r>
            <w:rPr>
              <w:sz w:val="32"/>
              <w:szCs w:val="32"/>
            </w:rPr>
            <w:fldChar w:fldCharType="separate"/>
          </w:r>
          <w:r>
            <w:rPr>
              <w:sz w:val="32"/>
              <w:szCs w:val="32"/>
            </w:rPr>
            <w:t>10</w:t>
          </w:r>
          <w:r>
            <w:rPr>
              <w:sz w:val="32"/>
              <w:szCs w:val="32"/>
            </w:rPr>
            <w:fldChar w:fldCharType="end"/>
          </w:r>
          <w:r>
            <w:rPr>
              <w:sz w:val="32"/>
              <w:szCs w:val="32"/>
            </w:rPr>
            <w:fldChar w:fldCharType="end"/>
          </w:r>
        </w:p>
        <w:p w14:paraId="2C6D186C">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_Toc16033 </w:instrText>
          </w:r>
          <w:r>
            <w:rPr>
              <w:sz w:val="32"/>
              <w:szCs w:val="32"/>
            </w:rPr>
            <w:fldChar w:fldCharType="separate"/>
          </w:r>
          <w:r>
            <w:rPr>
              <w:rFonts w:hint="eastAsia" w:ascii="楷体" w:hAnsi="楷体" w:eastAsia="楷体" w:cs="楷体"/>
              <w:bCs/>
              <w:sz w:val="32"/>
              <w:szCs w:val="32"/>
            </w:rPr>
            <w:t>（二）预算执行情况及分析</w:t>
          </w:r>
          <w:r>
            <w:rPr>
              <w:sz w:val="32"/>
              <w:szCs w:val="32"/>
            </w:rPr>
            <w:tab/>
          </w:r>
          <w:r>
            <w:rPr>
              <w:sz w:val="32"/>
              <w:szCs w:val="32"/>
            </w:rPr>
            <w:fldChar w:fldCharType="begin"/>
          </w:r>
          <w:r>
            <w:rPr>
              <w:sz w:val="32"/>
              <w:szCs w:val="32"/>
            </w:rPr>
            <w:instrText xml:space="preserve"> PAGEREF _Toc16033 \h </w:instrText>
          </w:r>
          <w:r>
            <w:rPr>
              <w:sz w:val="32"/>
              <w:szCs w:val="32"/>
            </w:rPr>
            <w:fldChar w:fldCharType="separate"/>
          </w:r>
          <w:r>
            <w:rPr>
              <w:sz w:val="32"/>
              <w:szCs w:val="32"/>
            </w:rPr>
            <w:t>11</w:t>
          </w:r>
          <w:r>
            <w:rPr>
              <w:sz w:val="32"/>
              <w:szCs w:val="32"/>
            </w:rPr>
            <w:fldChar w:fldCharType="end"/>
          </w:r>
          <w:r>
            <w:rPr>
              <w:sz w:val="32"/>
              <w:szCs w:val="32"/>
            </w:rPr>
            <w:fldChar w:fldCharType="end"/>
          </w:r>
        </w:p>
        <w:p w14:paraId="50FB288D">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_Toc23889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）整体支出汇总及分析</w:t>
          </w:r>
          <w:r>
            <w:rPr>
              <w:sz w:val="32"/>
              <w:szCs w:val="32"/>
            </w:rPr>
            <w:tab/>
          </w:r>
          <w:r>
            <w:rPr>
              <w:sz w:val="32"/>
              <w:szCs w:val="32"/>
            </w:rPr>
            <w:fldChar w:fldCharType="begin"/>
          </w:r>
          <w:r>
            <w:rPr>
              <w:sz w:val="32"/>
              <w:szCs w:val="32"/>
            </w:rPr>
            <w:instrText xml:space="preserve"> PAGEREF _Toc23889 \h </w:instrText>
          </w:r>
          <w:r>
            <w:rPr>
              <w:sz w:val="32"/>
              <w:szCs w:val="32"/>
            </w:rPr>
            <w:fldChar w:fldCharType="separate"/>
          </w:r>
          <w:r>
            <w:rPr>
              <w:sz w:val="32"/>
              <w:szCs w:val="32"/>
            </w:rPr>
            <w:t>14</w:t>
          </w:r>
          <w:r>
            <w:rPr>
              <w:sz w:val="32"/>
              <w:szCs w:val="32"/>
            </w:rPr>
            <w:fldChar w:fldCharType="end"/>
          </w:r>
          <w:r>
            <w:rPr>
              <w:sz w:val="32"/>
              <w:szCs w:val="32"/>
            </w:rPr>
            <w:fldChar w:fldCharType="end"/>
          </w:r>
        </w:p>
        <w:p w14:paraId="2D3B6390">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_Toc31580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四</w:t>
          </w:r>
          <w:r>
            <w:rPr>
              <w:rFonts w:hint="eastAsia" w:ascii="楷体" w:hAnsi="楷体" w:eastAsia="楷体" w:cs="楷体"/>
              <w:bCs/>
              <w:sz w:val="32"/>
              <w:szCs w:val="32"/>
            </w:rPr>
            <w:t>）预算管理情况及分析</w:t>
          </w:r>
          <w:r>
            <w:rPr>
              <w:sz w:val="32"/>
              <w:szCs w:val="32"/>
            </w:rPr>
            <w:tab/>
          </w:r>
          <w:r>
            <w:rPr>
              <w:sz w:val="32"/>
              <w:szCs w:val="32"/>
            </w:rPr>
            <w:fldChar w:fldCharType="begin"/>
          </w:r>
          <w:r>
            <w:rPr>
              <w:sz w:val="32"/>
              <w:szCs w:val="32"/>
            </w:rPr>
            <w:instrText xml:space="preserve"> PAGEREF _Toc31580 \h </w:instrText>
          </w:r>
          <w:r>
            <w:rPr>
              <w:sz w:val="32"/>
              <w:szCs w:val="32"/>
            </w:rPr>
            <w:fldChar w:fldCharType="separate"/>
          </w:r>
          <w:r>
            <w:rPr>
              <w:sz w:val="32"/>
              <w:szCs w:val="32"/>
            </w:rPr>
            <w:t>18</w:t>
          </w:r>
          <w:r>
            <w:rPr>
              <w:sz w:val="32"/>
              <w:szCs w:val="32"/>
            </w:rPr>
            <w:fldChar w:fldCharType="end"/>
          </w:r>
          <w:r>
            <w:rPr>
              <w:sz w:val="32"/>
              <w:szCs w:val="32"/>
            </w:rPr>
            <w:fldChar w:fldCharType="end"/>
          </w:r>
        </w:p>
        <w:p w14:paraId="1AD47DA1">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_Toc7579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五</w:t>
          </w:r>
          <w:r>
            <w:rPr>
              <w:rFonts w:hint="eastAsia" w:ascii="楷体" w:hAnsi="楷体" w:eastAsia="楷体" w:cs="楷体"/>
              <w:bCs/>
              <w:sz w:val="32"/>
              <w:szCs w:val="32"/>
            </w:rPr>
            <w:t>）</w:t>
          </w:r>
          <w:r>
            <w:rPr>
              <w:rFonts w:hint="eastAsia" w:ascii="楷体" w:hAnsi="楷体" w:eastAsia="楷体" w:cs="楷体"/>
              <w:bCs/>
              <w:sz w:val="32"/>
              <w:szCs w:val="32"/>
              <w:lang w:eastAsia="zh-CN"/>
            </w:rPr>
            <w:t>工资经费</w:t>
          </w:r>
          <w:r>
            <w:rPr>
              <w:rFonts w:hint="eastAsia" w:ascii="楷体" w:hAnsi="楷体" w:eastAsia="楷体" w:cs="楷体"/>
              <w:bCs/>
              <w:sz w:val="32"/>
              <w:szCs w:val="32"/>
            </w:rPr>
            <w:t>管理情况及分析</w:t>
          </w:r>
          <w:r>
            <w:rPr>
              <w:sz w:val="32"/>
              <w:szCs w:val="32"/>
            </w:rPr>
            <w:tab/>
          </w:r>
          <w:r>
            <w:rPr>
              <w:sz w:val="32"/>
              <w:szCs w:val="32"/>
            </w:rPr>
            <w:fldChar w:fldCharType="begin"/>
          </w:r>
          <w:r>
            <w:rPr>
              <w:sz w:val="32"/>
              <w:szCs w:val="32"/>
            </w:rPr>
            <w:instrText xml:space="preserve"> PAGEREF _Toc7579 \h </w:instrText>
          </w:r>
          <w:r>
            <w:rPr>
              <w:sz w:val="32"/>
              <w:szCs w:val="32"/>
            </w:rPr>
            <w:fldChar w:fldCharType="separate"/>
          </w:r>
          <w:r>
            <w:rPr>
              <w:sz w:val="32"/>
              <w:szCs w:val="32"/>
            </w:rPr>
            <w:t>20</w:t>
          </w:r>
          <w:r>
            <w:rPr>
              <w:sz w:val="32"/>
              <w:szCs w:val="32"/>
            </w:rPr>
            <w:fldChar w:fldCharType="end"/>
          </w:r>
          <w:r>
            <w:rPr>
              <w:sz w:val="32"/>
              <w:szCs w:val="32"/>
            </w:rPr>
            <w:fldChar w:fldCharType="end"/>
          </w:r>
        </w:p>
        <w:p w14:paraId="1AB2AA8C">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_Toc16816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六</w:t>
          </w:r>
          <w:r>
            <w:rPr>
              <w:rFonts w:hint="eastAsia" w:ascii="楷体" w:hAnsi="楷体" w:eastAsia="楷体" w:cs="楷体"/>
              <w:bCs/>
              <w:sz w:val="32"/>
              <w:szCs w:val="32"/>
            </w:rPr>
            <w:t>）项目支出管理情况及分析</w:t>
          </w:r>
          <w:r>
            <w:rPr>
              <w:sz w:val="32"/>
              <w:szCs w:val="32"/>
            </w:rPr>
            <w:tab/>
          </w:r>
          <w:r>
            <w:rPr>
              <w:sz w:val="32"/>
              <w:szCs w:val="32"/>
            </w:rPr>
            <w:fldChar w:fldCharType="begin"/>
          </w:r>
          <w:r>
            <w:rPr>
              <w:sz w:val="32"/>
              <w:szCs w:val="32"/>
            </w:rPr>
            <w:instrText xml:space="preserve"> PAGEREF _Toc16816 \h </w:instrText>
          </w:r>
          <w:r>
            <w:rPr>
              <w:sz w:val="32"/>
              <w:szCs w:val="32"/>
            </w:rPr>
            <w:fldChar w:fldCharType="separate"/>
          </w:r>
          <w:r>
            <w:rPr>
              <w:sz w:val="32"/>
              <w:szCs w:val="32"/>
            </w:rPr>
            <w:t>21</w:t>
          </w:r>
          <w:r>
            <w:rPr>
              <w:sz w:val="32"/>
              <w:szCs w:val="32"/>
            </w:rPr>
            <w:fldChar w:fldCharType="end"/>
          </w:r>
          <w:r>
            <w:rPr>
              <w:sz w:val="32"/>
              <w:szCs w:val="32"/>
            </w:rPr>
            <w:fldChar w:fldCharType="end"/>
          </w:r>
        </w:p>
        <w:p w14:paraId="647DD541">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_Toc29994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七</w:t>
          </w:r>
          <w:r>
            <w:rPr>
              <w:rFonts w:hint="eastAsia" w:ascii="楷体" w:hAnsi="楷体" w:eastAsia="楷体" w:cs="楷体"/>
              <w:bCs/>
              <w:sz w:val="32"/>
              <w:szCs w:val="32"/>
            </w:rPr>
            <w:t>）固定资产管理情况及分析</w:t>
          </w:r>
          <w:r>
            <w:rPr>
              <w:sz w:val="32"/>
              <w:szCs w:val="32"/>
            </w:rPr>
            <w:tab/>
          </w:r>
          <w:r>
            <w:rPr>
              <w:sz w:val="32"/>
              <w:szCs w:val="32"/>
            </w:rPr>
            <w:fldChar w:fldCharType="begin"/>
          </w:r>
          <w:r>
            <w:rPr>
              <w:sz w:val="32"/>
              <w:szCs w:val="32"/>
            </w:rPr>
            <w:instrText xml:space="preserve"> PAGEREF _Toc29994 \h </w:instrText>
          </w:r>
          <w:r>
            <w:rPr>
              <w:sz w:val="32"/>
              <w:szCs w:val="32"/>
            </w:rPr>
            <w:fldChar w:fldCharType="separate"/>
          </w:r>
          <w:r>
            <w:rPr>
              <w:sz w:val="32"/>
              <w:szCs w:val="32"/>
            </w:rPr>
            <w:t>21</w:t>
          </w:r>
          <w:r>
            <w:rPr>
              <w:sz w:val="32"/>
              <w:szCs w:val="32"/>
            </w:rPr>
            <w:fldChar w:fldCharType="end"/>
          </w:r>
          <w:r>
            <w:rPr>
              <w:sz w:val="32"/>
              <w:szCs w:val="32"/>
            </w:rPr>
            <w:fldChar w:fldCharType="end"/>
          </w:r>
        </w:p>
        <w:p w14:paraId="06A57498">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_Toc31488 </w:instrText>
          </w:r>
          <w:r>
            <w:rPr>
              <w:sz w:val="32"/>
              <w:szCs w:val="32"/>
            </w:rPr>
            <w:fldChar w:fldCharType="separate"/>
          </w:r>
          <w:r>
            <w:rPr>
              <w:rFonts w:hint="eastAsia" w:ascii="楷体" w:hAnsi="楷体" w:eastAsia="楷体" w:cs="楷体"/>
              <w:bCs/>
              <w:sz w:val="32"/>
              <w:szCs w:val="32"/>
              <w:lang w:val="en-US" w:eastAsia="zh-CN" w:bidi="ar-SA"/>
            </w:rPr>
            <w:t>（八）</w:t>
          </w:r>
          <w:r>
            <w:rPr>
              <w:rFonts w:hint="eastAsia" w:ascii="楷体" w:hAnsi="楷体" w:eastAsia="楷体" w:cs="楷体"/>
              <w:bCs/>
              <w:sz w:val="32"/>
              <w:szCs w:val="32"/>
            </w:rPr>
            <w:t>厉行节约保障措施的执行情况及其政策效果</w:t>
          </w:r>
          <w:r>
            <w:rPr>
              <w:sz w:val="32"/>
              <w:szCs w:val="32"/>
            </w:rPr>
            <w:tab/>
          </w:r>
          <w:r>
            <w:rPr>
              <w:sz w:val="32"/>
              <w:szCs w:val="32"/>
            </w:rPr>
            <w:fldChar w:fldCharType="begin"/>
          </w:r>
          <w:r>
            <w:rPr>
              <w:sz w:val="32"/>
              <w:szCs w:val="32"/>
            </w:rPr>
            <w:instrText xml:space="preserve"> PAGEREF _Toc31488 \h </w:instrText>
          </w:r>
          <w:r>
            <w:rPr>
              <w:sz w:val="32"/>
              <w:szCs w:val="32"/>
            </w:rPr>
            <w:fldChar w:fldCharType="separate"/>
          </w:r>
          <w:r>
            <w:rPr>
              <w:sz w:val="32"/>
              <w:szCs w:val="32"/>
            </w:rPr>
            <w:t>22</w:t>
          </w:r>
          <w:r>
            <w:rPr>
              <w:sz w:val="32"/>
              <w:szCs w:val="32"/>
            </w:rPr>
            <w:fldChar w:fldCharType="end"/>
          </w:r>
          <w:r>
            <w:rPr>
              <w:sz w:val="32"/>
              <w:szCs w:val="32"/>
            </w:rPr>
            <w:fldChar w:fldCharType="end"/>
          </w:r>
        </w:p>
        <w:p w14:paraId="7CF04872">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_Toc19039 </w:instrText>
          </w:r>
          <w:r>
            <w:rPr>
              <w:sz w:val="32"/>
              <w:szCs w:val="32"/>
            </w:rPr>
            <w:fldChar w:fldCharType="separate"/>
          </w:r>
          <w:r>
            <w:rPr>
              <w:rFonts w:hint="eastAsia" w:ascii="黑体" w:hAnsi="黑体" w:eastAsia="黑体" w:cs="黑体"/>
              <w:bCs w:val="0"/>
              <w:sz w:val="32"/>
              <w:szCs w:val="32"/>
              <w:lang w:eastAsia="zh-CN"/>
            </w:rPr>
            <w:t>四</w:t>
          </w:r>
          <w:r>
            <w:rPr>
              <w:rFonts w:hint="eastAsia" w:ascii="黑体" w:hAnsi="黑体" w:eastAsia="黑体" w:cs="黑体"/>
              <w:bCs w:val="0"/>
              <w:sz w:val="32"/>
              <w:szCs w:val="32"/>
            </w:rPr>
            <w:t>、部门绩效目标</w:t>
          </w:r>
          <w:r>
            <w:rPr>
              <w:sz w:val="32"/>
              <w:szCs w:val="32"/>
            </w:rPr>
            <w:tab/>
          </w:r>
          <w:r>
            <w:rPr>
              <w:sz w:val="32"/>
              <w:szCs w:val="32"/>
            </w:rPr>
            <w:fldChar w:fldCharType="begin"/>
          </w:r>
          <w:r>
            <w:rPr>
              <w:sz w:val="32"/>
              <w:szCs w:val="32"/>
            </w:rPr>
            <w:instrText xml:space="preserve"> PAGEREF _Toc19039 \h </w:instrText>
          </w:r>
          <w:r>
            <w:rPr>
              <w:sz w:val="32"/>
              <w:szCs w:val="32"/>
            </w:rPr>
            <w:fldChar w:fldCharType="separate"/>
          </w:r>
          <w:r>
            <w:rPr>
              <w:sz w:val="32"/>
              <w:szCs w:val="32"/>
            </w:rPr>
            <w:t>23</w:t>
          </w:r>
          <w:r>
            <w:rPr>
              <w:sz w:val="32"/>
              <w:szCs w:val="32"/>
            </w:rPr>
            <w:fldChar w:fldCharType="end"/>
          </w:r>
          <w:r>
            <w:rPr>
              <w:sz w:val="32"/>
              <w:szCs w:val="32"/>
            </w:rPr>
            <w:fldChar w:fldCharType="end"/>
          </w:r>
        </w:p>
        <w:p w14:paraId="663F84D5">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_Toc13453 </w:instrText>
          </w:r>
          <w:r>
            <w:rPr>
              <w:sz w:val="32"/>
              <w:szCs w:val="32"/>
            </w:rPr>
            <w:fldChar w:fldCharType="separate"/>
          </w:r>
          <w:r>
            <w:rPr>
              <w:rFonts w:hint="eastAsia" w:ascii="楷体" w:hAnsi="楷体" w:eastAsia="楷体" w:cs="楷体"/>
              <w:bCs/>
              <w:sz w:val="32"/>
              <w:szCs w:val="32"/>
            </w:rPr>
            <w:t>（一）总体目标</w:t>
          </w:r>
          <w:r>
            <w:rPr>
              <w:sz w:val="32"/>
              <w:szCs w:val="32"/>
            </w:rPr>
            <w:tab/>
          </w:r>
          <w:r>
            <w:rPr>
              <w:sz w:val="32"/>
              <w:szCs w:val="32"/>
            </w:rPr>
            <w:fldChar w:fldCharType="begin"/>
          </w:r>
          <w:r>
            <w:rPr>
              <w:sz w:val="32"/>
              <w:szCs w:val="32"/>
            </w:rPr>
            <w:instrText xml:space="preserve"> PAGEREF _Toc13453 \h </w:instrText>
          </w:r>
          <w:r>
            <w:rPr>
              <w:sz w:val="32"/>
              <w:szCs w:val="32"/>
            </w:rPr>
            <w:fldChar w:fldCharType="separate"/>
          </w:r>
          <w:r>
            <w:rPr>
              <w:sz w:val="32"/>
              <w:szCs w:val="32"/>
            </w:rPr>
            <w:t>23</w:t>
          </w:r>
          <w:r>
            <w:rPr>
              <w:sz w:val="32"/>
              <w:szCs w:val="32"/>
            </w:rPr>
            <w:fldChar w:fldCharType="end"/>
          </w:r>
          <w:r>
            <w:rPr>
              <w:sz w:val="32"/>
              <w:szCs w:val="32"/>
            </w:rPr>
            <w:fldChar w:fldCharType="end"/>
          </w:r>
        </w:p>
        <w:p w14:paraId="5215745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_Toc15444 </w:instrText>
          </w:r>
          <w:r>
            <w:rPr>
              <w:sz w:val="32"/>
              <w:szCs w:val="32"/>
            </w:rPr>
            <w:fldChar w:fldCharType="separate"/>
          </w:r>
          <w:r>
            <w:rPr>
              <w:rFonts w:hint="eastAsia" w:ascii="楷体" w:hAnsi="楷体" w:eastAsia="楷体" w:cs="楷体"/>
              <w:bCs/>
              <w:sz w:val="32"/>
              <w:szCs w:val="32"/>
            </w:rPr>
            <w:t>（二）细化绩效指标</w:t>
          </w:r>
          <w:r>
            <w:rPr>
              <w:sz w:val="32"/>
              <w:szCs w:val="32"/>
            </w:rPr>
            <w:tab/>
          </w:r>
          <w:r>
            <w:rPr>
              <w:sz w:val="32"/>
              <w:szCs w:val="32"/>
            </w:rPr>
            <w:fldChar w:fldCharType="begin"/>
          </w:r>
          <w:r>
            <w:rPr>
              <w:sz w:val="32"/>
              <w:szCs w:val="32"/>
            </w:rPr>
            <w:instrText xml:space="preserve"> PAGEREF _Toc15444 \h </w:instrText>
          </w:r>
          <w:r>
            <w:rPr>
              <w:sz w:val="32"/>
              <w:szCs w:val="32"/>
            </w:rPr>
            <w:fldChar w:fldCharType="separate"/>
          </w:r>
          <w:r>
            <w:rPr>
              <w:sz w:val="32"/>
              <w:szCs w:val="32"/>
            </w:rPr>
            <w:t>24</w:t>
          </w:r>
          <w:r>
            <w:rPr>
              <w:sz w:val="32"/>
              <w:szCs w:val="32"/>
            </w:rPr>
            <w:fldChar w:fldCharType="end"/>
          </w:r>
          <w:r>
            <w:rPr>
              <w:sz w:val="32"/>
              <w:szCs w:val="32"/>
            </w:rPr>
            <w:fldChar w:fldCharType="end"/>
          </w:r>
        </w:p>
        <w:p w14:paraId="6EC7BC02">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_Toc9338 </w:instrText>
          </w:r>
          <w:r>
            <w:rPr>
              <w:sz w:val="32"/>
              <w:szCs w:val="32"/>
            </w:rPr>
            <w:fldChar w:fldCharType="separate"/>
          </w:r>
          <w:r>
            <w:rPr>
              <w:rFonts w:hint="eastAsia" w:ascii="黑体" w:hAnsi="黑体" w:eastAsia="黑体" w:cs="黑体"/>
              <w:bCs w:val="0"/>
              <w:sz w:val="32"/>
              <w:szCs w:val="32"/>
              <w:lang w:eastAsia="zh-CN"/>
            </w:rPr>
            <w:t>五</w:t>
          </w:r>
          <w:r>
            <w:rPr>
              <w:rFonts w:hint="eastAsia" w:ascii="黑体" w:hAnsi="黑体" w:eastAsia="黑体" w:cs="黑体"/>
              <w:bCs w:val="0"/>
              <w:sz w:val="32"/>
              <w:szCs w:val="32"/>
            </w:rPr>
            <w:t>、部门绩效考评情况</w:t>
          </w:r>
          <w:r>
            <w:rPr>
              <w:sz w:val="32"/>
              <w:szCs w:val="32"/>
            </w:rPr>
            <w:tab/>
          </w:r>
          <w:r>
            <w:rPr>
              <w:sz w:val="32"/>
              <w:szCs w:val="32"/>
            </w:rPr>
            <w:fldChar w:fldCharType="begin"/>
          </w:r>
          <w:r>
            <w:rPr>
              <w:sz w:val="32"/>
              <w:szCs w:val="32"/>
            </w:rPr>
            <w:instrText xml:space="preserve"> PAGEREF _Toc9338 \h </w:instrText>
          </w:r>
          <w:r>
            <w:rPr>
              <w:sz w:val="32"/>
              <w:szCs w:val="32"/>
            </w:rPr>
            <w:fldChar w:fldCharType="separate"/>
          </w:r>
          <w:r>
            <w:rPr>
              <w:sz w:val="32"/>
              <w:szCs w:val="32"/>
            </w:rPr>
            <w:t>25</w:t>
          </w:r>
          <w:r>
            <w:rPr>
              <w:sz w:val="32"/>
              <w:szCs w:val="32"/>
            </w:rPr>
            <w:fldChar w:fldCharType="end"/>
          </w:r>
          <w:r>
            <w:rPr>
              <w:sz w:val="32"/>
              <w:szCs w:val="32"/>
            </w:rPr>
            <w:fldChar w:fldCharType="end"/>
          </w:r>
        </w:p>
        <w:p w14:paraId="7F7C2AE1">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_Toc13897 </w:instrText>
          </w:r>
          <w:r>
            <w:rPr>
              <w:sz w:val="32"/>
              <w:szCs w:val="32"/>
            </w:rPr>
            <w:fldChar w:fldCharType="separate"/>
          </w:r>
          <w:r>
            <w:rPr>
              <w:rFonts w:hint="eastAsia" w:ascii="楷体" w:hAnsi="楷体" w:eastAsia="楷体" w:cs="楷体"/>
              <w:bCs/>
              <w:sz w:val="32"/>
              <w:szCs w:val="32"/>
            </w:rPr>
            <w:t>（一）评价框架</w:t>
          </w:r>
          <w:r>
            <w:rPr>
              <w:sz w:val="32"/>
              <w:szCs w:val="32"/>
            </w:rPr>
            <w:tab/>
          </w:r>
          <w:r>
            <w:rPr>
              <w:sz w:val="32"/>
              <w:szCs w:val="32"/>
            </w:rPr>
            <w:fldChar w:fldCharType="begin"/>
          </w:r>
          <w:r>
            <w:rPr>
              <w:sz w:val="32"/>
              <w:szCs w:val="32"/>
            </w:rPr>
            <w:instrText xml:space="preserve"> PAGEREF _Toc13897 \h </w:instrText>
          </w:r>
          <w:r>
            <w:rPr>
              <w:sz w:val="32"/>
              <w:szCs w:val="32"/>
            </w:rPr>
            <w:fldChar w:fldCharType="separate"/>
          </w:r>
          <w:r>
            <w:rPr>
              <w:sz w:val="32"/>
              <w:szCs w:val="32"/>
            </w:rPr>
            <w:t>25</w:t>
          </w:r>
          <w:r>
            <w:rPr>
              <w:sz w:val="32"/>
              <w:szCs w:val="32"/>
            </w:rPr>
            <w:fldChar w:fldCharType="end"/>
          </w:r>
          <w:r>
            <w:rPr>
              <w:sz w:val="32"/>
              <w:szCs w:val="32"/>
            </w:rPr>
            <w:fldChar w:fldCharType="end"/>
          </w:r>
        </w:p>
        <w:p w14:paraId="3F3221C3">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_Toc2057 </w:instrText>
          </w:r>
          <w:r>
            <w:rPr>
              <w:sz w:val="32"/>
              <w:szCs w:val="32"/>
            </w:rPr>
            <w:fldChar w:fldCharType="separate"/>
          </w:r>
          <w:r>
            <w:rPr>
              <w:rFonts w:hint="eastAsia" w:ascii="楷体" w:hAnsi="楷体" w:eastAsia="楷体" w:cs="楷体"/>
              <w:bCs/>
              <w:sz w:val="32"/>
              <w:szCs w:val="32"/>
            </w:rPr>
            <w:t>（二）评价分析</w:t>
          </w:r>
          <w:r>
            <w:rPr>
              <w:sz w:val="32"/>
              <w:szCs w:val="32"/>
            </w:rPr>
            <w:tab/>
          </w:r>
          <w:r>
            <w:rPr>
              <w:sz w:val="32"/>
              <w:szCs w:val="32"/>
            </w:rPr>
            <w:fldChar w:fldCharType="begin"/>
          </w:r>
          <w:r>
            <w:rPr>
              <w:sz w:val="32"/>
              <w:szCs w:val="32"/>
            </w:rPr>
            <w:instrText xml:space="preserve"> PAGEREF _Toc2057 \h </w:instrText>
          </w:r>
          <w:r>
            <w:rPr>
              <w:sz w:val="32"/>
              <w:szCs w:val="32"/>
            </w:rPr>
            <w:fldChar w:fldCharType="separate"/>
          </w:r>
          <w:r>
            <w:rPr>
              <w:sz w:val="32"/>
              <w:szCs w:val="32"/>
            </w:rPr>
            <w:t>27</w:t>
          </w:r>
          <w:r>
            <w:rPr>
              <w:sz w:val="32"/>
              <w:szCs w:val="32"/>
            </w:rPr>
            <w:fldChar w:fldCharType="end"/>
          </w:r>
          <w:r>
            <w:rPr>
              <w:sz w:val="32"/>
              <w:szCs w:val="32"/>
            </w:rPr>
            <w:fldChar w:fldCharType="end"/>
          </w:r>
        </w:p>
        <w:p w14:paraId="3A779B5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_Toc2929 </w:instrText>
          </w:r>
          <w:r>
            <w:rPr>
              <w:sz w:val="32"/>
              <w:szCs w:val="32"/>
            </w:rPr>
            <w:fldChar w:fldCharType="separate"/>
          </w:r>
          <w:r>
            <w:rPr>
              <w:rFonts w:hint="eastAsia" w:ascii="楷体" w:hAnsi="楷体" w:eastAsia="楷体" w:cs="楷体"/>
              <w:bCs/>
              <w:sz w:val="32"/>
              <w:szCs w:val="32"/>
            </w:rPr>
            <w:t>（三）评价结果</w:t>
          </w:r>
          <w:r>
            <w:rPr>
              <w:sz w:val="32"/>
              <w:szCs w:val="32"/>
            </w:rPr>
            <w:tab/>
          </w:r>
          <w:r>
            <w:rPr>
              <w:sz w:val="32"/>
              <w:szCs w:val="32"/>
            </w:rPr>
            <w:fldChar w:fldCharType="begin"/>
          </w:r>
          <w:r>
            <w:rPr>
              <w:sz w:val="32"/>
              <w:szCs w:val="32"/>
            </w:rPr>
            <w:instrText xml:space="preserve"> PAGEREF _Toc2929 \h </w:instrText>
          </w:r>
          <w:r>
            <w:rPr>
              <w:sz w:val="32"/>
              <w:szCs w:val="32"/>
            </w:rPr>
            <w:fldChar w:fldCharType="separate"/>
          </w:r>
          <w:r>
            <w:rPr>
              <w:sz w:val="32"/>
              <w:szCs w:val="32"/>
            </w:rPr>
            <w:t>33</w:t>
          </w:r>
          <w:r>
            <w:rPr>
              <w:sz w:val="32"/>
              <w:szCs w:val="32"/>
            </w:rPr>
            <w:fldChar w:fldCharType="end"/>
          </w:r>
          <w:r>
            <w:rPr>
              <w:sz w:val="32"/>
              <w:szCs w:val="32"/>
            </w:rPr>
            <w:fldChar w:fldCharType="end"/>
          </w:r>
        </w:p>
        <w:p w14:paraId="20607427">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_Toc11444 </w:instrText>
          </w:r>
          <w:r>
            <w:rPr>
              <w:sz w:val="32"/>
              <w:szCs w:val="32"/>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r>
            <w:rPr>
              <w:sz w:val="32"/>
              <w:szCs w:val="32"/>
            </w:rPr>
            <w:tab/>
          </w:r>
          <w:r>
            <w:rPr>
              <w:sz w:val="32"/>
              <w:szCs w:val="32"/>
            </w:rPr>
            <w:fldChar w:fldCharType="begin"/>
          </w:r>
          <w:r>
            <w:rPr>
              <w:sz w:val="32"/>
              <w:szCs w:val="32"/>
            </w:rPr>
            <w:instrText xml:space="preserve"> PAGEREF _Toc11444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E8CFBDD">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_Toc17959 </w:instrText>
          </w:r>
          <w:r>
            <w:rPr>
              <w:sz w:val="32"/>
              <w:szCs w:val="32"/>
            </w:rPr>
            <w:fldChar w:fldCharType="separate"/>
          </w:r>
          <w:r>
            <w:rPr>
              <w:rFonts w:hint="eastAsia" w:ascii="楷体" w:hAnsi="楷体" w:eastAsia="楷体" w:cs="楷体"/>
              <w:bCs/>
              <w:sz w:val="32"/>
              <w:szCs w:val="32"/>
            </w:rPr>
            <w:t>（一）预算配置与执行方面存在的问题及建议</w:t>
          </w:r>
          <w:r>
            <w:rPr>
              <w:sz w:val="32"/>
              <w:szCs w:val="32"/>
            </w:rPr>
            <w:tab/>
          </w:r>
          <w:r>
            <w:rPr>
              <w:sz w:val="32"/>
              <w:szCs w:val="32"/>
            </w:rPr>
            <w:fldChar w:fldCharType="begin"/>
          </w:r>
          <w:r>
            <w:rPr>
              <w:sz w:val="32"/>
              <w:szCs w:val="32"/>
            </w:rPr>
            <w:instrText xml:space="preserve"> PAGEREF _Toc17959 \h </w:instrText>
          </w:r>
          <w:r>
            <w:rPr>
              <w:sz w:val="32"/>
              <w:szCs w:val="32"/>
            </w:rPr>
            <w:fldChar w:fldCharType="separate"/>
          </w:r>
          <w:r>
            <w:rPr>
              <w:sz w:val="32"/>
              <w:szCs w:val="32"/>
            </w:rPr>
            <w:t>33</w:t>
          </w:r>
          <w:r>
            <w:rPr>
              <w:sz w:val="32"/>
              <w:szCs w:val="32"/>
            </w:rPr>
            <w:fldChar w:fldCharType="end"/>
          </w:r>
          <w:r>
            <w:rPr>
              <w:sz w:val="32"/>
              <w:szCs w:val="32"/>
            </w:rPr>
            <w:fldChar w:fldCharType="end"/>
          </w:r>
        </w:p>
        <w:p w14:paraId="3206D155">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_Toc17163 </w:instrText>
          </w:r>
          <w:r>
            <w:rPr>
              <w:sz w:val="32"/>
              <w:szCs w:val="32"/>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_Toc17163 \h </w:instrText>
          </w:r>
          <w:r>
            <w:rPr>
              <w:sz w:val="32"/>
              <w:szCs w:val="32"/>
            </w:rPr>
            <w:fldChar w:fldCharType="separate"/>
          </w:r>
          <w:r>
            <w:rPr>
              <w:sz w:val="32"/>
              <w:szCs w:val="32"/>
            </w:rPr>
            <w:t>37</w:t>
          </w:r>
          <w:r>
            <w:rPr>
              <w:sz w:val="32"/>
              <w:szCs w:val="32"/>
            </w:rPr>
            <w:fldChar w:fldCharType="end"/>
          </w:r>
          <w:r>
            <w:rPr>
              <w:sz w:val="32"/>
              <w:szCs w:val="32"/>
            </w:rPr>
            <w:fldChar w:fldCharType="end"/>
          </w:r>
        </w:p>
        <w:p w14:paraId="29FFD2BE">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_Toc28119 </w:instrText>
          </w:r>
          <w:r>
            <w:rPr>
              <w:sz w:val="32"/>
              <w:szCs w:val="32"/>
            </w:rPr>
            <w:fldChar w:fldCharType="separate"/>
          </w:r>
          <w:r>
            <w:rPr>
              <w:rFonts w:hint="eastAsia" w:ascii="楷体" w:hAnsi="楷体" w:eastAsia="楷体" w:cs="楷体"/>
              <w:bCs/>
              <w:sz w:val="32"/>
              <w:szCs w:val="32"/>
              <w:lang w:val="en-US" w:eastAsia="zh-CN"/>
            </w:rPr>
            <w:t>（三）人员管理方面存在的问题及建议</w:t>
          </w:r>
          <w:r>
            <w:rPr>
              <w:sz w:val="32"/>
              <w:szCs w:val="32"/>
            </w:rPr>
            <w:tab/>
          </w:r>
          <w:r>
            <w:rPr>
              <w:sz w:val="32"/>
              <w:szCs w:val="32"/>
            </w:rPr>
            <w:fldChar w:fldCharType="begin"/>
          </w:r>
          <w:r>
            <w:rPr>
              <w:sz w:val="32"/>
              <w:szCs w:val="32"/>
            </w:rPr>
            <w:instrText xml:space="preserve"> PAGEREF _Toc28119 \h </w:instrText>
          </w:r>
          <w:r>
            <w:rPr>
              <w:sz w:val="32"/>
              <w:szCs w:val="32"/>
            </w:rPr>
            <w:fldChar w:fldCharType="separate"/>
          </w:r>
          <w:r>
            <w:rPr>
              <w:sz w:val="32"/>
              <w:szCs w:val="32"/>
            </w:rPr>
            <w:t>42</w:t>
          </w:r>
          <w:r>
            <w:rPr>
              <w:sz w:val="32"/>
              <w:szCs w:val="32"/>
            </w:rPr>
            <w:fldChar w:fldCharType="end"/>
          </w:r>
          <w:r>
            <w:rPr>
              <w:sz w:val="32"/>
              <w:szCs w:val="32"/>
            </w:rPr>
            <w:fldChar w:fldCharType="end"/>
          </w:r>
        </w:p>
        <w:p w14:paraId="1E5CA7F2">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_Toc20861 </w:instrText>
          </w:r>
          <w:r>
            <w:rPr>
              <w:sz w:val="32"/>
              <w:szCs w:val="32"/>
            </w:rPr>
            <w:fldChar w:fldCharType="separate"/>
          </w:r>
          <w:r>
            <w:rPr>
              <w:rFonts w:hint="eastAsia" w:ascii="楷体" w:hAnsi="楷体" w:eastAsia="楷体" w:cs="楷体"/>
              <w:bCs/>
              <w:sz w:val="32"/>
              <w:szCs w:val="32"/>
              <w:lang w:val="en-US" w:eastAsia="zh-CN" w:bidi="ar-SA"/>
            </w:rPr>
            <w:t>（四）项目</w:t>
          </w:r>
          <w:r>
            <w:rPr>
              <w:rFonts w:hint="eastAsia" w:ascii="楷体" w:hAnsi="楷体" w:eastAsia="楷体" w:cs="楷体"/>
              <w:bCs/>
              <w:sz w:val="32"/>
              <w:szCs w:val="32"/>
              <w:lang w:eastAsia="zh-CN"/>
            </w:rPr>
            <w:t>管理方面存在的问题及建议</w:t>
          </w:r>
          <w:r>
            <w:rPr>
              <w:sz w:val="32"/>
              <w:szCs w:val="32"/>
            </w:rPr>
            <w:tab/>
          </w:r>
          <w:r>
            <w:rPr>
              <w:sz w:val="32"/>
              <w:szCs w:val="32"/>
            </w:rPr>
            <w:fldChar w:fldCharType="begin"/>
          </w:r>
          <w:r>
            <w:rPr>
              <w:sz w:val="32"/>
              <w:szCs w:val="32"/>
            </w:rPr>
            <w:instrText xml:space="preserve"> PAGEREF _Toc20861 \h </w:instrText>
          </w:r>
          <w:r>
            <w:rPr>
              <w:sz w:val="32"/>
              <w:szCs w:val="32"/>
            </w:rPr>
            <w:fldChar w:fldCharType="separate"/>
          </w:r>
          <w:r>
            <w:rPr>
              <w:sz w:val="32"/>
              <w:szCs w:val="32"/>
            </w:rPr>
            <w:t>48</w:t>
          </w:r>
          <w:r>
            <w:rPr>
              <w:sz w:val="32"/>
              <w:szCs w:val="32"/>
            </w:rPr>
            <w:fldChar w:fldCharType="end"/>
          </w:r>
          <w:r>
            <w:rPr>
              <w:sz w:val="32"/>
              <w:szCs w:val="32"/>
            </w:rPr>
            <w:fldChar w:fldCharType="end"/>
          </w:r>
        </w:p>
        <w:p w14:paraId="4F0A2951">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pPr>
          <w:r>
            <w:rPr>
              <w:sz w:val="32"/>
              <w:szCs w:val="32"/>
            </w:rPr>
            <w:fldChar w:fldCharType="end"/>
          </w:r>
        </w:p>
      </w:sdtContent>
    </w:sdt>
    <w:p w14:paraId="5CD7FA5C">
      <w:pPr>
        <w:pStyle w:val="9"/>
        <w:tabs>
          <w:tab w:val="center" w:pos="4210"/>
          <w:tab w:val="left" w:pos="5980"/>
          <w:tab w:val="right" w:leader="dot" w:pos="8300"/>
        </w:tabs>
        <w:rPr>
          <w:sz w:val="36"/>
          <w:szCs w:val="36"/>
        </w:rPr>
      </w:pPr>
      <w:r>
        <w:rPr>
          <w:rFonts w:hint="eastAsia"/>
          <w:sz w:val="36"/>
          <w:szCs w:val="36"/>
        </w:rPr>
        <w:tab/>
      </w:r>
    </w:p>
    <w:p w14:paraId="3021CB07">
      <w:pPr>
        <w:tabs>
          <w:tab w:val="left" w:pos="475"/>
        </w:tabs>
        <w:rPr>
          <w:sz w:val="28"/>
          <w:szCs w:val="28"/>
        </w:rPr>
      </w:pPr>
      <w:r>
        <w:rPr>
          <w:rFonts w:hint="eastAsia"/>
          <w:sz w:val="28"/>
          <w:szCs w:val="28"/>
        </w:rPr>
        <w:tab/>
      </w:r>
    </w:p>
    <w:p w14:paraId="1B768757">
      <w:pPr>
        <w:pStyle w:val="10"/>
        <w:tabs>
          <w:tab w:val="left" w:pos="2694"/>
        </w:tabs>
        <w:ind w:left="480"/>
        <w:rPr>
          <w:rFonts w:cstheme="minorBidi"/>
          <w:sz w:val="28"/>
          <w:szCs w:val="28"/>
          <w:lang w:bidi="ar"/>
        </w:rPr>
      </w:pPr>
      <w:r>
        <w:rPr>
          <w:rFonts w:hint="eastAsia" w:cstheme="minorBidi"/>
          <w:sz w:val="28"/>
          <w:szCs w:val="28"/>
          <w:lang w:bidi="ar"/>
        </w:rPr>
        <w:tab/>
      </w:r>
    </w:p>
    <w:p w14:paraId="2D32C622"/>
    <w:p w14:paraId="0FE7E2AB">
      <w:pPr>
        <w:tabs>
          <w:tab w:val="left" w:pos="7025"/>
        </w:tabs>
        <w:sectPr>
          <w:pgSz w:w="11906" w:h="16838"/>
          <w:pgMar w:top="1440" w:right="1803" w:bottom="1440" w:left="1803" w:header="851" w:footer="992" w:gutter="0"/>
          <w:cols w:space="0" w:num="1"/>
          <w:docGrid w:type="lines" w:linePitch="332" w:charSpace="0"/>
        </w:sectPr>
      </w:pPr>
      <w:r>
        <w:rPr>
          <w:rFonts w:hint="eastAsia"/>
        </w:rPr>
        <w:tab/>
      </w:r>
    </w:p>
    <w:p w14:paraId="39AAAF66">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5" w:name="_Toc18945"/>
      <w:bookmarkStart w:id="16" w:name="_Toc29743"/>
      <w:r>
        <w:rPr>
          <w:rFonts w:hint="eastAsia" w:ascii="方正小标宋简体" w:hAnsi="方正小标宋简体" w:eastAsia="方正小标宋简体" w:cs="方正小标宋简体"/>
          <w:sz w:val="44"/>
          <w:szCs w:val="44"/>
        </w:rPr>
        <w:t>中国共产主义青年团雁峰区委员会</w:t>
      </w:r>
    </w:p>
    <w:p w14:paraId="4E143B3F">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部门整体支出绩效评价报告</w:t>
      </w:r>
      <w:bookmarkEnd w:id="15"/>
      <w:bookmarkEnd w:id="16"/>
    </w:p>
    <w:p w14:paraId="7931D0F3">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7" w:name="_Toc3572"/>
      <w:bookmarkStart w:id="18" w:name="_Toc6103"/>
      <w:bookmarkStart w:id="19" w:name="_Toc15061"/>
      <w:bookmarkStart w:id="20" w:name="_Toc6824"/>
      <w:bookmarkStart w:id="21" w:name="_Toc3324"/>
      <w:r>
        <w:rPr>
          <w:rFonts w:hint="eastAsia" w:ascii="方正小标宋简体" w:hAnsi="方正小标宋简体" w:eastAsia="方正小标宋简体" w:cs="方正小标宋简体"/>
          <w:sz w:val="44"/>
          <w:szCs w:val="44"/>
        </w:rPr>
        <w:t>（征求意见稿）</w:t>
      </w:r>
      <w:bookmarkEnd w:id="17"/>
      <w:bookmarkEnd w:id="18"/>
      <w:bookmarkEnd w:id="19"/>
      <w:bookmarkEnd w:id="20"/>
      <w:bookmarkEnd w:id="21"/>
    </w:p>
    <w:p w14:paraId="7107EC04">
      <w:pPr>
        <w:widowControl w:val="0"/>
        <w:spacing w:line="540" w:lineRule="exact"/>
        <w:jc w:val="right"/>
        <w:outlineLvl w:val="9"/>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   号</w:t>
      </w:r>
    </w:p>
    <w:p w14:paraId="57F64B1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雁峰区财政局：</w:t>
      </w:r>
    </w:p>
    <w:p w14:paraId="1EAB92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我们接受委托，对2024</w:t>
      </w:r>
      <w:r>
        <w:rPr>
          <w:rFonts w:hint="eastAsia" w:ascii="仿宋" w:hAnsi="仿宋" w:eastAsia="仿宋" w:cs="仿宋"/>
          <w:sz w:val="32"/>
          <w:szCs w:val="32"/>
          <w:lang w:eastAsia="zh-CN"/>
        </w:rPr>
        <w:t>年</w:t>
      </w:r>
      <w:r>
        <w:rPr>
          <w:rFonts w:hint="eastAsia" w:ascii="仿宋" w:hAnsi="仿宋" w:eastAsia="仿宋" w:cs="仿宋"/>
          <w:sz w:val="32"/>
          <w:szCs w:val="32"/>
        </w:rPr>
        <w:t>中国共产主义青年团雁峰区委员会（以下简称“</w:t>
      </w:r>
      <w:r>
        <w:rPr>
          <w:rFonts w:hint="eastAsia" w:ascii="仿宋" w:hAnsi="仿宋" w:eastAsia="仿宋" w:cs="仿宋"/>
          <w:sz w:val="32"/>
          <w:szCs w:val="32"/>
          <w:lang w:eastAsia="zh-CN"/>
        </w:rPr>
        <w:t>共青团雁峰区委</w:t>
      </w:r>
      <w:r>
        <w:rPr>
          <w:rFonts w:hint="eastAsia" w:ascii="仿宋" w:hAnsi="仿宋" w:eastAsia="仿宋" w:cs="仿宋"/>
          <w:sz w:val="32"/>
          <w:szCs w:val="32"/>
        </w:rPr>
        <w:t>”）部门整体支出进行了绩效评价。建立健全内部控制制度，保护资金与资产的安全和完整，保证会计资料和其他绩效评价的相关资料的真实性、合法性和完整性，是</w:t>
      </w:r>
      <w:r>
        <w:rPr>
          <w:rFonts w:hint="eastAsia" w:ascii="仿宋" w:hAnsi="仿宋" w:eastAsia="仿宋" w:cs="仿宋"/>
          <w:sz w:val="32"/>
          <w:szCs w:val="32"/>
          <w:lang w:eastAsia="zh-CN"/>
        </w:rPr>
        <w:t>共青团雁峰区委</w:t>
      </w:r>
      <w:r>
        <w:rPr>
          <w:rFonts w:hint="eastAsia" w:ascii="仿宋" w:hAnsi="仿宋" w:eastAsia="仿宋" w:cs="仿宋"/>
          <w:sz w:val="32"/>
          <w:szCs w:val="32"/>
        </w:rPr>
        <w:t>的责任。我们的责任是在</w:t>
      </w:r>
      <w:r>
        <w:rPr>
          <w:rFonts w:hint="eastAsia" w:ascii="仿宋" w:hAnsi="仿宋" w:eastAsia="仿宋" w:cs="仿宋"/>
          <w:sz w:val="32"/>
          <w:szCs w:val="32"/>
          <w:lang w:eastAsia="zh-CN"/>
        </w:rPr>
        <w:t>共青团雁峰区委</w:t>
      </w:r>
      <w:r>
        <w:rPr>
          <w:rFonts w:hint="eastAsia" w:ascii="仿宋" w:hAnsi="仿宋" w:eastAsia="仿宋" w:cs="仿宋"/>
          <w:sz w:val="32"/>
          <w:szCs w:val="32"/>
        </w:rPr>
        <w:t>提供资料基础上，对2024年的部门整体支出绩效进行评价。</w:t>
      </w:r>
    </w:p>
    <w:p w14:paraId="1A9F31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pPr>
      <w:r>
        <w:rPr>
          <w:rFonts w:hint="eastAsia" w:ascii="仿宋" w:hAnsi="仿宋" w:eastAsia="仿宋" w:cs="仿宋"/>
          <w:sz w:val="32"/>
          <w:szCs w:val="32"/>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w:t>
      </w:r>
      <w:r>
        <w:rPr>
          <w:rFonts w:hint="eastAsia" w:ascii="仿宋" w:hAnsi="仿宋" w:eastAsia="仿宋" w:cs="仿宋"/>
          <w:sz w:val="32"/>
          <w:szCs w:val="32"/>
          <w:lang w:val="en-US" w:eastAsia="zh-CN"/>
        </w:rPr>
        <w:t>评价</w:t>
      </w:r>
      <w:r>
        <w:rPr>
          <w:rFonts w:hint="eastAsia" w:ascii="仿宋" w:hAnsi="仿宋" w:eastAsia="仿宋" w:cs="仿宋"/>
          <w:sz w:val="32"/>
          <w:szCs w:val="32"/>
        </w:rPr>
        <w:t>程序。绩效评价工作已完成，现报告如下</w:t>
      </w:r>
      <w:bookmarkStart w:id="22" w:name="_Toc11075"/>
      <w:r>
        <w:rPr>
          <w:rFonts w:hint="eastAsia" w:ascii="仿宋" w:hAnsi="仿宋" w:eastAsia="仿宋" w:cs="仿宋"/>
          <w:sz w:val="32"/>
          <w:szCs w:val="32"/>
        </w:rPr>
        <w:t>：</w:t>
      </w:r>
      <w:bookmarkStart w:id="23" w:name="_Toc18591"/>
      <w:bookmarkStart w:id="24" w:name="_Toc963"/>
      <w:bookmarkStart w:id="25" w:name="_Toc9891"/>
      <w:bookmarkStart w:id="26" w:name="_Toc14965"/>
      <w:bookmarkStart w:id="27" w:name="_Toc20127"/>
      <w:bookmarkStart w:id="28" w:name="_Toc21986"/>
    </w:p>
    <w:p w14:paraId="406F76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仿宋" w:hAnsi="仿宋" w:eastAsia="仿宋" w:cs="仿宋"/>
          <w:sz w:val="32"/>
          <w:szCs w:val="32"/>
        </w:rPr>
      </w:pPr>
      <w:bookmarkStart w:id="29" w:name="_Toc30967"/>
      <w:r>
        <w:rPr>
          <w:rFonts w:hint="eastAsia" w:ascii="黑体" w:hAnsi="黑体" w:eastAsia="黑体" w:cs="黑体"/>
          <w:sz w:val="32"/>
          <w:szCs w:val="32"/>
        </w:rPr>
        <w:t>一、绩效评价基本情况</w:t>
      </w:r>
      <w:bookmarkEnd w:id="23"/>
      <w:bookmarkEnd w:id="24"/>
      <w:bookmarkEnd w:id="25"/>
      <w:bookmarkEnd w:id="26"/>
      <w:bookmarkEnd w:id="27"/>
      <w:bookmarkEnd w:id="28"/>
      <w:bookmarkEnd w:id="29"/>
    </w:p>
    <w:p w14:paraId="0F20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30" w:name="_Toc23408"/>
      <w:bookmarkStart w:id="31" w:name="_Toc29341"/>
      <w:bookmarkStart w:id="32" w:name="_Toc26464"/>
      <w:bookmarkStart w:id="33" w:name="_Toc13350"/>
      <w:bookmarkStart w:id="34" w:name="_Toc2812"/>
      <w:bookmarkStart w:id="35" w:name="_Toc8204"/>
      <w:bookmarkStart w:id="36" w:name="_Toc30831"/>
      <w:bookmarkStart w:id="37" w:name="_Toc3257"/>
      <w:r>
        <w:rPr>
          <w:rFonts w:hint="eastAsia" w:ascii="楷体" w:hAnsi="楷体" w:eastAsia="楷体" w:cs="楷体"/>
          <w:b/>
          <w:bCs/>
          <w:sz w:val="32"/>
          <w:szCs w:val="32"/>
        </w:rPr>
        <w:t>（一）评价对象和范围</w:t>
      </w:r>
      <w:bookmarkEnd w:id="30"/>
      <w:bookmarkEnd w:id="31"/>
      <w:bookmarkEnd w:id="32"/>
      <w:bookmarkEnd w:id="33"/>
      <w:bookmarkEnd w:id="34"/>
      <w:bookmarkEnd w:id="35"/>
      <w:bookmarkEnd w:id="36"/>
      <w:bookmarkEnd w:id="37"/>
    </w:p>
    <w:p w14:paraId="62992B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bookmarkStart w:id="38" w:name="_Toc29635"/>
      <w:bookmarkStart w:id="39" w:name="_Toc7691"/>
      <w:bookmarkStart w:id="40" w:name="_Toc8069"/>
      <w:r>
        <w:rPr>
          <w:rFonts w:hint="eastAsia" w:ascii="仿宋" w:hAnsi="仿宋" w:eastAsia="仿宋" w:cs="仿宋"/>
          <w:sz w:val="32"/>
          <w:szCs w:val="32"/>
        </w:rPr>
        <w:t>评价对象为2024</w:t>
      </w:r>
      <w:r>
        <w:rPr>
          <w:rFonts w:hint="eastAsia" w:ascii="仿宋" w:hAnsi="仿宋" w:eastAsia="仿宋" w:cs="仿宋"/>
          <w:sz w:val="32"/>
          <w:szCs w:val="32"/>
          <w:lang w:eastAsia="zh-CN"/>
        </w:rPr>
        <w:t>年</w:t>
      </w:r>
      <w:r>
        <w:rPr>
          <w:rFonts w:hint="eastAsia" w:ascii="仿宋" w:hAnsi="仿宋" w:eastAsia="仿宋" w:cs="仿宋"/>
          <w:sz w:val="32"/>
          <w:szCs w:val="32"/>
        </w:rPr>
        <w:t>中国共产主义青年团雁峰区委员会部门整体支出绩效。评价范围包</w:t>
      </w:r>
      <w:r>
        <w:rPr>
          <w:rFonts w:hint="eastAsia" w:ascii="仿宋" w:hAnsi="仿宋" w:eastAsia="仿宋" w:cs="仿宋"/>
          <w:sz w:val="32"/>
          <w:szCs w:val="32"/>
          <w:lang w:eastAsia="zh-CN"/>
        </w:rPr>
        <w:t>括但</w:t>
      </w:r>
      <w:r>
        <w:rPr>
          <w:rFonts w:hint="eastAsia" w:ascii="仿宋" w:hAnsi="仿宋" w:eastAsia="仿宋" w:cs="仿宋"/>
          <w:sz w:val="32"/>
          <w:szCs w:val="32"/>
        </w:rPr>
        <w:t>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38"/>
    <w:bookmarkEnd w:id="39"/>
    <w:bookmarkEnd w:id="40"/>
    <w:p w14:paraId="292414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41" w:name="_Toc5939"/>
      <w:bookmarkStart w:id="42" w:name="_Toc12157"/>
      <w:bookmarkStart w:id="43" w:name="_Toc4364"/>
      <w:bookmarkStart w:id="44" w:name="_Toc1228"/>
      <w:bookmarkStart w:id="45" w:name="_Toc25193"/>
      <w:bookmarkStart w:id="46" w:name="_Toc7231"/>
      <w:bookmarkStart w:id="47" w:name="_Toc24072"/>
      <w:bookmarkStart w:id="48" w:name="_Toc4694"/>
      <w:bookmarkStart w:id="49" w:name="_Toc25241"/>
      <w:bookmarkStart w:id="50" w:name="_Hlk172128948"/>
      <w:r>
        <w:rPr>
          <w:rFonts w:hint="eastAsia" w:ascii="楷体" w:hAnsi="楷体" w:eastAsia="楷体" w:cs="楷体"/>
          <w:b/>
          <w:bCs/>
          <w:sz w:val="32"/>
          <w:szCs w:val="32"/>
        </w:rPr>
        <w:t>（二）评价依据</w:t>
      </w:r>
      <w:bookmarkEnd w:id="41"/>
      <w:bookmarkEnd w:id="42"/>
      <w:bookmarkEnd w:id="43"/>
      <w:bookmarkEnd w:id="44"/>
      <w:bookmarkEnd w:id="45"/>
    </w:p>
    <w:p w14:paraId="682A7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1、《中共中央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国务院关于全面实施预算绩效管理的意见》（中发〔2018〕34号）</w:t>
      </w:r>
    </w:p>
    <w:p w14:paraId="4043D4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2、《中共湖南省委办公厅 湖南省人民政府办公厅关于全面实施预算绩效管理的实施意见》（湘办发〔2019〕10号）</w:t>
      </w:r>
    </w:p>
    <w:p w14:paraId="054BC0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3、《财政部关于印发〈项目支出绩效评价管理办法〉的通知》（财预〔2020〕10号）</w:t>
      </w:r>
    </w:p>
    <w:p w14:paraId="462EFC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4、财政部关于印发《地方政府债券发行管理办法》财库〔2020〕43号</w:t>
      </w:r>
    </w:p>
    <w:p w14:paraId="1387E7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5、《中华人民共和国预算法》</w:t>
      </w:r>
    </w:p>
    <w:p w14:paraId="5FC8C1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6、《财政专项资金管理办法》</w:t>
      </w:r>
    </w:p>
    <w:p w14:paraId="33A638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7、关于印发《衡阳市市直机关会议费管理办法》的通知衡财行〔2018〕463号</w:t>
      </w:r>
    </w:p>
    <w:p w14:paraId="0AE2B4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8、关于印发《行政事业单位内部控制规范（试行）》的通知财会〔2012〕21号</w:t>
      </w:r>
    </w:p>
    <w:p w14:paraId="36310C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9、事业单位国有资产管理暂行办法（2019修订）</w:t>
      </w:r>
    </w:p>
    <w:p w14:paraId="12B750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10、关于印发《湖南省省直党政机关和参公事业单位国有资产管理办法》的通知湘政办发〔2021〕59号</w:t>
      </w:r>
    </w:p>
    <w:p w14:paraId="1D9805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11、关于印发《衡阳市市直行政事业单位国有资产配置管理办法》的通知衡财资〔2021〕482号</w:t>
      </w:r>
    </w:p>
    <w:p w14:paraId="6C0D94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12、关于印发《湖南省省级行政事业单位通用办公设备和办公家具配置限额标准》的通知湘政资〔2020〕15号</w:t>
      </w:r>
    </w:p>
    <w:p w14:paraId="5FFD6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13、关于修改《事业单位国有资产管理暂行办法》的决定财政部令第100号</w:t>
      </w:r>
    </w:p>
    <w:p w14:paraId="17DAC9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14、关于印发《衡阳市市直机关差旅费管理办法》的通知衡财行〔2019〕248号</w:t>
      </w:r>
    </w:p>
    <w:p w14:paraId="3F7A67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15、违反中央八项规定精神问题月报数据填报说明</w:t>
      </w:r>
    </w:p>
    <w:p w14:paraId="55DC90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16、党政机关厉行节约反对浪费条例2013</w:t>
      </w:r>
    </w:p>
    <w:p w14:paraId="099451C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17、中央八项规定中对于国家公职人员涉及财务的80项禁止行为</w:t>
      </w:r>
    </w:p>
    <w:p w14:paraId="1A1174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18、关于《明确市直党政机关公务活动用餐有关事项》的通知衡财行〔2018〕467号</w:t>
      </w:r>
    </w:p>
    <w:p w14:paraId="2ABE1A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19、衡阳市市直机关培训费管理办法衡财行</w:t>
      </w:r>
      <w:r>
        <w:rPr>
          <w:rFonts w:hint="eastAsia" w:ascii="仿宋" w:hAnsi="仿宋" w:eastAsia="仿宋" w:cs="仿宋"/>
          <w:sz w:val="32"/>
          <w:szCs w:val="32"/>
          <w:lang w:eastAsia="zh-CN"/>
        </w:rPr>
        <w:t>〔2017〕409号</w:t>
      </w:r>
    </w:p>
    <w:p w14:paraId="5A0BB2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中共衡阳市委办公室 衡阳市人民政府办公室文件衡办发</w:t>
      </w:r>
      <w:r>
        <w:rPr>
          <w:rFonts w:hint="eastAsia" w:ascii="仿宋" w:hAnsi="仿宋" w:eastAsia="仿宋" w:cs="仿宋"/>
          <w:sz w:val="32"/>
          <w:szCs w:val="32"/>
          <w:lang w:eastAsia="zh-CN"/>
        </w:rPr>
        <w:t>〔2025〕6号</w:t>
      </w:r>
      <w:r>
        <w:rPr>
          <w:rFonts w:hint="eastAsia" w:ascii="仿宋" w:hAnsi="仿宋" w:eastAsia="仿宋" w:cs="仿宋"/>
          <w:sz w:val="32"/>
          <w:szCs w:val="32"/>
        </w:rPr>
        <w:t>《衡阳市委党政机关国内公务接待管理办法》的通知</w:t>
      </w:r>
    </w:p>
    <w:p w14:paraId="0DC18C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21、预算批复时确定的绩效目标及指标，预算部门年度预算执行情况，年度决算报告等相关材料</w:t>
      </w:r>
    </w:p>
    <w:p w14:paraId="55436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22、其他与本次绩效评价有关的政策文件</w:t>
      </w:r>
    </w:p>
    <w:p w14:paraId="16114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51" w:name="_Toc17019"/>
      <w:bookmarkStart w:id="52" w:name="_Toc19262"/>
      <w:bookmarkStart w:id="53" w:name="_Toc29243"/>
      <w:bookmarkStart w:id="54" w:name="_Toc7378"/>
      <w:r>
        <w:rPr>
          <w:rFonts w:hint="eastAsia" w:ascii="楷体" w:hAnsi="楷体" w:eastAsia="楷体" w:cs="楷体"/>
          <w:b/>
          <w:bCs/>
          <w:sz w:val="32"/>
          <w:szCs w:val="32"/>
        </w:rPr>
        <w:t>（三）</w:t>
      </w:r>
      <w:bookmarkEnd w:id="46"/>
      <w:bookmarkEnd w:id="47"/>
      <w:r>
        <w:rPr>
          <w:rFonts w:hint="eastAsia" w:ascii="楷体" w:hAnsi="楷体" w:eastAsia="楷体" w:cs="楷体"/>
          <w:b/>
          <w:bCs/>
          <w:sz w:val="32"/>
          <w:szCs w:val="32"/>
        </w:rPr>
        <w:t>评价方法和目的</w:t>
      </w:r>
      <w:bookmarkEnd w:id="48"/>
      <w:bookmarkEnd w:id="49"/>
      <w:bookmarkEnd w:id="51"/>
      <w:bookmarkEnd w:id="52"/>
      <w:bookmarkEnd w:id="53"/>
      <w:bookmarkEnd w:id="54"/>
    </w:p>
    <w:p w14:paraId="30FFC9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我们通过听取情况介绍、进行实地核查、发放调查问卷、对照复核及分析等方式，对</w:t>
      </w:r>
      <w:r>
        <w:rPr>
          <w:rFonts w:hint="eastAsia" w:ascii="仿宋" w:hAnsi="仿宋" w:eastAsia="仿宋" w:cs="仿宋"/>
          <w:sz w:val="32"/>
          <w:szCs w:val="32"/>
          <w:lang w:eastAsia="zh-CN"/>
        </w:rPr>
        <w:t>共青团雁峰区委</w:t>
      </w:r>
      <w:r>
        <w:rPr>
          <w:rFonts w:hint="eastAsia" w:ascii="仿宋" w:hAnsi="仿宋" w:eastAsia="仿宋" w:cs="仿宋"/>
          <w:sz w:val="32"/>
          <w:szCs w:val="32"/>
        </w:rPr>
        <w:t>提供的相关资料，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22"/>
    <w:bookmarkEnd w:id="50"/>
    <w:p w14:paraId="5FF51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55" w:name="_Toc2434"/>
      <w:bookmarkStart w:id="56" w:name="_Toc20119"/>
      <w:bookmarkStart w:id="57" w:name="_Toc21063"/>
      <w:bookmarkStart w:id="58" w:name="_Toc24278"/>
      <w:bookmarkStart w:id="59" w:name="_Toc11523"/>
      <w:bookmarkStart w:id="60" w:name="_Toc32697"/>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bookmarkEnd w:id="55"/>
      <w:bookmarkEnd w:id="56"/>
      <w:bookmarkEnd w:id="57"/>
      <w:bookmarkEnd w:id="58"/>
      <w:bookmarkEnd w:id="59"/>
      <w:bookmarkEnd w:id="60"/>
    </w:p>
    <w:p w14:paraId="58039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1" w:name="_Toc16770"/>
      <w:bookmarkStart w:id="62" w:name="_Toc1234"/>
      <w:bookmarkStart w:id="63" w:name="_Toc16413"/>
      <w:bookmarkStart w:id="64" w:name="_Toc9307"/>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部门基本信息</w:t>
      </w:r>
      <w:bookmarkEnd w:id="61"/>
      <w:bookmarkEnd w:id="62"/>
      <w:bookmarkEnd w:id="63"/>
      <w:bookmarkEnd w:id="64"/>
    </w:p>
    <w:p w14:paraId="40C26C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 w:hAnsi="楷体" w:eastAsia="仿宋" w:cs="楷体"/>
          <w:b/>
          <w:bCs/>
          <w:color w:val="auto"/>
          <w:sz w:val="32"/>
          <w:szCs w:val="32"/>
          <w:lang w:eastAsia="zh-CN"/>
        </w:rPr>
      </w:pPr>
      <w:r>
        <w:rPr>
          <w:rFonts w:ascii="仿宋" w:hAnsi="仿宋" w:eastAsia="仿宋" w:cs="仿宋"/>
          <w:color w:val="auto"/>
          <w:sz w:val="32"/>
          <w:szCs w:val="32"/>
        </w:rPr>
        <w:t>统一社会信用代码：</w:t>
      </w:r>
      <w:r>
        <w:rPr>
          <w:rFonts w:hint="eastAsia" w:ascii="仿宋" w:hAnsi="仿宋" w:eastAsia="仿宋" w:cs="仿宋"/>
          <w:color w:val="auto"/>
          <w:sz w:val="32"/>
          <w:szCs w:val="32"/>
          <w:lang w:val="en-US" w:eastAsia="zh-CN"/>
        </w:rPr>
        <w:t>134304030062542988。</w:t>
      </w:r>
      <w:r>
        <w:rPr>
          <w:rFonts w:ascii="仿宋" w:hAnsi="仿宋" w:eastAsia="仿宋" w:cs="仿宋"/>
          <w:color w:val="auto"/>
          <w:sz w:val="32"/>
          <w:szCs w:val="32"/>
        </w:rPr>
        <w:t>预算级次：县区级</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单位预算级次：一级预算单位</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单位经费保障方式：</w:t>
      </w:r>
      <w:r>
        <w:rPr>
          <w:rFonts w:hint="eastAsia" w:ascii="仿宋" w:hAnsi="仿宋" w:eastAsia="仿宋" w:cs="仿宋"/>
          <w:color w:val="auto"/>
          <w:sz w:val="32"/>
          <w:szCs w:val="32"/>
        </w:rPr>
        <w:t>财政拨款（全额）</w:t>
      </w:r>
      <w:r>
        <w:rPr>
          <w:rFonts w:hint="eastAsia" w:ascii="仿宋" w:hAnsi="仿宋" w:eastAsia="仿宋" w:cs="仿宋"/>
          <w:color w:val="auto"/>
          <w:sz w:val="32"/>
          <w:szCs w:val="32"/>
          <w:lang w:eastAsia="zh-CN"/>
        </w:rPr>
        <w:t>。</w:t>
      </w:r>
    </w:p>
    <w:p w14:paraId="7DB9F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5" w:name="_Toc2299"/>
      <w:bookmarkStart w:id="66" w:name="_Toc21816"/>
      <w:bookmarkStart w:id="67" w:name="_Toc29039"/>
      <w:bookmarkStart w:id="68" w:name="_Toc29960"/>
      <w:r>
        <w:rPr>
          <w:rFonts w:hint="eastAsia" w:ascii="楷体" w:hAnsi="楷体" w:eastAsia="楷体" w:cs="楷体"/>
          <w:b/>
          <w:bCs/>
          <w:sz w:val="32"/>
          <w:szCs w:val="32"/>
          <w:lang w:val="en-US" w:eastAsia="zh-CN" w:bidi="ar-SA"/>
        </w:rPr>
        <w:t>（二）</w:t>
      </w:r>
      <w:r>
        <w:rPr>
          <w:rFonts w:hint="eastAsia" w:ascii="楷体" w:hAnsi="楷体" w:eastAsia="楷体" w:cs="楷体"/>
          <w:b/>
          <w:bCs/>
          <w:sz w:val="32"/>
          <w:szCs w:val="32"/>
        </w:rPr>
        <w:t>部门主要职责</w:t>
      </w:r>
      <w:bookmarkEnd w:id="65"/>
      <w:bookmarkEnd w:id="66"/>
      <w:bookmarkEnd w:id="67"/>
      <w:bookmarkEnd w:id="68"/>
      <w:bookmarkStart w:id="69" w:name="_Toc26598"/>
    </w:p>
    <w:p w14:paraId="66FAA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bookmarkStart w:id="70" w:name="_Toc32275"/>
      <w:bookmarkStart w:id="71" w:name="_Toc1345"/>
      <w:r>
        <w:rPr>
          <w:rFonts w:hint="eastAsia" w:ascii="仿宋" w:hAnsi="仿宋" w:eastAsia="仿宋" w:cs="仿宋"/>
          <w:sz w:val="32"/>
          <w:szCs w:val="32"/>
          <w:lang w:val="en-US" w:eastAsia="zh-CN"/>
        </w:rPr>
        <w:t>1.行使区委赋予的领导全区共青团和少先队工作的职权，对全区性青年社会团组织进行指导和管理。</w:t>
      </w:r>
    </w:p>
    <w:p w14:paraId="76ECCF3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2.参与拟订青少年事业发展规划和青少年工作计划、措施，对雁峰区青少年活动阵地和青少年服务机构的建设等事务进行规划和管理。</w:t>
      </w:r>
    </w:p>
    <w:p w14:paraId="328136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3.参与拟订有关青少年事务的规章制度并组织实施，协助区委、区人民政府处理和协调与青少年利益有关的事务。</w:t>
      </w:r>
    </w:p>
    <w:p w14:paraId="708BBBA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查青少年思想动态和青年工作状况，研究青少年工作理论和青少年思想教育问题，提出相应的对策；开展各种有益的活动，提高青少年政治思想、科学文化素质；研究预防青少年违法犯罪问题，协同有关部门开展青少年法制教育和未成年人保护工作。</w:t>
      </w:r>
    </w:p>
    <w:p w14:paraId="5FEE054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5.协助政府相关部门做好中、小学学生的教育管理工作，维护学校稳定和社会安定团结。</w:t>
      </w:r>
    </w:p>
    <w:p w14:paraId="1E3B0ED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6.在全区经济建设中，组织和带领团员青年发挥生力军和突击队作用。</w:t>
      </w:r>
    </w:p>
    <w:p w14:paraId="0E15BA8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7.会同有关部门做好青少年外事工作和区内外青少年组织、团体的交流工作；做好青年统战对象的团结教育工作。</w:t>
      </w:r>
    </w:p>
    <w:p w14:paraId="6174DCE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8.完成区委、区人民政府交办的其他任务。</w:t>
      </w:r>
    </w:p>
    <w:p w14:paraId="610C5F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2" w:name="_Toc30216"/>
      <w:r>
        <w:rPr>
          <w:rFonts w:hint="eastAsia" w:ascii="楷体" w:hAnsi="楷体" w:eastAsia="楷体" w:cs="楷体"/>
          <w:b/>
          <w:bCs/>
          <w:sz w:val="32"/>
          <w:szCs w:val="32"/>
        </w:rPr>
        <w:t>（三）部门组织架构与人员</w:t>
      </w:r>
      <w:bookmarkEnd w:id="69"/>
      <w:bookmarkEnd w:id="70"/>
      <w:bookmarkEnd w:id="71"/>
      <w:bookmarkEnd w:id="72"/>
    </w:p>
    <w:p w14:paraId="32A9FE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1.内</w:t>
      </w:r>
      <w:r>
        <w:rPr>
          <w:rFonts w:hint="eastAsia" w:ascii="仿宋" w:hAnsi="仿宋" w:eastAsia="仿宋" w:cs="仿宋"/>
          <w:b/>
          <w:bCs/>
          <w:sz w:val="32"/>
          <w:szCs w:val="32"/>
          <w:lang w:val="en-US" w:eastAsia="zh-CN"/>
        </w:rPr>
        <w:t>部</w:t>
      </w:r>
      <w:r>
        <w:rPr>
          <w:rFonts w:hint="eastAsia" w:ascii="仿宋" w:hAnsi="仿宋" w:eastAsia="仿宋" w:cs="仿宋"/>
          <w:b/>
          <w:bCs/>
          <w:sz w:val="32"/>
          <w:szCs w:val="32"/>
        </w:rPr>
        <w:t>机构设置</w:t>
      </w:r>
    </w:p>
    <w:p w14:paraId="54C4E2A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中国共产主义青年团雁峰区委员会内设机构办公室、青少年事务和志愿服务部。</w:t>
      </w:r>
    </w:p>
    <w:p w14:paraId="51E2C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编制及实有人员</w:t>
      </w:r>
    </w:p>
    <w:p w14:paraId="3AB9A8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rPr>
        <w:t>至2024年12月31日，</w:t>
      </w:r>
      <w:r>
        <w:rPr>
          <w:rFonts w:hint="eastAsia" w:ascii="仿宋" w:hAnsi="仿宋" w:eastAsia="仿宋" w:cs="仿宋"/>
          <w:color w:val="auto"/>
          <w:sz w:val="32"/>
          <w:szCs w:val="32"/>
          <w:lang w:eastAsia="zh-CN"/>
        </w:rPr>
        <w:t>共青团雁峰区委无退休人员，</w:t>
      </w:r>
      <w:r>
        <w:rPr>
          <w:rFonts w:hint="eastAsia" w:ascii="仿宋" w:hAnsi="仿宋" w:eastAsia="仿宋" w:cs="仿宋"/>
          <w:color w:val="auto"/>
          <w:sz w:val="32"/>
          <w:szCs w:val="32"/>
        </w:rPr>
        <w:t>核定编制</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，其中：行政编制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个。现</w:t>
      </w:r>
      <w:r>
        <w:rPr>
          <w:rFonts w:hint="eastAsia" w:ascii="仿宋" w:hAnsi="仿宋" w:eastAsia="仿宋" w:cs="仿宋"/>
          <w:sz w:val="32"/>
          <w:szCs w:val="32"/>
        </w:rPr>
        <w:t>有在职干部职工</w:t>
      </w:r>
      <w:r>
        <w:rPr>
          <w:rFonts w:hint="eastAsia" w:ascii="仿宋" w:hAnsi="仿宋" w:eastAsia="仿宋" w:cs="仿宋"/>
          <w:sz w:val="32"/>
          <w:szCs w:val="32"/>
          <w:lang w:val="en-US" w:eastAsia="zh-CN"/>
        </w:rPr>
        <w:t>2</w:t>
      </w:r>
      <w:r>
        <w:rPr>
          <w:rFonts w:hint="eastAsia" w:ascii="仿宋" w:hAnsi="仿宋" w:eastAsia="仿宋" w:cs="仿宋"/>
          <w:sz w:val="32"/>
          <w:szCs w:val="32"/>
        </w:rPr>
        <w:t>人，其中</w:t>
      </w:r>
      <w:r>
        <w:rPr>
          <w:rFonts w:hint="eastAsia" w:ascii="仿宋" w:hAnsi="仿宋" w:eastAsia="仿宋" w:cs="仿宋"/>
          <w:sz w:val="32"/>
          <w:szCs w:val="32"/>
          <w:lang w:eastAsia="zh-CN"/>
        </w:rPr>
        <w:t>书记</w:t>
      </w:r>
      <w:r>
        <w:rPr>
          <w:rFonts w:hint="eastAsia" w:ascii="仿宋" w:hAnsi="仿宋" w:eastAsia="仿宋" w:cs="仿宋"/>
          <w:sz w:val="32"/>
          <w:szCs w:val="32"/>
          <w:lang w:val="en-US" w:eastAsia="zh-CN"/>
        </w:rPr>
        <w:t>1名</w:t>
      </w:r>
      <w:r>
        <w:rPr>
          <w:rFonts w:hint="eastAsia" w:ascii="仿宋" w:hAnsi="仿宋" w:eastAsia="仿宋" w:cs="仿宋"/>
          <w:sz w:val="32"/>
          <w:szCs w:val="32"/>
          <w:lang w:eastAsia="zh-CN"/>
        </w:rPr>
        <w:t>，副书记</w:t>
      </w:r>
      <w:r>
        <w:rPr>
          <w:rFonts w:hint="eastAsia" w:ascii="仿宋" w:hAnsi="仿宋" w:eastAsia="仿宋" w:cs="仿宋"/>
          <w:sz w:val="32"/>
          <w:szCs w:val="32"/>
          <w:lang w:val="en-US" w:eastAsia="zh-CN"/>
        </w:rPr>
        <w:t>1名</w:t>
      </w:r>
      <w:r>
        <w:rPr>
          <w:rFonts w:hint="eastAsia" w:ascii="仿宋" w:hAnsi="仿宋" w:eastAsia="仿宋" w:cs="仿宋"/>
          <w:sz w:val="32"/>
          <w:szCs w:val="32"/>
        </w:rPr>
        <w:t>。在职人员控制率为</w:t>
      </w:r>
      <w:r>
        <w:rPr>
          <w:rFonts w:hint="eastAsia" w:ascii="仿宋" w:hAnsi="仿宋" w:eastAsia="仿宋" w:cs="仿宋"/>
          <w:sz w:val="32"/>
          <w:szCs w:val="32"/>
          <w:lang w:val="en-US" w:eastAsia="zh-CN"/>
        </w:rPr>
        <w:t>100.00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48F08F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注：另有</w:t>
      </w:r>
      <w:r>
        <w:rPr>
          <w:rFonts w:hint="eastAsia" w:ascii="仿宋" w:hAnsi="仿宋" w:eastAsia="仿宋" w:cs="仿宋"/>
          <w:sz w:val="32"/>
          <w:szCs w:val="32"/>
          <w:lang w:val="en-US" w:eastAsia="zh-CN"/>
        </w:rPr>
        <w:t>1人编制在雁峰区总工会。</w:t>
      </w:r>
    </w:p>
    <w:p w14:paraId="79F2A0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3" w:name="_Toc23577"/>
      <w:bookmarkStart w:id="74" w:name="_Toc20991"/>
      <w:bookmarkStart w:id="75" w:name="_Toc17992"/>
      <w:bookmarkStart w:id="76" w:name="_Toc14342"/>
      <w:r>
        <w:rPr>
          <w:rFonts w:hint="eastAsia" w:ascii="楷体" w:hAnsi="楷体" w:eastAsia="楷体" w:cs="楷体"/>
          <w:b/>
          <w:bCs/>
          <w:sz w:val="32"/>
          <w:szCs w:val="32"/>
        </w:rPr>
        <w:t>（四）部门2024年度职责履行及履职效益</w:t>
      </w:r>
      <w:bookmarkEnd w:id="73"/>
      <w:bookmarkEnd w:id="74"/>
      <w:bookmarkEnd w:id="75"/>
      <w:bookmarkEnd w:id="76"/>
    </w:p>
    <w:p w14:paraId="1CBAE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val="en-US" w:eastAsia="zh-CN"/>
        </w:rPr>
      </w:pPr>
      <w:bookmarkStart w:id="77" w:name="_Toc20858"/>
      <w:r>
        <w:rPr>
          <w:rFonts w:hint="eastAsia" w:ascii="仿宋" w:hAnsi="仿宋" w:eastAsia="仿宋" w:cs="仿宋"/>
          <w:b/>
          <w:bCs/>
          <w:sz w:val="32"/>
          <w:szCs w:val="32"/>
          <w:lang w:val="en-US" w:eastAsia="zh-CN"/>
        </w:rPr>
        <w:t>职责履行：</w:t>
      </w:r>
      <w:bookmarkEnd w:id="77"/>
      <w:r>
        <w:rPr>
          <w:rFonts w:hint="eastAsia" w:ascii="仿宋" w:hAnsi="仿宋" w:eastAsia="仿宋" w:cs="仿宋"/>
          <w:sz w:val="32"/>
          <w:szCs w:val="32"/>
          <w:lang w:val="en-US" w:eastAsia="zh-CN"/>
        </w:rPr>
        <w:t>今年以来，在区委、区政府和团市委的正确领导下，团区委深入学习领会党的二十届三中全会精神和习近平总书记考察湖南重要指示精神，认真贯彻落实习近平总书记关于青年工作的重要思想，紧紧围绕党政中心工作，切实履行组织青年、引导青年、服务青年的基本职能，扎实做好各项青年工作，团结带领全区广大团员青年为推动雁峰经济社会高质量发展作出了积极贡献。</w:t>
      </w:r>
    </w:p>
    <w:p w14:paraId="7C5DE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eastAsia="zh-CN"/>
        </w:rPr>
      </w:pPr>
      <w:bookmarkStart w:id="78" w:name="_Toc18948"/>
      <w:r>
        <w:rPr>
          <w:rFonts w:hint="eastAsia" w:ascii="仿宋" w:hAnsi="仿宋" w:eastAsia="仿宋" w:cs="仿宋"/>
          <w:sz w:val="32"/>
          <w:szCs w:val="32"/>
          <w:lang w:val="en-US" w:eastAsia="zh-CN"/>
        </w:rPr>
        <w:t>1.</w:t>
      </w:r>
      <w:bookmarkEnd w:id="78"/>
      <w:r>
        <w:rPr>
          <w:rFonts w:hint="eastAsia" w:ascii="仿宋" w:hAnsi="仿宋" w:eastAsia="仿宋" w:cs="仿宋"/>
          <w:sz w:val="32"/>
          <w:szCs w:val="32"/>
        </w:rPr>
        <w:t>青春铸魂，思想育人取得新实效</w:t>
      </w:r>
      <w:r>
        <w:rPr>
          <w:rFonts w:hint="eastAsia" w:ascii="仿宋" w:hAnsi="仿宋" w:eastAsia="仿宋" w:cs="仿宋"/>
          <w:sz w:val="32"/>
          <w:szCs w:val="32"/>
          <w:lang w:eastAsia="zh-CN"/>
        </w:rPr>
        <w:t>。一是在学思践悟上下功夫。深入学习贯彻党的二十届三中全会精神和习近平总书记考察湖南重要指示精神，组织团干部、团员青年通过学习研讨、座谈交流等形式开展政治理论学习10余次，组织团员青年围绕习近平总书记五四青年节对全国广大青年寄语精神等内容开展热议2次。充分发挥“青年讲师团”“红领巾讲解员”的作用，用“青言青语”深入一线宣传宣讲党的二十届三中全会精神20余场次，把党的理论送到青少年身边。二是广泛开展主题活动。组织开展“青春正奋斗 青雁促旅发”纪念五四运动105周年主题团日活动，利用学雷锋纪念日、清明节等重要节点，组织广大团员青年、少先队员开展国旗下的演讲、清明祭英烈、主题班队会等形式各样的主题教育活动20余次。加强校地合作，积极对接武汉大学30余名返乡学子开展社会实践，联合衡阳师范学院、衡阳技师学院、衡阳幼儿师范高等专科学校等高校到衡阳市红色故事体验馆开展爱国主义教育，进一步坚定共青团员、少先队员跟党走的决心和信心。三是注重典型示范引领。在“五四”“六一”前后，评选表扬2023年度区级“两红两优”个人25名，集体11个、2023年度雁峰区“优秀少先队员”26名、“优秀少先队辅导员”6名、“优秀少先队集体”6个，以榜样力量带动青少年见贤思齐、崇德向善、比学赶超。四是建强思想舆论阵地。坚持“团媒姓党”，从严管理“青春雁峰”团属新媒体阵地，严格落实意识形态工作责任制，围绕重大节点、重点事件和敏感问题，加强舆情监测、分析和研判，确保添彩不添乱。持续深化新媒体线上宣传品牌作用，以“青春雁峰”微信公众号为依托，制作拍摄“青春的定义”“青雁力量 助力旅发”“向‘毒’奶茶说不”等原创视频，着力强化正面宣传和热点引导。</w:t>
      </w:r>
    </w:p>
    <w:p w14:paraId="60BEE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79" w:name="_Toc9776"/>
      <w:r>
        <w:rPr>
          <w:rFonts w:hint="eastAsia" w:ascii="仿宋" w:hAnsi="仿宋" w:eastAsia="仿宋" w:cs="仿宋"/>
          <w:sz w:val="32"/>
          <w:szCs w:val="32"/>
          <w:lang w:val="en-US" w:eastAsia="zh-CN"/>
        </w:rPr>
        <w:t>2.</w:t>
      </w:r>
      <w:r>
        <w:rPr>
          <w:rFonts w:hint="eastAsia" w:ascii="仿宋" w:hAnsi="仿宋" w:eastAsia="仿宋" w:cs="仿宋"/>
          <w:sz w:val="32"/>
          <w:szCs w:val="32"/>
        </w:rPr>
        <w:t>青春建功，服务大局贡献新力量</w:t>
      </w:r>
      <w:r>
        <w:rPr>
          <w:rFonts w:hint="eastAsia" w:ascii="仿宋" w:hAnsi="仿宋" w:eastAsia="仿宋" w:cs="仿宋"/>
          <w:sz w:val="32"/>
          <w:szCs w:val="32"/>
          <w:lang w:eastAsia="zh-CN"/>
        </w:rPr>
        <w:t>。</w:t>
      </w:r>
      <w:r>
        <w:rPr>
          <w:rFonts w:hint="eastAsia" w:ascii="仿宋" w:hAnsi="仿宋" w:eastAsia="仿宋" w:cs="仿宋"/>
          <w:sz w:val="32"/>
          <w:szCs w:val="32"/>
        </w:rPr>
        <w:t>一是勇当服务发展生力军。紧紧围绕“制造立市 文旅兴城”战略目标，打造“团团带你来打卡”等宣传品牌，积极引导广大青少年成为“雁峰代言人”，广泛动员全区广大团员青年积极参与办好湖南省第三届旅游发展大会，在全区开展旅发大会志愿者及解说员招募工作，共招募志愿者60余名，讲解员20余名。通过精准设置岗位、编制工作手册、开展集中培训、实地演练等措施，不断提升志愿者及讲解员服务水平，为南岳第一峰廻雁峰景区、中山南路历史文化街区、市府路美食文化街区、古汉中药康养旅游基地等重点观摩项目提供了优质的讲解及志愿服务，助力雁峰文旅出圈。二是勇当社会治理急先锋。构建以团组织为核心，青年志愿者、青少年事务社工、社会组织多元协同的社会治理共同体，整合各类活动资源，结合社区青春行动，动员社区青年志愿者、社工、团员积极开展爱心敬老、禁毒宣传、普法宣传等活动50余次。结合3·5学雷锋、文明创建等，常态化</w:t>
      </w:r>
      <w:r>
        <w:rPr>
          <w:rFonts w:hint="eastAsia" w:ascii="仿宋" w:hAnsi="仿宋" w:eastAsia="仿宋" w:cs="仿宋"/>
          <w:sz w:val="32"/>
          <w:szCs w:val="32"/>
          <w:lang w:eastAsia="zh-CN"/>
        </w:rPr>
        <w:t>开展</w:t>
      </w:r>
      <w:r>
        <w:rPr>
          <w:rFonts w:hint="eastAsia" w:ascii="仿宋" w:hAnsi="仿宋" w:eastAsia="仿宋" w:cs="仿宋"/>
          <w:sz w:val="32"/>
          <w:szCs w:val="32"/>
        </w:rPr>
        <w:t>交通文明劝导、反诈宣传等公益服务200余次，累计服务时长达1万余小时。三是勇当生态文明排头兵。广泛开展“青春扮靓雁峰”行动，动员青年积极参与碳达峰碳中和，让“绿水青山就是金山银山”的理念入脑入心。常态化开展植绿护绿、“河小青”“青·趣分类”“青春减塑”等志愿服务行动，引导广大青少年树立生态文明理念，共绘美丽“雁峰山居图”。今年以来共开展志愿服务活动100余次，发放宣传资料2000余份。</w:t>
      </w:r>
      <w:bookmarkEnd w:id="79"/>
    </w:p>
    <w:p w14:paraId="47318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80" w:name="_Toc26690"/>
      <w:r>
        <w:rPr>
          <w:rFonts w:hint="eastAsia" w:ascii="仿宋" w:hAnsi="仿宋" w:eastAsia="仿宋" w:cs="仿宋"/>
          <w:sz w:val="32"/>
          <w:szCs w:val="32"/>
          <w:lang w:val="en-US" w:eastAsia="zh-CN"/>
        </w:rPr>
        <w:t>3.</w:t>
      </w:r>
      <w:r>
        <w:rPr>
          <w:rFonts w:hint="eastAsia" w:ascii="仿宋" w:hAnsi="仿宋" w:eastAsia="仿宋" w:cs="仿宋"/>
          <w:sz w:val="32"/>
          <w:szCs w:val="32"/>
        </w:rPr>
        <w:t>青春护航，服务青年实现新发展</w:t>
      </w:r>
      <w:r>
        <w:rPr>
          <w:rFonts w:hint="eastAsia" w:ascii="仿宋" w:hAnsi="仿宋" w:eastAsia="仿宋" w:cs="仿宋"/>
          <w:sz w:val="32"/>
          <w:szCs w:val="32"/>
          <w:lang w:eastAsia="zh-CN"/>
        </w:rPr>
        <w:t>。</w:t>
      </w:r>
      <w:r>
        <w:rPr>
          <w:rFonts w:hint="eastAsia" w:ascii="仿宋" w:hAnsi="仿宋" w:eastAsia="仿宋" w:cs="仿宋"/>
          <w:sz w:val="32"/>
          <w:szCs w:val="32"/>
        </w:rPr>
        <w:t>一是问效于青年，统筹协调实施青年发展规划。坚持党管青年原则，纵深推进《中长期青年发展规划（2016—2025年）》落地落实，组织召开青年工作联席会议，持续深化“四大工程”。拓展青少年利益诉求表达渠道，开展“共青团与人大代表、政协委员面对面”、青少年模拟政协提案征集等活动，引导青少年有序参与政治生活。精心打造“团团夜校”，搭建组织青年、凝聚青年、服务青年新阵地，实现青年成长与雁峰发展“双向奔赴”，今年以来共开展非遗课堂、摄影课堂等青年夜校4期。二是问需于青年，真情解决青年急难愁盼。持续实施“希望工程助学行动”“圆梦微心愿”助学品牌，为困难家庭青少年提供新助力、播种新希望，今年以来共筹集30772元爱心款</w:t>
      </w:r>
      <w:r>
        <w:rPr>
          <w:rFonts w:hint="eastAsia" w:ascii="仿宋" w:hAnsi="仿宋" w:eastAsia="仿宋" w:cs="仿宋"/>
          <w:sz w:val="32"/>
          <w:szCs w:val="32"/>
          <w:lang w:eastAsia="zh-CN"/>
        </w:rPr>
        <w:t>，</w:t>
      </w:r>
      <w:r>
        <w:rPr>
          <w:rFonts w:hint="eastAsia" w:ascii="仿宋" w:hAnsi="仿宋" w:eastAsia="仿宋" w:cs="仿宋"/>
          <w:sz w:val="32"/>
          <w:szCs w:val="32"/>
        </w:rPr>
        <w:t>累计资助贫困学子40名。持续深化“智汇潇湘 才聚雁峰”等就业创业服务项目，积极助力雁峰区2024年“春风行动”招聘会，为青年提供就业岗位6800个。着力服务青年婚育和家庭需求，在“520”、七夕等时间节点开展“潮玩雁峰 心动全‘橙’”“雁遇云端 爱在首峰”等青年联谊交友活动，打造有口皆碑的青年婚恋服务品牌。加强对快递小哥、外卖小哥等新兴青年群体的服务，开展“快递从业服务月”等主题活动，进一步提升共青团对新兴领域青年群体的联系、服务和引导。三是问计于青年，全力维护青少年权益。全面落实关爱青少年身心健康“十个一”行动，充分利用青年之家等团属阵地，联合公检法司深入学校、村社区常态化开展12355青春自护、利剑护蕾“青”心守护、“青春无毒 青雁向阳”等宣传活动50余场，覆盖3000余名青少年，切实提高广大青少年法治意识和自护能力。组织“返家乡”大学生，针对四类重点青少年群体开展送教上门、暑期托管、爱心陪伴等“七彩假期”志愿服务30余场次，实现服务对象假期有托管、情感有关怀、素质有提升、安全有保障。</w:t>
      </w:r>
      <w:bookmarkEnd w:id="80"/>
    </w:p>
    <w:p w14:paraId="3E8FF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青春担当，团的建设塑造新风貌。一是改革攻坚稳步进行。进一步创新组织设置、建强工作阵地、丰富活动载体，在各级媒体平台刊发改革案例3篇。3个团组织荣获衡阳市“五四红旗团（工）委”和“五四红旗团支部”，3名团员荣获衡阳市“优秀共青团员”，1名团干部荣获衡阳市“优秀团干部”。高标准完成团区委换届工作，成功召开雁峰区第四次团代会，选举产生共青团雁峰区第四届委员会领导班子，选优配强我区共青团工作力量，班子成员、团代表学历、年龄、结构得到进一步优化。二是党团共建激发活力。强化党建带团建、队建工作，常态化开展团干部队伍培训，全面提升基层团干部素质能力。组织全区少先队开展主题团队日、实地打卡活动等，引领广大青少年赓续红色血脉。进一步规范和加强“青年之家”实体阵地的建设和运营，发布活动300余场次，参加青年2000余人次，“青年之家”云平台活动录入率达100%。三是从严治团全面推进。全力配合区委第六轮巡察工作，从严抓团干部队伍建设，在春节、劳动节、端午节、中秋国庆等重要时间节点前对各级团组织进行廉政提示和抽查检查，今年以来共开展廉政谈话活动10余次。深入开展基层团组织书记述职评议考核，全区各基层团组织书记现场述职，引导基层团干厚植理论功底、加强实践淬炼。从严规范基层团组织建设，充分发挥“智慧团建”系统作用，严格落实“三会两制一课”等制度，规范团员发展、关系转接、团费收缴等基础团务，依章依规处置不合格团员、违法犯罪团员，切实把刚性约束落到实处，保持队伍的纯洁性和战斗力。</w:t>
      </w:r>
    </w:p>
    <w:p w14:paraId="0117C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val="0"/>
          <w:bCs w:val="0"/>
          <w:sz w:val="32"/>
          <w:szCs w:val="32"/>
          <w:lang w:eastAsia="zh-CN"/>
        </w:rPr>
      </w:pPr>
      <w:bookmarkStart w:id="81" w:name="_Toc26237"/>
      <w:r>
        <w:rPr>
          <w:rFonts w:hint="eastAsia" w:ascii="仿宋" w:hAnsi="仿宋" w:eastAsia="仿宋" w:cs="仿宋"/>
          <w:b/>
          <w:bCs/>
          <w:sz w:val="32"/>
          <w:szCs w:val="32"/>
          <w:lang w:eastAsia="zh-CN"/>
        </w:rPr>
        <w:t>履职效益：</w:t>
      </w:r>
      <w:r>
        <w:rPr>
          <w:rFonts w:hint="eastAsia" w:ascii="仿宋" w:hAnsi="仿宋" w:eastAsia="仿宋" w:cs="仿宋"/>
          <w:b w:val="0"/>
          <w:bCs w:val="0"/>
          <w:sz w:val="32"/>
          <w:szCs w:val="32"/>
          <w:lang w:eastAsia="zh-CN"/>
        </w:rPr>
        <w:t>团区委有效发挥了组织青年、引导青年、服务青年的职能，团结带领广大团员为雁峰区高质量发展贡献了青春力量。</w:t>
      </w:r>
      <w:bookmarkEnd w:id="81"/>
    </w:p>
    <w:p w14:paraId="2D54F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lang w:eastAsia="zh-CN"/>
          <w14:textFill>
            <w14:solidFill>
              <w14:schemeClr w14:val="tx1"/>
            </w14:solidFill>
          </w14:textFill>
        </w:rPr>
        <w:t>思想引领扎实有效：通过专题学习、主题宣讲、典型选树等形式，持续强化青少年思想政治引领，坚定青少年跟党走的信念。</w:t>
      </w:r>
    </w:p>
    <w:p w14:paraId="0DD15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服务大局积极有为：聚焦文旅发展、社会治理、生态文明等重点领域，组织青年志愿者开展志愿服务，有效助力区域经济社会发展和城市形象提升。</w:t>
      </w:r>
    </w:p>
    <w:p w14:paraId="42A2EC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服务青年精准务实：围绕青年实际需求，在助学济困、就业创业、婚恋交友、权益维护等方面办实事、解难题，促进青年成长发展。</w:t>
      </w:r>
    </w:p>
    <w:p w14:paraId="41A39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自身建设持续深化：顺利完成换届，优化队伍结构，强化党建带团建，从严治团取得新进展，团组织的凝聚力和战斗力进一步增强。</w:t>
      </w:r>
    </w:p>
    <w:p w14:paraId="3033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82" w:name="_Toc16832"/>
      <w:bookmarkStart w:id="83" w:name="_Toc31679"/>
      <w:bookmarkStart w:id="84" w:name="_Toc17341"/>
      <w:bookmarkStart w:id="85" w:name="_Toc29483"/>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bookmarkEnd w:id="82"/>
      <w:bookmarkEnd w:id="83"/>
      <w:bookmarkEnd w:id="84"/>
      <w:bookmarkEnd w:id="85"/>
    </w:p>
    <w:p w14:paraId="3A4E1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86" w:name="_Toc15553"/>
      <w:bookmarkStart w:id="87" w:name="_Toc14255"/>
      <w:bookmarkStart w:id="88" w:name="_Toc14034"/>
      <w:bookmarkStart w:id="89" w:name="_Toc57"/>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预算配置情况及分析</w:t>
      </w:r>
      <w:bookmarkEnd w:id="86"/>
      <w:bookmarkEnd w:id="87"/>
      <w:bookmarkEnd w:id="88"/>
      <w:bookmarkEnd w:id="89"/>
    </w:p>
    <w:p w14:paraId="77D8F3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共青团雁峰区委</w:t>
      </w:r>
      <w:r>
        <w:rPr>
          <w:rFonts w:hint="eastAsia" w:ascii="仿宋" w:hAnsi="仿宋" w:eastAsia="仿宋" w:cs="仿宋"/>
          <w:sz w:val="32"/>
          <w:szCs w:val="32"/>
        </w:rPr>
        <w:t>2024年度年初预算总额为</w:t>
      </w:r>
      <w:r>
        <w:rPr>
          <w:rFonts w:hint="eastAsia" w:ascii="仿宋" w:hAnsi="仿宋" w:eastAsia="仿宋" w:cs="仿宋"/>
          <w:sz w:val="32"/>
          <w:szCs w:val="32"/>
          <w:lang w:val="en-US" w:eastAsia="zh-CN"/>
        </w:rPr>
        <w:t>41.37</w:t>
      </w:r>
      <w:r>
        <w:rPr>
          <w:rFonts w:hint="eastAsia" w:ascii="仿宋" w:hAnsi="仿宋" w:eastAsia="仿宋" w:cs="仿宋"/>
          <w:sz w:val="32"/>
          <w:szCs w:val="32"/>
        </w:rPr>
        <w:t>万元。年中预算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25.03</w:t>
      </w:r>
      <w:r>
        <w:rPr>
          <w:rFonts w:hint="eastAsia" w:ascii="仿宋" w:hAnsi="仿宋" w:eastAsia="仿宋" w:cs="仿宋"/>
          <w:sz w:val="32"/>
          <w:szCs w:val="32"/>
        </w:rPr>
        <w:t>万元，调整后预算为</w:t>
      </w:r>
      <w:r>
        <w:rPr>
          <w:rFonts w:hint="eastAsia" w:ascii="仿宋" w:hAnsi="仿宋" w:eastAsia="仿宋" w:cs="仿宋"/>
          <w:sz w:val="32"/>
          <w:szCs w:val="32"/>
          <w:lang w:val="en-US" w:eastAsia="zh-CN"/>
        </w:rPr>
        <w:t>66.40</w:t>
      </w:r>
      <w:r>
        <w:rPr>
          <w:rFonts w:hint="eastAsia" w:ascii="仿宋" w:hAnsi="仿宋" w:eastAsia="仿宋" w:cs="仿宋"/>
          <w:sz w:val="32"/>
          <w:szCs w:val="32"/>
        </w:rPr>
        <w:t>万元。</w:t>
      </w:r>
    </w:p>
    <w:tbl>
      <w:tblPr>
        <w:tblStyle w:val="13"/>
        <w:tblW w:w="8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6"/>
        <w:gridCol w:w="1545"/>
        <w:gridCol w:w="1689"/>
        <w:gridCol w:w="1417"/>
        <w:gridCol w:w="1933"/>
      </w:tblGrid>
      <w:tr w14:paraId="2D44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D872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90" w:name="_Toc22604"/>
            <w:bookmarkStart w:id="91" w:name="_Toc1620"/>
            <w:bookmarkStart w:id="92" w:name="_Toc2237"/>
            <w:r>
              <w:rPr>
                <w:rFonts w:hint="eastAsia" w:ascii="宋体" w:hAnsi="宋体" w:eastAsia="宋体" w:cs="宋体"/>
                <w:i w:val="0"/>
                <w:iCs w:val="0"/>
                <w:color w:val="000000"/>
                <w:kern w:val="0"/>
                <w:sz w:val="21"/>
                <w:szCs w:val="21"/>
                <w:u w:val="none"/>
                <w:lang w:val="en-US" w:eastAsia="zh-CN" w:bidi="ar"/>
              </w:rPr>
              <w:t>支出分类</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30F35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年初预算（万元）</w:t>
            </w: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16BF0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全年预算数（万元）</w:t>
            </w: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6F034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增长额（万元）</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46BC24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增长率%</w:t>
            </w:r>
          </w:p>
        </w:tc>
      </w:tr>
      <w:tr w14:paraId="7279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1E862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基本支出－人员经费</w:t>
            </w:r>
          </w:p>
        </w:tc>
        <w:tc>
          <w:tcPr>
            <w:tcW w:w="1545" w:type="dxa"/>
            <w:tcBorders>
              <w:top w:val="nil"/>
              <w:left w:val="nil"/>
              <w:bottom w:val="single" w:color="000000" w:sz="8" w:space="0"/>
              <w:right w:val="single" w:color="000000" w:sz="8" w:space="0"/>
            </w:tcBorders>
            <w:shd w:val="clear" w:color="auto" w:fill="auto"/>
            <w:noWrap/>
            <w:vAlign w:val="center"/>
          </w:tcPr>
          <w:p w14:paraId="6655E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25.83</w:t>
            </w:r>
          </w:p>
        </w:tc>
        <w:tc>
          <w:tcPr>
            <w:tcW w:w="1689" w:type="dxa"/>
            <w:tcBorders>
              <w:top w:val="nil"/>
              <w:left w:val="nil"/>
              <w:bottom w:val="single" w:color="000000" w:sz="8" w:space="0"/>
              <w:right w:val="single" w:color="000000" w:sz="8" w:space="0"/>
            </w:tcBorders>
            <w:shd w:val="clear" w:color="auto" w:fill="auto"/>
            <w:noWrap/>
            <w:vAlign w:val="center"/>
          </w:tcPr>
          <w:p w14:paraId="152CD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26.91</w:t>
            </w:r>
          </w:p>
        </w:tc>
        <w:tc>
          <w:tcPr>
            <w:tcW w:w="1417" w:type="dxa"/>
            <w:tcBorders>
              <w:top w:val="nil"/>
              <w:left w:val="nil"/>
              <w:bottom w:val="single" w:color="000000" w:sz="8" w:space="0"/>
              <w:right w:val="single" w:color="000000" w:sz="8" w:space="0"/>
            </w:tcBorders>
            <w:shd w:val="clear" w:color="auto" w:fill="auto"/>
            <w:noWrap/>
            <w:vAlign w:val="center"/>
          </w:tcPr>
          <w:p w14:paraId="1C37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933" w:type="dxa"/>
            <w:tcBorders>
              <w:top w:val="nil"/>
              <w:left w:val="nil"/>
              <w:bottom w:val="single" w:color="000000" w:sz="8" w:space="0"/>
              <w:right w:val="single" w:color="000000" w:sz="8" w:space="0"/>
            </w:tcBorders>
            <w:shd w:val="clear" w:color="auto" w:fill="auto"/>
            <w:noWrap/>
            <w:vAlign w:val="center"/>
          </w:tcPr>
          <w:p w14:paraId="7E22B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r>
      <w:tr w14:paraId="4331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414A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基本支出－公用经费</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186B5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6277E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5002E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4EFA3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14:paraId="004D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1DA25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545" w:type="dxa"/>
            <w:tcBorders>
              <w:top w:val="nil"/>
              <w:left w:val="nil"/>
              <w:bottom w:val="single" w:color="000000" w:sz="8" w:space="0"/>
              <w:right w:val="single" w:color="000000" w:sz="8" w:space="0"/>
            </w:tcBorders>
            <w:shd w:val="clear" w:color="auto" w:fill="auto"/>
            <w:noWrap/>
            <w:vAlign w:val="center"/>
          </w:tcPr>
          <w:p w14:paraId="222E3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w:t>
            </w:r>
          </w:p>
        </w:tc>
        <w:tc>
          <w:tcPr>
            <w:tcW w:w="1689" w:type="dxa"/>
            <w:tcBorders>
              <w:top w:val="nil"/>
              <w:left w:val="nil"/>
              <w:bottom w:val="single" w:color="000000" w:sz="8" w:space="0"/>
              <w:right w:val="single" w:color="000000" w:sz="8" w:space="0"/>
            </w:tcBorders>
            <w:shd w:val="clear" w:color="auto" w:fill="auto"/>
            <w:noWrap/>
            <w:vAlign w:val="center"/>
          </w:tcPr>
          <w:p w14:paraId="7A553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36.61</w:t>
            </w:r>
          </w:p>
        </w:tc>
        <w:tc>
          <w:tcPr>
            <w:tcW w:w="1417" w:type="dxa"/>
            <w:tcBorders>
              <w:top w:val="nil"/>
              <w:left w:val="nil"/>
              <w:bottom w:val="single" w:color="000000" w:sz="8" w:space="0"/>
              <w:right w:val="single" w:color="000000" w:sz="8" w:space="0"/>
            </w:tcBorders>
            <w:shd w:val="clear" w:color="auto" w:fill="auto"/>
            <w:noWrap/>
            <w:vAlign w:val="center"/>
          </w:tcPr>
          <w:p w14:paraId="30CF7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23.95</w:t>
            </w:r>
          </w:p>
        </w:tc>
        <w:tc>
          <w:tcPr>
            <w:tcW w:w="1933" w:type="dxa"/>
            <w:tcBorders>
              <w:top w:val="nil"/>
              <w:left w:val="nil"/>
              <w:bottom w:val="single" w:color="000000" w:sz="8" w:space="0"/>
              <w:right w:val="single" w:color="000000" w:sz="8" w:space="0"/>
            </w:tcBorders>
            <w:shd w:val="clear" w:color="auto" w:fill="auto"/>
            <w:noWrap/>
            <w:vAlign w:val="center"/>
          </w:tcPr>
          <w:p w14:paraId="7A31B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189.18%</w:t>
            </w:r>
          </w:p>
        </w:tc>
      </w:tr>
      <w:tr w14:paraId="223A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E12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0726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41.37</w:t>
            </w: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16932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66.40</w:t>
            </w: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10C1E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26830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60.50%</w:t>
            </w:r>
          </w:p>
        </w:tc>
      </w:tr>
    </w:tbl>
    <w:p w14:paraId="775C17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sz w:val="32"/>
          <w:szCs w:val="32"/>
          <w:lang w:eastAsia="zh-CN"/>
        </w:rPr>
        <w:t>注：未提供预算调整批复。</w:t>
      </w:r>
    </w:p>
    <w:p w14:paraId="5C5F1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93" w:name="_Toc16033"/>
      <w:r>
        <w:rPr>
          <w:rFonts w:hint="eastAsia" w:ascii="楷体" w:hAnsi="楷体" w:eastAsia="楷体" w:cs="楷体"/>
          <w:b/>
          <w:bCs/>
          <w:sz w:val="32"/>
          <w:szCs w:val="32"/>
        </w:rPr>
        <w:t>（二）预算执行情况及分析</w:t>
      </w:r>
      <w:bookmarkEnd w:id="90"/>
      <w:bookmarkEnd w:id="91"/>
      <w:bookmarkEnd w:id="92"/>
      <w:bookmarkEnd w:id="93"/>
    </w:p>
    <w:p w14:paraId="46D10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1.预算执行基本信息</w:t>
      </w:r>
    </w:p>
    <w:p w14:paraId="0C786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（1）涉及核算账号列示如下：</w:t>
      </w:r>
    </w:p>
    <w:tbl>
      <w:tblPr>
        <w:tblStyle w:val="13"/>
        <w:tblW w:w="5136" w:type="pct"/>
        <w:tblInd w:w="0" w:type="dxa"/>
        <w:tblLayout w:type="fixed"/>
        <w:tblCellMar>
          <w:top w:w="0" w:type="dxa"/>
          <w:left w:w="108" w:type="dxa"/>
          <w:bottom w:w="0" w:type="dxa"/>
          <w:right w:w="108" w:type="dxa"/>
        </w:tblCellMar>
      </w:tblPr>
      <w:tblGrid>
        <w:gridCol w:w="4024"/>
        <w:gridCol w:w="2231"/>
        <w:gridCol w:w="2494"/>
      </w:tblGrid>
      <w:tr w14:paraId="18E3728D">
        <w:tblPrEx>
          <w:tblCellMar>
            <w:top w:w="0" w:type="dxa"/>
            <w:left w:w="108" w:type="dxa"/>
            <w:bottom w:w="0" w:type="dxa"/>
            <w:right w:w="108" w:type="dxa"/>
          </w:tblCellMar>
        </w:tblPrEx>
        <w:trPr>
          <w:trHeight w:val="540" w:hRule="atLeast"/>
        </w:trPr>
        <w:tc>
          <w:tcPr>
            <w:tcW w:w="2299" w:type="pct"/>
            <w:tcBorders>
              <w:top w:val="single" w:color="000000" w:sz="4" w:space="0"/>
              <w:left w:val="single" w:color="000000" w:sz="4" w:space="0"/>
              <w:bottom w:val="single" w:color="000000" w:sz="4" w:space="0"/>
              <w:right w:val="single" w:color="000000" w:sz="4" w:space="0"/>
            </w:tcBorders>
            <w:noWrap/>
            <w:vAlign w:val="center"/>
          </w:tcPr>
          <w:p w14:paraId="0F038FB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名称</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6ADC90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账号</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2406186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r>
      <w:tr w14:paraId="6661E98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68AE4F1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中国共产主义青年团雁峰区委员会</w:t>
            </w:r>
            <w:r>
              <w:rPr>
                <w:rFonts w:hint="eastAsia" w:ascii="宋体" w:hAnsi="宋体" w:eastAsia="宋体" w:cs="宋体"/>
                <w:color w:val="000000"/>
                <w:sz w:val="21"/>
                <w:szCs w:val="21"/>
                <w:lang w:eastAsia="zh-CN" w:bidi="ar"/>
              </w:rPr>
              <w:t>中国</w:t>
            </w:r>
            <w:r>
              <w:rPr>
                <w:rFonts w:hint="eastAsia" w:ascii="宋体" w:hAnsi="宋体" w:eastAsia="宋体" w:cs="宋体"/>
                <w:color w:val="000000"/>
                <w:sz w:val="21"/>
                <w:szCs w:val="21"/>
                <w:lang w:bidi="ar"/>
              </w:rPr>
              <w:t>工商银行衡阳城南支行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21DAE62">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1905022009</w:t>
            </w:r>
            <w:r>
              <w:rPr>
                <w:rFonts w:hint="eastAsia" w:ascii="宋体" w:hAnsi="宋体" w:eastAsia="宋体" w:cs="宋体"/>
                <w:color w:val="000000"/>
                <w:sz w:val="21"/>
                <w:szCs w:val="21"/>
                <w:lang w:val="en-US" w:eastAsia="zh-CN" w:bidi="ar"/>
              </w:rPr>
              <w:t>200029451</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47B7847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财政零余额账户</w:t>
            </w:r>
          </w:p>
        </w:tc>
      </w:tr>
      <w:tr w14:paraId="6501AB7F">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547D8A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中国共产主义青年团雁峰区委员会农商行雁峰支行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04F2987">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9115210012095127</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37F8F5F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雁峰区财政局资金专户</w:t>
            </w:r>
          </w:p>
        </w:tc>
      </w:tr>
    </w:tbl>
    <w:p w14:paraId="0C1D1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截至2024年12月31日</w:t>
      </w:r>
      <w:r>
        <w:rPr>
          <w:rFonts w:hint="eastAsia" w:ascii="仿宋" w:hAnsi="仿宋" w:eastAsia="仿宋" w:cs="仿宋"/>
          <w:sz w:val="32"/>
          <w:szCs w:val="32"/>
          <w:lang w:eastAsia="zh-CN"/>
        </w:rPr>
        <w:t>共青团雁峰区委</w:t>
      </w:r>
      <w:r>
        <w:rPr>
          <w:rFonts w:hint="eastAsia" w:ascii="仿宋" w:hAnsi="仿宋" w:eastAsia="仿宋" w:cs="仿宋"/>
          <w:sz w:val="32"/>
          <w:szCs w:val="32"/>
        </w:rPr>
        <w:t>在区财政局资金专户账户余额</w:t>
      </w:r>
      <w:r>
        <w:rPr>
          <w:rFonts w:hint="eastAsia" w:ascii="仿宋" w:hAnsi="仿宋" w:eastAsia="仿宋" w:cs="仿宋"/>
          <w:sz w:val="32"/>
          <w:szCs w:val="32"/>
          <w:lang w:val="en-US" w:eastAsia="zh-CN"/>
        </w:rPr>
        <w:t>192.03</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w:t>
      </w:r>
    </w:p>
    <w:p w14:paraId="530862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2.预算执行情况</w:t>
      </w:r>
    </w:p>
    <w:p w14:paraId="03B67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截至2024年12月31日单位指标执行情况列示如下：</w:t>
      </w:r>
    </w:p>
    <w:tbl>
      <w:tblPr>
        <w:tblStyle w:val="13"/>
        <w:tblW w:w="5073" w:type="pct"/>
        <w:tblInd w:w="93" w:type="dxa"/>
        <w:tblLayout w:type="fixed"/>
        <w:tblCellMar>
          <w:top w:w="0" w:type="dxa"/>
          <w:left w:w="108" w:type="dxa"/>
          <w:bottom w:w="0" w:type="dxa"/>
          <w:right w:w="108" w:type="dxa"/>
        </w:tblCellMar>
      </w:tblPr>
      <w:tblGrid>
        <w:gridCol w:w="1526"/>
        <w:gridCol w:w="1546"/>
        <w:gridCol w:w="1316"/>
        <w:gridCol w:w="1375"/>
        <w:gridCol w:w="1545"/>
        <w:gridCol w:w="1334"/>
      </w:tblGrid>
      <w:tr w14:paraId="6F8CD241">
        <w:tblPrEx>
          <w:tblCellMar>
            <w:top w:w="0" w:type="dxa"/>
            <w:left w:w="108" w:type="dxa"/>
            <w:bottom w:w="0" w:type="dxa"/>
            <w:right w:w="108" w:type="dxa"/>
          </w:tblCellMar>
        </w:tblPrEx>
        <w:trPr>
          <w:trHeight w:val="440" w:hRule="atLeast"/>
        </w:trPr>
        <w:tc>
          <w:tcPr>
            <w:tcW w:w="1526" w:type="dxa"/>
            <w:vMerge w:val="restart"/>
            <w:tcBorders>
              <w:top w:val="single" w:color="000000" w:sz="4" w:space="0"/>
              <w:left w:val="single" w:color="000000" w:sz="4" w:space="0"/>
              <w:bottom w:val="single" w:color="000000" w:sz="4" w:space="0"/>
              <w:right w:val="single" w:color="000000" w:sz="4" w:space="0"/>
            </w:tcBorders>
            <w:vAlign w:val="center"/>
          </w:tcPr>
          <w:p w14:paraId="0B33AC1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原始指标金额（元）</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85E074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指标下达数（元）</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2A4A4AF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指标调整数</w:t>
            </w:r>
          </w:p>
        </w:tc>
        <w:tc>
          <w:tcPr>
            <w:tcW w:w="1375" w:type="dxa"/>
            <w:vMerge w:val="restart"/>
            <w:tcBorders>
              <w:top w:val="single" w:color="000000" w:sz="4" w:space="0"/>
              <w:left w:val="single" w:color="000000" w:sz="4" w:space="0"/>
              <w:bottom w:val="single" w:color="000000" w:sz="4" w:space="0"/>
              <w:right w:val="single" w:color="000000" w:sz="4" w:space="0"/>
            </w:tcBorders>
            <w:vAlign w:val="center"/>
          </w:tcPr>
          <w:p w14:paraId="7F29EE1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指标冻结数</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69EFF4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指标使用数（元）</w:t>
            </w:r>
          </w:p>
        </w:tc>
        <w:tc>
          <w:tcPr>
            <w:tcW w:w="1334" w:type="dxa"/>
            <w:vMerge w:val="restart"/>
            <w:tcBorders>
              <w:top w:val="single" w:color="000000" w:sz="4" w:space="0"/>
              <w:left w:val="single" w:color="000000" w:sz="4" w:space="0"/>
              <w:bottom w:val="single" w:color="000000" w:sz="4" w:space="0"/>
              <w:right w:val="single" w:color="000000" w:sz="4" w:space="0"/>
            </w:tcBorders>
            <w:vAlign w:val="center"/>
          </w:tcPr>
          <w:p w14:paraId="1CB53A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指标可用数（元）</w:t>
            </w:r>
          </w:p>
        </w:tc>
      </w:tr>
      <w:tr w14:paraId="7849CEF0">
        <w:tblPrEx>
          <w:tblCellMar>
            <w:top w:w="0" w:type="dxa"/>
            <w:left w:w="108" w:type="dxa"/>
            <w:bottom w:w="0" w:type="dxa"/>
            <w:right w:w="108" w:type="dxa"/>
          </w:tblCellMar>
        </w:tblPrEx>
        <w:trPr>
          <w:trHeight w:val="332"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086B0AF7">
            <w:pPr>
              <w:jc w:val="center"/>
              <w:rPr>
                <w:rFonts w:hint="eastAsia" w:ascii="宋体" w:hAnsi="宋体" w:eastAsia="宋体" w:cs="宋体"/>
                <w:color w:val="000000"/>
                <w:sz w:val="21"/>
                <w:szCs w:val="21"/>
              </w:rPr>
            </w:pPr>
          </w:p>
        </w:tc>
        <w:tc>
          <w:tcPr>
            <w:tcW w:w="894" w:type="pct"/>
            <w:vMerge w:val="continue"/>
            <w:tcBorders>
              <w:top w:val="single" w:color="000000" w:sz="4" w:space="0"/>
              <w:left w:val="single" w:color="000000" w:sz="4" w:space="0"/>
              <w:bottom w:val="single" w:color="000000" w:sz="4" w:space="0"/>
              <w:right w:val="single" w:color="000000" w:sz="4" w:space="0"/>
            </w:tcBorders>
            <w:vAlign w:val="center"/>
          </w:tcPr>
          <w:p w14:paraId="0D90693F">
            <w:pPr>
              <w:jc w:val="center"/>
              <w:rPr>
                <w:rFonts w:hint="eastAsia" w:ascii="宋体" w:hAnsi="宋体" w:eastAsia="宋体" w:cs="宋体"/>
                <w:color w:val="000000"/>
                <w:sz w:val="21"/>
                <w:szCs w:val="21"/>
              </w:rPr>
            </w:pPr>
          </w:p>
        </w:tc>
        <w:tc>
          <w:tcPr>
            <w:tcW w:w="761" w:type="pct"/>
            <w:vMerge w:val="continue"/>
            <w:tcBorders>
              <w:top w:val="single" w:color="000000" w:sz="4" w:space="0"/>
              <w:left w:val="single" w:color="000000" w:sz="4" w:space="0"/>
              <w:bottom w:val="single" w:color="000000" w:sz="4" w:space="0"/>
              <w:right w:val="single" w:color="000000" w:sz="4" w:space="0"/>
            </w:tcBorders>
            <w:vAlign w:val="center"/>
          </w:tcPr>
          <w:p w14:paraId="78223C3F">
            <w:pPr>
              <w:jc w:val="center"/>
              <w:rPr>
                <w:rFonts w:hint="eastAsia" w:ascii="宋体" w:hAnsi="宋体" w:eastAsia="宋体" w:cs="宋体"/>
                <w:color w:val="000000"/>
                <w:sz w:val="21"/>
                <w:szCs w:val="21"/>
              </w:rPr>
            </w:pPr>
          </w:p>
        </w:tc>
        <w:tc>
          <w:tcPr>
            <w:tcW w:w="795" w:type="pct"/>
            <w:vMerge w:val="continue"/>
            <w:tcBorders>
              <w:top w:val="single" w:color="000000" w:sz="4" w:space="0"/>
              <w:left w:val="single" w:color="000000" w:sz="4" w:space="0"/>
              <w:bottom w:val="single" w:color="000000" w:sz="4" w:space="0"/>
              <w:right w:val="single" w:color="000000" w:sz="4" w:space="0"/>
            </w:tcBorders>
            <w:vAlign w:val="center"/>
          </w:tcPr>
          <w:p w14:paraId="546E3D17">
            <w:pPr>
              <w:jc w:val="center"/>
              <w:rPr>
                <w:rFonts w:hint="eastAsia" w:ascii="宋体" w:hAnsi="宋体" w:eastAsia="宋体" w:cs="宋体"/>
                <w:color w:val="000000"/>
                <w:sz w:val="21"/>
                <w:szCs w:val="21"/>
              </w:rPr>
            </w:pPr>
          </w:p>
        </w:tc>
        <w:tc>
          <w:tcPr>
            <w:tcW w:w="893" w:type="pct"/>
            <w:vMerge w:val="continue"/>
            <w:tcBorders>
              <w:top w:val="single" w:color="000000" w:sz="4" w:space="0"/>
              <w:left w:val="single" w:color="000000" w:sz="4" w:space="0"/>
              <w:bottom w:val="single" w:color="000000" w:sz="4" w:space="0"/>
              <w:right w:val="single" w:color="000000" w:sz="4" w:space="0"/>
            </w:tcBorders>
            <w:vAlign w:val="center"/>
          </w:tcPr>
          <w:p w14:paraId="242A6D1B">
            <w:pPr>
              <w:jc w:val="center"/>
              <w:rPr>
                <w:rFonts w:hint="eastAsia" w:ascii="宋体" w:hAnsi="宋体" w:eastAsia="宋体" w:cs="宋体"/>
                <w:color w:val="000000"/>
                <w:sz w:val="21"/>
                <w:szCs w:val="21"/>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14:paraId="0AA85ECF">
            <w:pPr>
              <w:jc w:val="center"/>
              <w:rPr>
                <w:rFonts w:hint="eastAsia" w:ascii="宋体" w:hAnsi="宋体" w:eastAsia="宋体" w:cs="宋体"/>
                <w:color w:val="000000"/>
                <w:sz w:val="21"/>
                <w:szCs w:val="21"/>
              </w:rPr>
            </w:pPr>
          </w:p>
        </w:tc>
      </w:tr>
      <w:tr w14:paraId="7C5B0635">
        <w:tblPrEx>
          <w:tblCellMar>
            <w:top w:w="0" w:type="dxa"/>
            <w:left w:w="108" w:type="dxa"/>
            <w:bottom w:w="0" w:type="dxa"/>
            <w:right w:w="108" w:type="dxa"/>
          </w:tblCellMar>
        </w:tblPrEx>
        <w:trPr>
          <w:trHeight w:val="34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294BFA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A</w:t>
            </w:r>
          </w:p>
        </w:tc>
        <w:tc>
          <w:tcPr>
            <w:tcW w:w="1546" w:type="dxa"/>
            <w:tcBorders>
              <w:top w:val="single" w:color="000000" w:sz="4" w:space="0"/>
              <w:left w:val="single" w:color="000000" w:sz="4" w:space="0"/>
              <w:bottom w:val="single" w:color="000000" w:sz="4" w:space="0"/>
              <w:right w:val="single" w:color="000000" w:sz="4" w:space="0"/>
            </w:tcBorders>
            <w:vAlign w:val="center"/>
          </w:tcPr>
          <w:p w14:paraId="5F8A3EA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B=A-C-D</w:t>
            </w:r>
          </w:p>
        </w:tc>
        <w:tc>
          <w:tcPr>
            <w:tcW w:w="1316" w:type="dxa"/>
            <w:tcBorders>
              <w:top w:val="single" w:color="000000" w:sz="4" w:space="0"/>
              <w:left w:val="single" w:color="000000" w:sz="4" w:space="0"/>
              <w:bottom w:val="single" w:color="000000" w:sz="4" w:space="0"/>
              <w:right w:val="single" w:color="000000" w:sz="4" w:space="0"/>
            </w:tcBorders>
            <w:vAlign w:val="center"/>
          </w:tcPr>
          <w:p w14:paraId="5592F26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C</w:t>
            </w:r>
          </w:p>
        </w:tc>
        <w:tc>
          <w:tcPr>
            <w:tcW w:w="1375" w:type="dxa"/>
            <w:tcBorders>
              <w:top w:val="single" w:color="000000" w:sz="4" w:space="0"/>
              <w:left w:val="single" w:color="000000" w:sz="4" w:space="0"/>
              <w:bottom w:val="single" w:color="000000" w:sz="4" w:space="0"/>
              <w:right w:val="single" w:color="000000" w:sz="4" w:space="0"/>
            </w:tcBorders>
            <w:vAlign w:val="center"/>
          </w:tcPr>
          <w:p w14:paraId="016A097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D</w:t>
            </w:r>
          </w:p>
        </w:tc>
        <w:tc>
          <w:tcPr>
            <w:tcW w:w="1545" w:type="dxa"/>
            <w:tcBorders>
              <w:top w:val="single" w:color="000000" w:sz="4" w:space="0"/>
              <w:left w:val="single" w:color="000000" w:sz="4" w:space="0"/>
              <w:bottom w:val="single" w:color="000000" w:sz="4" w:space="0"/>
              <w:right w:val="single" w:color="000000" w:sz="4" w:space="0"/>
            </w:tcBorders>
            <w:vAlign w:val="center"/>
          </w:tcPr>
          <w:p w14:paraId="5BF944D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E</w:t>
            </w:r>
          </w:p>
        </w:tc>
        <w:tc>
          <w:tcPr>
            <w:tcW w:w="1334" w:type="dxa"/>
            <w:tcBorders>
              <w:top w:val="single" w:color="000000" w:sz="4" w:space="0"/>
              <w:left w:val="single" w:color="000000" w:sz="4" w:space="0"/>
              <w:bottom w:val="single" w:color="000000" w:sz="4" w:space="0"/>
              <w:right w:val="single" w:color="000000" w:sz="4" w:space="0"/>
            </w:tcBorders>
            <w:vAlign w:val="center"/>
          </w:tcPr>
          <w:p w14:paraId="04D1B6B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F=B-E</w:t>
            </w:r>
          </w:p>
        </w:tc>
      </w:tr>
      <w:tr w14:paraId="5848D49A">
        <w:tblPrEx>
          <w:tblCellMar>
            <w:top w:w="0" w:type="dxa"/>
            <w:left w:w="108" w:type="dxa"/>
            <w:bottom w:w="0" w:type="dxa"/>
            <w:right w:w="108" w:type="dxa"/>
          </w:tblCellMar>
        </w:tblPrEx>
        <w:trPr>
          <w:trHeight w:val="34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B0A11E5">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664,030.86</w:t>
            </w:r>
          </w:p>
        </w:tc>
        <w:tc>
          <w:tcPr>
            <w:tcW w:w="1546" w:type="dxa"/>
            <w:tcBorders>
              <w:top w:val="single" w:color="000000" w:sz="4" w:space="0"/>
              <w:left w:val="single" w:color="000000" w:sz="4" w:space="0"/>
              <w:bottom w:val="single" w:color="000000" w:sz="4" w:space="0"/>
              <w:right w:val="single" w:color="000000" w:sz="4" w:space="0"/>
            </w:tcBorders>
            <w:vAlign w:val="center"/>
          </w:tcPr>
          <w:p w14:paraId="5C5D54BB">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664,030.86</w:t>
            </w:r>
          </w:p>
        </w:tc>
        <w:tc>
          <w:tcPr>
            <w:tcW w:w="1316" w:type="dxa"/>
            <w:tcBorders>
              <w:top w:val="single" w:color="000000" w:sz="4" w:space="0"/>
              <w:left w:val="single" w:color="000000" w:sz="4" w:space="0"/>
              <w:bottom w:val="single" w:color="000000" w:sz="4" w:space="0"/>
              <w:right w:val="single" w:color="000000" w:sz="4" w:space="0"/>
            </w:tcBorders>
            <w:vAlign w:val="center"/>
          </w:tcPr>
          <w:p w14:paraId="03888246">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375" w:type="dxa"/>
            <w:tcBorders>
              <w:top w:val="single" w:color="000000" w:sz="4" w:space="0"/>
              <w:left w:val="single" w:color="000000" w:sz="4" w:space="0"/>
              <w:bottom w:val="single" w:color="000000" w:sz="4" w:space="0"/>
              <w:right w:val="single" w:color="000000" w:sz="4" w:space="0"/>
            </w:tcBorders>
            <w:vAlign w:val="center"/>
          </w:tcPr>
          <w:p w14:paraId="26FA5FF8">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14:paraId="6E406AD5">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586,105.05</w:t>
            </w:r>
          </w:p>
        </w:tc>
        <w:tc>
          <w:tcPr>
            <w:tcW w:w="1334" w:type="dxa"/>
            <w:tcBorders>
              <w:top w:val="single" w:color="000000" w:sz="4" w:space="0"/>
              <w:left w:val="single" w:color="000000" w:sz="4" w:space="0"/>
              <w:bottom w:val="single" w:color="000000" w:sz="4" w:space="0"/>
              <w:right w:val="single" w:color="000000" w:sz="4" w:space="0"/>
            </w:tcBorders>
            <w:vAlign w:val="center"/>
          </w:tcPr>
          <w:p w14:paraId="384F60FE">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77,925.81</w:t>
            </w:r>
          </w:p>
        </w:tc>
      </w:tr>
    </w:tbl>
    <w:p w14:paraId="0F578F5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（1）执行进度：</w:t>
      </w:r>
    </w:p>
    <w:p w14:paraId="3C89A650">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2024年</w:t>
      </w:r>
      <w:r>
        <w:rPr>
          <w:rFonts w:hint="eastAsia" w:ascii="仿宋" w:hAnsi="仿宋" w:eastAsia="仿宋" w:cs="仿宋"/>
          <w:sz w:val="32"/>
          <w:szCs w:val="32"/>
        </w:rPr>
        <w:t>调整后预算收入为</w:t>
      </w:r>
      <w:r>
        <w:rPr>
          <w:rFonts w:hint="eastAsia" w:ascii="仿宋" w:hAnsi="仿宋" w:eastAsia="仿宋" w:cs="仿宋"/>
          <w:sz w:val="32"/>
          <w:szCs w:val="32"/>
          <w:lang w:val="en-US" w:eastAsia="zh-CN"/>
        </w:rPr>
        <w:t>66.40</w:t>
      </w:r>
      <w:r>
        <w:rPr>
          <w:rFonts w:hint="eastAsia" w:ascii="仿宋" w:hAnsi="仿宋" w:eastAsia="仿宋" w:cs="仿宋"/>
          <w:sz w:val="32"/>
          <w:szCs w:val="32"/>
        </w:rPr>
        <w:t>万元，预算资金支出为</w:t>
      </w:r>
      <w:r>
        <w:rPr>
          <w:rFonts w:hint="eastAsia" w:ascii="仿宋" w:hAnsi="仿宋" w:eastAsia="仿宋" w:cs="仿宋"/>
          <w:sz w:val="32"/>
          <w:szCs w:val="32"/>
          <w:lang w:val="en-US" w:eastAsia="zh-CN"/>
        </w:rPr>
        <w:t>58.61</w:t>
      </w:r>
      <w:r>
        <w:rPr>
          <w:rFonts w:hint="eastAsia" w:ascii="仿宋" w:hAnsi="仿宋" w:eastAsia="仿宋" w:cs="仿宋"/>
          <w:sz w:val="32"/>
          <w:szCs w:val="32"/>
        </w:rPr>
        <w:t>万元，预算执行率为</w:t>
      </w:r>
      <w:r>
        <w:rPr>
          <w:rFonts w:hint="eastAsia" w:ascii="仿宋" w:hAnsi="仿宋" w:eastAsia="仿宋" w:cs="仿宋"/>
          <w:sz w:val="32"/>
          <w:szCs w:val="32"/>
          <w:lang w:val="en-US" w:eastAsia="zh-CN"/>
        </w:rPr>
        <w:t>88.26</w:t>
      </w:r>
      <w:r>
        <w:rPr>
          <w:rFonts w:hint="eastAsia" w:ascii="仿宋" w:hAnsi="仿宋" w:eastAsia="仿宋" w:cs="仿宋"/>
          <w:sz w:val="32"/>
          <w:szCs w:val="32"/>
        </w:rPr>
        <w:t>%。</w:t>
      </w:r>
    </w:p>
    <w:p w14:paraId="50155EA5">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2024年预算指标结余</w:t>
      </w:r>
      <w:r>
        <w:rPr>
          <w:rFonts w:hint="eastAsia" w:ascii="仿宋" w:hAnsi="仿宋" w:eastAsia="仿宋" w:cs="仿宋"/>
          <w:sz w:val="32"/>
          <w:szCs w:val="32"/>
          <w:lang w:val="en-US" w:eastAsia="zh-CN" w:bidi="ar"/>
        </w:rPr>
        <w:t>7.79</w:t>
      </w:r>
      <w:r>
        <w:rPr>
          <w:rFonts w:hint="eastAsia" w:ascii="仿宋" w:hAnsi="仿宋" w:eastAsia="仿宋" w:cs="仿宋"/>
          <w:sz w:val="32"/>
          <w:szCs w:val="32"/>
          <w:lang w:bidi="ar"/>
        </w:rPr>
        <w:t>万元。</w:t>
      </w:r>
    </w:p>
    <w:p w14:paraId="035AC57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3.预算执行分析</w:t>
      </w:r>
    </w:p>
    <w:p w14:paraId="338341F6">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（1）预算执行率为</w:t>
      </w:r>
      <w:r>
        <w:rPr>
          <w:rFonts w:hint="eastAsia" w:ascii="仿宋" w:hAnsi="仿宋" w:eastAsia="仿宋" w:cs="仿宋"/>
          <w:b/>
          <w:bCs/>
          <w:sz w:val="32"/>
          <w:szCs w:val="32"/>
          <w:lang w:val="en-US" w:eastAsia="zh-CN"/>
        </w:rPr>
        <w:t>88.26</w:t>
      </w:r>
      <w:r>
        <w:rPr>
          <w:rFonts w:hint="eastAsia" w:ascii="仿宋" w:hAnsi="仿宋" w:eastAsia="仿宋" w:cs="仿宋"/>
          <w:b/>
          <w:bCs/>
          <w:sz w:val="32"/>
          <w:szCs w:val="32"/>
        </w:rPr>
        <w:t>%。详情如下：</w:t>
      </w:r>
    </w:p>
    <w:tbl>
      <w:tblPr>
        <w:tblStyle w:val="13"/>
        <w:tblW w:w="86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3"/>
        <w:gridCol w:w="1901"/>
        <w:gridCol w:w="2150"/>
        <w:gridCol w:w="2183"/>
      </w:tblGrid>
      <w:tr w14:paraId="3F40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42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5D7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901" w:type="dxa"/>
            <w:tcBorders>
              <w:top w:val="single" w:color="000000" w:sz="8" w:space="0"/>
              <w:left w:val="nil"/>
              <w:bottom w:val="single" w:color="000000" w:sz="8" w:space="0"/>
              <w:right w:val="single" w:color="000000" w:sz="8" w:space="0"/>
            </w:tcBorders>
            <w:shd w:val="clear" w:color="auto" w:fill="DDEBF7"/>
            <w:noWrap/>
            <w:vAlign w:val="center"/>
          </w:tcPr>
          <w:p w14:paraId="79D13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全年预算数（元）</w:t>
            </w:r>
          </w:p>
        </w:tc>
        <w:tc>
          <w:tcPr>
            <w:tcW w:w="2150" w:type="dxa"/>
            <w:tcBorders>
              <w:top w:val="single" w:color="000000" w:sz="8" w:space="0"/>
              <w:left w:val="nil"/>
              <w:bottom w:val="single" w:color="000000" w:sz="8" w:space="0"/>
              <w:right w:val="single" w:color="000000" w:sz="8" w:space="0"/>
            </w:tcBorders>
            <w:shd w:val="clear" w:color="auto" w:fill="DDEBF7"/>
            <w:noWrap/>
            <w:vAlign w:val="center"/>
          </w:tcPr>
          <w:p w14:paraId="2BF8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c>
          <w:tcPr>
            <w:tcW w:w="2183" w:type="dxa"/>
            <w:tcBorders>
              <w:top w:val="single" w:color="000000" w:sz="8" w:space="0"/>
              <w:left w:val="nil"/>
              <w:bottom w:val="single" w:color="000000" w:sz="8" w:space="0"/>
              <w:right w:val="single" w:color="000000" w:sz="8" w:space="0"/>
            </w:tcBorders>
            <w:shd w:val="clear" w:color="auto" w:fill="DDEBF7"/>
            <w:noWrap/>
            <w:vAlign w:val="center"/>
          </w:tcPr>
          <w:p w14:paraId="3340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r>
      <w:tr w14:paraId="5EA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000000" w:sz="8" w:space="0"/>
              <w:right w:val="single" w:color="000000" w:sz="8" w:space="0"/>
            </w:tcBorders>
            <w:shd w:val="clear" w:color="auto" w:fill="auto"/>
            <w:noWrap/>
            <w:vAlign w:val="center"/>
          </w:tcPr>
          <w:p w14:paraId="3108D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901" w:type="dxa"/>
            <w:tcBorders>
              <w:top w:val="nil"/>
              <w:left w:val="nil"/>
              <w:bottom w:val="single" w:color="000000" w:sz="8" w:space="0"/>
              <w:right w:val="single" w:color="000000" w:sz="8" w:space="0"/>
            </w:tcBorders>
            <w:shd w:val="clear" w:color="auto" w:fill="auto"/>
            <w:noWrap/>
            <w:vAlign w:val="center"/>
          </w:tcPr>
          <w:p w14:paraId="530D8E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269,089.71</w:t>
            </w:r>
          </w:p>
        </w:tc>
        <w:tc>
          <w:tcPr>
            <w:tcW w:w="2150" w:type="dxa"/>
            <w:tcBorders>
              <w:top w:val="nil"/>
              <w:left w:val="nil"/>
              <w:bottom w:val="single" w:color="000000" w:sz="8" w:space="0"/>
              <w:right w:val="single" w:color="000000" w:sz="8" w:space="0"/>
            </w:tcBorders>
            <w:shd w:val="clear" w:color="auto" w:fill="auto"/>
            <w:noWrap/>
            <w:vAlign w:val="center"/>
          </w:tcPr>
          <w:p w14:paraId="0A4E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347,540.75</w:t>
            </w:r>
          </w:p>
        </w:tc>
        <w:tc>
          <w:tcPr>
            <w:tcW w:w="2183" w:type="dxa"/>
            <w:tcBorders>
              <w:top w:val="nil"/>
              <w:left w:val="nil"/>
              <w:bottom w:val="single" w:color="000000" w:sz="8" w:space="0"/>
              <w:right w:val="single" w:color="000000" w:sz="8" w:space="0"/>
            </w:tcBorders>
            <w:shd w:val="clear" w:color="auto" w:fill="auto"/>
            <w:noWrap/>
            <w:vAlign w:val="center"/>
          </w:tcPr>
          <w:p w14:paraId="66A6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129.15%</w:t>
            </w:r>
          </w:p>
        </w:tc>
      </w:tr>
      <w:tr w14:paraId="429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auto" w:sz="4" w:space="0"/>
              <w:right w:val="single" w:color="000000" w:sz="8" w:space="0"/>
            </w:tcBorders>
            <w:shd w:val="clear" w:color="auto" w:fill="DDEBF7"/>
            <w:noWrap/>
            <w:vAlign w:val="center"/>
          </w:tcPr>
          <w:p w14:paraId="0F25D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901" w:type="dxa"/>
            <w:tcBorders>
              <w:top w:val="nil"/>
              <w:left w:val="nil"/>
              <w:bottom w:val="single" w:color="auto" w:sz="4" w:space="0"/>
              <w:right w:val="single" w:color="000000" w:sz="8" w:space="0"/>
            </w:tcBorders>
            <w:shd w:val="clear" w:color="auto" w:fill="DDEBF7"/>
            <w:noWrap/>
            <w:vAlign w:val="center"/>
          </w:tcPr>
          <w:p w14:paraId="1AEC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28,800.00</w:t>
            </w:r>
          </w:p>
        </w:tc>
        <w:tc>
          <w:tcPr>
            <w:tcW w:w="2150" w:type="dxa"/>
            <w:tcBorders>
              <w:top w:val="nil"/>
              <w:left w:val="nil"/>
              <w:bottom w:val="single" w:color="auto" w:sz="4" w:space="0"/>
              <w:right w:val="single" w:color="000000" w:sz="8" w:space="0"/>
            </w:tcBorders>
            <w:shd w:val="clear" w:color="auto" w:fill="DDEBF7"/>
            <w:noWrap/>
            <w:vAlign w:val="center"/>
          </w:tcPr>
          <w:p w14:paraId="39BD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50,932.80</w:t>
            </w:r>
          </w:p>
        </w:tc>
        <w:tc>
          <w:tcPr>
            <w:tcW w:w="2183" w:type="dxa"/>
            <w:tcBorders>
              <w:top w:val="nil"/>
              <w:left w:val="nil"/>
              <w:bottom w:val="single" w:color="auto" w:sz="4" w:space="0"/>
              <w:right w:val="single" w:color="000000" w:sz="8" w:space="0"/>
            </w:tcBorders>
            <w:shd w:val="clear" w:color="auto" w:fill="DDEBF7"/>
            <w:noWrap/>
            <w:vAlign w:val="center"/>
          </w:tcPr>
          <w:p w14:paraId="6285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87.16%</w:t>
            </w:r>
          </w:p>
        </w:tc>
      </w:tr>
      <w:tr w14:paraId="75BB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723C7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01" w:type="dxa"/>
            <w:tcBorders>
              <w:top w:val="single" w:color="auto" w:sz="4" w:space="0"/>
              <w:left w:val="nil"/>
              <w:bottom w:val="single" w:color="auto" w:sz="4" w:space="0"/>
              <w:right w:val="single" w:color="000000" w:sz="8" w:space="0"/>
            </w:tcBorders>
            <w:shd w:val="clear" w:color="auto" w:fill="auto"/>
            <w:noWrap/>
            <w:vAlign w:val="center"/>
          </w:tcPr>
          <w:p w14:paraId="2B552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366,141.15</w:t>
            </w:r>
          </w:p>
        </w:tc>
        <w:tc>
          <w:tcPr>
            <w:tcW w:w="2150" w:type="dxa"/>
            <w:tcBorders>
              <w:top w:val="single" w:color="auto" w:sz="4" w:space="0"/>
              <w:left w:val="nil"/>
              <w:bottom w:val="single" w:color="auto" w:sz="4" w:space="0"/>
              <w:right w:val="single" w:color="000000" w:sz="8" w:space="0"/>
            </w:tcBorders>
            <w:shd w:val="clear" w:color="auto" w:fill="auto"/>
            <w:noWrap/>
            <w:vAlign w:val="center"/>
          </w:tcPr>
          <w:p w14:paraId="28F35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187,631.50</w:t>
            </w:r>
          </w:p>
        </w:tc>
        <w:tc>
          <w:tcPr>
            <w:tcW w:w="2183" w:type="dxa"/>
            <w:tcBorders>
              <w:top w:val="single" w:color="auto" w:sz="4" w:space="0"/>
              <w:left w:val="nil"/>
              <w:bottom w:val="single" w:color="auto" w:sz="4" w:space="0"/>
              <w:right w:val="single" w:color="auto" w:sz="4" w:space="0"/>
            </w:tcBorders>
            <w:shd w:val="clear" w:color="auto" w:fill="auto"/>
            <w:noWrap/>
            <w:vAlign w:val="center"/>
          </w:tcPr>
          <w:p w14:paraId="37FB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79.97%</w:t>
            </w:r>
          </w:p>
        </w:tc>
      </w:tr>
      <w:tr w14:paraId="359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single" w:color="auto" w:sz="4" w:space="0"/>
              <w:left w:val="single" w:color="000000" w:sz="8" w:space="0"/>
              <w:bottom w:val="single" w:color="000000" w:sz="8" w:space="0"/>
              <w:right w:val="single" w:color="000000" w:sz="8" w:space="0"/>
            </w:tcBorders>
            <w:shd w:val="clear" w:color="auto" w:fill="DDEBF7"/>
            <w:noWrap/>
            <w:vAlign w:val="center"/>
          </w:tcPr>
          <w:p w14:paraId="7284B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1" w:type="dxa"/>
            <w:tcBorders>
              <w:top w:val="single" w:color="auto" w:sz="4" w:space="0"/>
              <w:left w:val="nil"/>
              <w:bottom w:val="single" w:color="000000" w:sz="8" w:space="0"/>
              <w:right w:val="single" w:color="000000" w:sz="8" w:space="0"/>
            </w:tcBorders>
            <w:shd w:val="clear" w:color="auto" w:fill="DDEBF7"/>
            <w:noWrap/>
            <w:vAlign w:val="center"/>
          </w:tcPr>
          <w:p w14:paraId="714A6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664,030.86</w:t>
            </w:r>
          </w:p>
        </w:tc>
        <w:tc>
          <w:tcPr>
            <w:tcW w:w="2150" w:type="dxa"/>
            <w:tcBorders>
              <w:top w:val="single" w:color="auto" w:sz="4" w:space="0"/>
              <w:left w:val="nil"/>
              <w:bottom w:val="single" w:color="000000" w:sz="8" w:space="0"/>
              <w:right w:val="single" w:color="000000" w:sz="8" w:space="0"/>
            </w:tcBorders>
            <w:shd w:val="clear" w:color="auto" w:fill="DDEBF7"/>
            <w:noWrap/>
            <w:vAlign w:val="center"/>
          </w:tcPr>
          <w:p w14:paraId="57E8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586,105.05</w:t>
            </w:r>
          </w:p>
        </w:tc>
        <w:tc>
          <w:tcPr>
            <w:tcW w:w="2183" w:type="dxa"/>
            <w:tcBorders>
              <w:top w:val="single" w:color="auto" w:sz="4" w:space="0"/>
              <w:left w:val="nil"/>
              <w:bottom w:val="single" w:color="000000" w:sz="8" w:space="0"/>
              <w:right w:val="single" w:color="000000" w:sz="8" w:space="0"/>
            </w:tcBorders>
            <w:shd w:val="clear" w:color="auto" w:fill="DDEBF7"/>
            <w:noWrap/>
            <w:vAlign w:val="center"/>
          </w:tcPr>
          <w:p w14:paraId="7581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88.26%</w:t>
            </w:r>
          </w:p>
        </w:tc>
      </w:tr>
    </w:tbl>
    <w:p w14:paraId="4C56453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进度匹配度与效率：</w:t>
      </w:r>
    </w:p>
    <w:p w14:paraId="24AB324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资金支付及时，不存在项目等钱情况。</w:t>
      </w:r>
      <w:r>
        <w:rPr>
          <w:rFonts w:hint="eastAsia" w:ascii="仿宋" w:hAnsi="仿宋" w:eastAsia="仿宋" w:cs="仿宋"/>
          <w:sz w:val="32"/>
          <w:szCs w:val="32"/>
        </w:rPr>
        <w:t>2024年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eastAsia="zh-CN"/>
        </w:rPr>
        <w:t>指标下达数</w:t>
      </w:r>
      <w:r>
        <w:rPr>
          <w:rFonts w:hint="eastAsia" w:ascii="仿宋" w:hAnsi="仿宋" w:eastAsia="仿宋" w:cs="仿宋"/>
          <w:sz w:val="32"/>
          <w:szCs w:val="32"/>
        </w:rPr>
        <w:t>占比为全年的</w:t>
      </w:r>
      <w:r>
        <w:rPr>
          <w:rFonts w:hint="eastAsia" w:ascii="仿宋" w:hAnsi="仿宋" w:eastAsia="仿宋" w:cs="仿宋"/>
          <w:sz w:val="32"/>
          <w:szCs w:val="32"/>
          <w:lang w:val="en-US" w:eastAsia="zh-CN"/>
        </w:rPr>
        <w:t>56.97</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2024年</w:t>
      </w:r>
      <w:r>
        <w:rPr>
          <w:rFonts w:hint="eastAsia" w:ascii="仿宋" w:hAnsi="仿宋" w:eastAsia="仿宋" w:cs="仿宋"/>
          <w:sz w:val="32"/>
          <w:szCs w:val="32"/>
          <w:lang w:val="en-US" w:eastAsia="zh-CN"/>
        </w:rPr>
        <w:t>1</w:t>
      </w:r>
      <w:r>
        <w:rPr>
          <w:rFonts w:hint="eastAsia" w:ascii="仿宋" w:hAnsi="仿宋" w:eastAsia="仿宋" w:cs="仿宋"/>
          <w:sz w:val="32"/>
          <w:szCs w:val="32"/>
        </w:rPr>
        <w:t>月资金指标使用数占比</w:t>
      </w:r>
      <w:r>
        <w:rPr>
          <w:rFonts w:hint="eastAsia" w:ascii="仿宋" w:hAnsi="仿宋" w:eastAsia="仿宋" w:cs="仿宋"/>
          <w:sz w:val="32"/>
          <w:szCs w:val="32"/>
          <w:lang w:val="en-US" w:eastAsia="zh-CN"/>
        </w:rPr>
        <w:t>61.11</w:t>
      </w:r>
      <w:r>
        <w:rPr>
          <w:rFonts w:hint="eastAsia" w:ascii="仿宋" w:hAnsi="仿宋" w:eastAsia="仿宋" w:cs="仿宋"/>
          <w:sz w:val="32"/>
          <w:szCs w:val="32"/>
        </w:rPr>
        <w:t>%。指标下达数与指标使用数对比详情列示如下：</w:t>
      </w:r>
    </w:p>
    <w:tbl>
      <w:tblPr>
        <w:tblStyle w:val="13"/>
        <w:tblW w:w="5102" w:type="pct"/>
        <w:tblInd w:w="0" w:type="dxa"/>
        <w:tblLayout w:type="autofit"/>
        <w:tblCellMar>
          <w:top w:w="0" w:type="dxa"/>
          <w:left w:w="108" w:type="dxa"/>
          <w:bottom w:w="0" w:type="dxa"/>
          <w:right w:w="108" w:type="dxa"/>
        </w:tblCellMar>
      </w:tblPr>
      <w:tblGrid>
        <w:gridCol w:w="1431"/>
        <w:gridCol w:w="2218"/>
        <w:gridCol w:w="1443"/>
        <w:gridCol w:w="2086"/>
        <w:gridCol w:w="1512"/>
      </w:tblGrid>
      <w:tr w14:paraId="1EA280C7">
        <w:tblPrEx>
          <w:tblCellMar>
            <w:top w:w="0" w:type="dxa"/>
            <w:left w:w="108" w:type="dxa"/>
            <w:bottom w:w="0" w:type="dxa"/>
            <w:right w:w="108" w:type="dxa"/>
          </w:tblCellMar>
        </w:tblPrEx>
        <w:trPr>
          <w:trHeight w:val="460" w:hRule="atLeast"/>
          <w:tblHeader/>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6B4CBBF">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月份</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0F9453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指标下达数（元）</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5E0245F">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占比1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2E01393">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指标使用数（元）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95BB7B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占比2</w:t>
            </w:r>
          </w:p>
        </w:tc>
      </w:tr>
      <w:tr w14:paraId="31BD545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B3321B7">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3A15800">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378,281.21</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6FB9CEC4">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56.97%</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3E1C14">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358,195.21</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7C8143D">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61.11%</w:t>
            </w:r>
          </w:p>
        </w:tc>
      </w:tr>
      <w:tr w14:paraId="61CA6029">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475A0BFD">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648AB61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14,000.00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3878474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2.11%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9534E1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14,000.00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BE8171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2.39%</w:t>
            </w:r>
          </w:p>
        </w:tc>
      </w:tr>
      <w:tr w14:paraId="4C987534">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BD7F570">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3月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6EF9CC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15E8F5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3AE62B6">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40DB2F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r>
      <w:tr w14:paraId="49850FF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FD533A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4月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012BF08E">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74,800.00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DB82B5D">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11.26%</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D6455F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60,150.00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D42DF80">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10.26%</w:t>
            </w:r>
          </w:p>
        </w:tc>
      </w:tr>
      <w:tr w14:paraId="7A443D2F">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0C31243">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5月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26A05468">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52,772.00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D8DE">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7.95%</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6D6BA9B">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44,892.00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CD2">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7.66%</w:t>
            </w:r>
          </w:p>
        </w:tc>
      </w:tr>
      <w:tr w14:paraId="6F070FE1">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6EC3FA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6月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05345E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26,200.00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2E0">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3.95%</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FBCC1B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15,948.00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DF4">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r>
      <w:tr w14:paraId="512F40D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CF92D8F">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7月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E55CCD8">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6B16">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0.06%</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1390521">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089">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0.07%</w:t>
            </w:r>
          </w:p>
        </w:tc>
      </w:tr>
      <w:tr w14:paraId="0FA49DE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CD6BC51">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8月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50324D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11,977.65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63B">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8F4067">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902.80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8763">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r>
      <w:tr w14:paraId="658715D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3949B46E">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9月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B9BB052">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3,100.00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F8A">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0.47%</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E6EE499">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3,100.00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7F9">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0.53%</w:t>
            </w:r>
          </w:p>
        </w:tc>
      </w:tr>
      <w:tr w14:paraId="5BB62EE0">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A5E49B4">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E3E3B61">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2E6">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F0B224A">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6EAF">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4C25B10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7313884">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652046F">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100,000.00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022">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15.06%</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223289C">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88,517.04</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B40">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15.10%</w:t>
            </w:r>
          </w:p>
        </w:tc>
      </w:tr>
      <w:tr w14:paraId="16DFD7B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D055506">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09BAE35">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2,500.00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7BA">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0.38%</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20A778E">
            <w:pPr>
              <w:keepNext w:val="0"/>
              <w:keepLines w:val="0"/>
              <w:widowControl/>
              <w:suppressLineNumbers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C63">
            <w:pPr>
              <w:keepNext w:val="0"/>
              <w:keepLines w:val="0"/>
              <w:widowControl/>
              <w:suppressLineNumbers w:val="0"/>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14:paraId="279545F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463B22B">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总计</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FB6ECEC">
            <w:pPr>
              <w:keepNext w:val="0"/>
              <w:keepLines w:val="0"/>
              <w:widowControl/>
              <w:suppressLineNumbers w:val="0"/>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664,030.86</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47ABD048">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5623CFD">
            <w:pPr>
              <w:keepNext w:val="0"/>
              <w:keepLines w:val="0"/>
              <w:widowControl/>
              <w:suppressLineNumbers w:val="0"/>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586,105.05</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4CA7FCA">
            <w:pPr>
              <w:keepNext w:val="0"/>
              <w:keepLines w:val="0"/>
              <w:widowControl/>
              <w:suppressLineNumbers w:val="0"/>
              <w:jc w:val="center"/>
              <w:textAlignment w:val="center"/>
              <w:rPr>
                <w:rFonts w:hint="eastAsia" w:ascii="宋体" w:hAnsi="宋体" w:eastAsia="宋体" w:cs="宋体"/>
                <w:b w:val="0"/>
                <w:bCs w:val="0"/>
                <w:color w:val="000000"/>
                <w:sz w:val="22"/>
                <w:szCs w:val="22"/>
              </w:rPr>
            </w:pPr>
            <w:r>
              <w:rPr>
                <w:rFonts w:hint="eastAsia" w:ascii="宋体" w:hAnsi="宋体" w:eastAsia="宋体" w:cs="宋体"/>
                <w:i w:val="0"/>
                <w:iCs w:val="0"/>
                <w:color w:val="000000"/>
                <w:kern w:val="0"/>
                <w:sz w:val="22"/>
                <w:szCs w:val="22"/>
                <w:u w:val="none"/>
                <w:lang w:val="en-US" w:eastAsia="zh-CN" w:bidi="ar"/>
              </w:rPr>
              <w:t>100.00%</w:t>
            </w:r>
          </w:p>
        </w:tc>
      </w:tr>
    </w:tbl>
    <w:p w14:paraId="1DB6B8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（2）资金合规性检查：</w:t>
      </w:r>
      <w:r>
        <w:rPr>
          <w:rFonts w:hint="eastAsia" w:ascii="仿宋" w:hAnsi="仿宋" w:eastAsia="仿宋" w:cs="仿宋"/>
          <w:sz w:val="32"/>
          <w:szCs w:val="32"/>
        </w:rPr>
        <w:t>从预算约束、用途合规、程序合规、报销凭证完整性与合规性四个方面进行核查，我们认为，支出不存在超预算、无预算开支的现象，但存在基本支出和项目支出之间挤占的情况。详情见后附各类支出情况汇总及分析。</w:t>
      </w:r>
    </w:p>
    <w:p w14:paraId="2CDF5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成本控制：</w:t>
      </w:r>
      <w:r>
        <w:rPr>
          <w:rFonts w:hint="eastAsia" w:ascii="仿宋" w:hAnsi="仿宋" w:eastAsia="仿宋" w:cs="仿宋"/>
          <w:sz w:val="32"/>
          <w:szCs w:val="32"/>
        </w:rPr>
        <w:t>基本支出的绩效评价侧重成本控制和合规性。项目支出的绩效评价关联项目目标，如会议是否推动了政策落地、办公经费是否支撑了专项任务完成等。</w:t>
      </w:r>
      <w:r>
        <w:rPr>
          <w:rFonts w:hint="eastAsia" w:ascii="仿宋" w:hAnsi="仿宋" w:eastAsia="仿宋" w:cs="仿宋"/>
          <w:sz w:val="32"/>
          <w:szCs w:val="32"/>
          <w:lang w:eastAsia="zh-CN" w:bidi="ar"/>
        </w:rPr>
        <w:t>共青团雁峰区委</w:t>
      </w:r>
      <w:r>
        <w:rPr>
          <w:rFonts w:hint="eastAsia" w:ascii="仿宋" w:hAnsi="仿宋" w:eastAsia="仿宋" w:cs="仿宋"/>
          <w:sz w:val="32"/>
          <w:szCs w:val="32"/>
        </w:rPr>
        <w:t>2024年整体支出</w:t>
      </w:r>
      <w:r>
        <w:rPr>
          <w:rFonts w:hint="eastAsia" w:ascii="仿宋" w:hAnsi="仿宋" w:eastAsia="仿宋" w:cs="仿宋"/>
          <w:sz w:val="32"/>
          <w:szCs w:val="32"/>
          <w:lang w:val="en-US" w:eastAsia="zh-CN"/>
        </w:rPr>
        <w:t>58.61</w:t>
      </w:r>
      <w:r>
        <w:rPr>
          <w:rFonts w:hint="eastAsia" w:ascii="仿宋" w:hAnsi="仿宋" w:eastAsia="仿宋" w:cs="仿宋"/>
          <w:sz w:val="32"/>
          <w:szCs w:val="32"/>
        </w:rPr>
        <w:t>万元，未超整体收入</w:t>
      </w:r>
      <w:r>
        <w:rPr>
          <w:rFonts w:hint="eastAsia" w:ascii="仿宋" w:hAnsi="仿宋" w:eastAsia="仿宋" w:cs="仿宋"/>
          <w:sz w:val="32"/>
          <w:szCs w:val="32"/>
          <w:lang w:val="en-US" w:eastAsia="zh-CN"/>
        </w:rPr>
        <w:t>66.40</w:t>
      </w:r>
      <w:r>
        <w:rPr>
          <w:rFonts w:hint="eastAsia" w:ascii="仿宋" w:hAnsi="仿宋" w:eastAsia="仿宋" w:cs="仿宋"/>
          <w:sz w:val="32"/>
          <w:szCs w:val="32"/>
        </w:rPr>
        <w:t>万元。详情见后附各类支出情况汇总及分析。</w:t>
      </w:r>
    </w:p>
    <w:p w14:paraId="71BF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对产出的影响：</w:t>
      </w:r>
      <w:r>
        <w:rPr>
          <w:rFonts w:hint="eastAsia" w:ascii="仿宋" w:hAnsi="仿宋" w:eastAsia="仿宋" w:cs="仿宋"/>
          <w:sz w:val="32"/>
          <w:szCs w:val="32"/>
        </w:rPr>
        <w:t>未存在因预算执行合规与否、快慢情况直接影响绩效产出目标的实现的情况。</w:t>
      </w:r>
    </w:p>
    <w:p w14:paraId="7F96F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本年度决算数与上年度决算数对比，</w:t>
      </w:r>
      <w:r>
        <w:rPr>
          <w:rFonts w:hint="eastAsia" w:ascii="仿宋" w:hAnsi="仿宋" w:eastAsia="仿宋" w:cs="仿宋"/>
          <w:b/>
          <w:bCs/>
          <w:sz w:val="32"/>
          <w:szCs w:val="32"/>
          <w:lang w:val="en-US" w:eastAsia="zh-CN"/>
        </w:rPr>
        <w:t>支出</w:t>
      </w:r>
      <w:r>
        <w:rPr>
          <w:rFonts w:hint="eastAsia" w:ascii="仿宋" w:hAnsi="仿宋" w:eastAsia="仿宋" w:cs="仿宋"/>
          <w:b/>
          <w:bCs/>
          <w:sz w:val="32"/>
          <w:szCs w:val="32"/>
          <w:lang w:eastAsia="zh-CN"/>
        </w:rPr>
        <w:t>增加</w:t>
      </w:r>
      <w:r>
        <w:rPr>
          <w:rFonts w:hint="eastAsia" w:ascii="仿宋" w:hAnsi="仿宋" w:eastAsia="仿宋" w:cs="仿宋"/>
          <w:b/>
          <w:bCs/>
          <w:sz w:val="32"/>
          <w:szCs w:val="32"/>
          <w:lang w:val="en-US" w:eastAsia="zh-CN"/>
        </w:rPr>
        <w:t>33.95%</w:t>
      </w:r>
      <w:r>
        <w:rPr>
          <w:rFonts w:hint="eastAsia" w:ascii="仿宋" w:hAnsi="仿宋" w:eastAsia="仿宋" w:cs="仿宋"/>
          <w:b/>
          <w:bCs/>
          <w:sz w:val="32"/>
          <w:szCs w:val="32"/>
        </w:rPr>
        <w:t>：</w:t>
      </w:r>
      <w:r>
        <w:rPr>
          <w:rFonts w:hint="eastAsia" w:ascii="仿宋" w:hAnsi="仿宋" w:eastAsia="仿宋" w:cs="仿宋"/>
          <w:sz w:val="32"/>
          <w:szCs w:val="32"/>
        </w:rPr>
        <w:t>具体明细见下表：</w:t>
      </w:r>
    </w:p>
    <w:tbl>
      <w:tblPr>
        <w:tblStyle w:val="13"/>
        <w:tblW w:w="8637" w:type="dxa"/>
        <w:tblInd w:w="93" w:type="dxa"/>
        <w:tblLayout w:type="fixed"/>
        <w:tblCellMar>
          <w:top w:w="0" w:type="dxa"/>
          <w:left w:w="108" w:type="dxa"/>
          <w:bottom w:w="0" w:type="dxa"/>
          <w:right w:w="108" w:type="dxa"/>
        </w:tblCellMar>
      </w:tblPr>
      <w:tblGrid>
        <w:gridCol w:w="2694"/>
        <w:gridCol w:w="1556"/>
        <w:gridCol w:w="1556"/>
        <w:gridCol w:w="1688"/>
        <w:gridCol w:w="1143"/>
      </w:tblGrid>
      <w:tr w14:paraId="30E4EA10">
        <w:tblPrEx>
          <w:tblCellMar>
            <w:top w:w="0" w:type="dxa"/>
            <w:left w:w="108" w:type="dxa"/>
            <w:bottom w:w="0" w:type="dxa"/>
            <w:right w:w="108" w:type="dxa"/>
          </w:tblCellMar>
        </w:tblPrEx>
        <w:trPr>
          <w:trHeight w:val="332" w:hRule="atLeast"/>
          <w:tblHeader/>
        </w:trPr>
        <w:tc>
          <w:tcPr>
            <w:tcW w:w="2694" w:type="dxa"/>
            <w:vMerge w:val="restart"/>
            <w:tcBorders>
              <w:top w:val="single" w:color="auto" w:sz="4" w:space="0"/>
              <w:left w:val="single" w:color="auto" w:sz="4" w:space="0"/>
              <w:bottom w:val="single" w:color="auto" w:sz="4" w:space="0"/>
              <w:right w:val="single" w:color="auto" w:sz="4" w:space="0"/>
            </w:tcBorders>
            <w:noWrap/>
            <w:vAlign w:val="center"/>
          </w:tcPr>
          <w:p w14:paraId="5CBC727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    标</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447F9EC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本年度</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6EFB6C4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上年度</w:t>
            </w:r>
          </w:p>
        </w:tc>
        <w:tc>
          <w:tcPr>
            <w:tcW w:w="1688" w:type="dxa"/>
            <w:vMerge w:val="restart"/>
            <w:tcBorders>
              <w:top w:val="single" w:color="auto" w:sz="4" w:space="0"/>
              <w:left w:val="single" w:color="auto" w:sz="4" w:space="0"/>
              <w:bottom w:val="single" w:color="auto" w:sz="4" w:space="0"/>
              <w:right w:val="single" w:color="auto" w:sz="4" w:space="0"/>
            </w:tcBorders>
            <w:noWrap/>
            <w:vAlign w:val="center"/>
          </w:tcPr>
          <w:p w14:paraId="3E75787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比上年增减</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14:paraId="3B9A7E1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增减％</w:t>
            </w:r>
          </w:p>
        </w:tc>
      </w:tr>
      <w:tr w14:paraId="3161EC32">
        <w:tblPrEx>
          <w:tblCellMar>
            <w:top w:w="0" w:type="dxa"/>
            <w:left w:w="108" w:type="dxa"/>
            <w:bottom w:w="0" w:type="dxa"/>
            <w:right w:w="108" w:type="dxa"/>
          </w:tblCellMar>
        </w:tblPrEx>
        <w:trPr>
          <w:trHeight w:val="332" w:hRule="atLeast"/>
          <w:tblHeader/>
        </w:trPr>
        <w:tc>
          <w:tcPr>
            <w:tcW w:w="2694" w:type="dxa"/>
            <w:vMerge w:val="continue"/>
            <w:tcBorders>
              <w:top w:val="single" w:color="auto" w:sz="4" w:space="0"/>
              <w:left w:val="single" w:color="auto" w:sz="4" w:space="0"/>
              <w:bottom w:val="single" w:color="auto" w:sz="4" w:space="0"/>
              <w:right w:val="single" w:color="auto" w:sz="4" w:space="0"/>
            </w:tcBorders>
            <w:noWrap/>
            <w:vAlign w:val="center"/>
          </w:tcPr>
          <w:p w14:paraId="58F4453F">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2E116F22">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6DE13EBF">
            <w:pPr>
              <w:jc w:val="center"/>
              <w:rPr>
                <w:rFonts w:hint="eastAsia" w:ascii="宋体" w:hAnsi="宋体" w:eastAsia="宋体" w:cs="宋体"/>
                <w:color w:val="000000"/>
                <w:sz w:val="22"/>
                <w:szCs w:val="22"/>
              </w:rPr>
            </w:pPr>
          </w:p>
        </w:tc>
        <w:tc>
          <w:tcPr>
            <w:tcW w:w="1688" w:type="dxa"/>
            <w:vMerge w:val="continue"/>
            <w:tcBorders>
              <w:top w:val="single" w:color="auto" w:sz="4" w:space="0"/>
              <w:left w:val="single" w:color="auto" w:sz="4" w:space="0"/>
              <w:bottom w:val="single" w:color="auto" w:sz="4" w:space="0"/>
              <w:right w:val="single" w:color="auto" w:sz="4" w:space="0"/>
            </w:tcBorders>
            <w:noWrap/>
            <w:vAlign w:val="center"/>
          </w:tcPr>
          <w:p w14:paraId="75310597">
            <w:pPr>
              <w:jc w:val="center"/>
              <w:rPr>
                <w:rFonts w:hint="eastAsia" w:ascii="宋体" w:hAnsi="宋体" w:eastAsia="宋体" w:cs="宋体"/>
                <w:color w:val="000000"/>
                <w:sz w:val="22"/>
                <w:szCs w:val="22"/>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14:paraId="74B07ABF">
            <w:pPr>
              <w:jc w:val="center"/>
              <w:rPr>
                <w:rFonts w:hint="eastAsia" w:ascii="宋体" w:hAnsi="宋体" w:eastAsia="宋体" w:cs="宋体"/>
                <w:color w:val="000000"/>
                <w:sz w:val="22"/>
                <w:szCs w:val="22"/>
              </w:rPr>
            </w:pPr>
          </w:p>
        </w:tc>
      </w:tr>
      <w:tr w14:paraId="14B187C8">
        <w:tblPrEx>
          <w:tblCellMar>
            <w:top w:w="0" w:type="dxa"/>
            <w:left w:w="108" w:type="dxa"/>
            <w:bottom w:w="0" w:type="dxa"/>
            <w:right w:w="108" w:type="dxa"/>
          </w:tblCellMar>
        </w:tblPrEx>
        <w:trPr>
          <w:trHeight w:val="285" w:hRule="atLeast"/>
          <w:tblHeader/>
        </w:trPr>
        <w:tc>
          <w:tcPr>
            <w:tcW w:w="2694" w:type="dxa"/>
            <w:tcBorders>
              <w:top w:val="single" w:color="auto" w:sz="4" w:space="0"/>
              <w:left w:val="single" w:color="auto" w:sz="4" w:space="0"/>
              <w:bottom w:val="single" w:color="auto" w:sz="4" w:space="0"/>
              <w:right w:val="single" w:color="auto" w:sz="4" w:space="0"/>
            </w:tcBorders>
            <w:noWrap/>
            <w:vAlign w:val="center"/>
          </w:tcPr>
          <w:p w14:paraId="14AF08E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栏    次</w:t>
            </w:r>
          </w:p>
        </w:tc>
        <w:tc>
          <w:tcPr>
            <w:tcW w:w="1556" w:type="dxa"/>
            <w:tcBorders>
              <w:top w:val="single" w:color="auto" w:sz="4" w:space="0"/>
              <w:left w:val="single" w:color="auto" w:sz="4" w:space="0"/>
              <w:bottom w:val="single" w:color="auto" w:sz="4" w:space="0"/>
              <w:right w:val="single" w:color="auto" w:sz="4" w:space="0"/>
            </w:tcBorders>
            <w:noWrap/>
            <w:vAlign w:val="center"/>
          </w:tcPr>
          <w:p w14:paraId="19F5CF2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1556" w:type="dxa"/>
            <w:tcBorders>
              <w:top w:val="single" w:color="auto" w:sz="4" w:space="0"/>
              <w:left w:val="single" w:color="auto" w:sz="4" w:space="0"/>
              <w:bottom w:val="single" w:color="auto" w:sz="4" w:space="0"/>
              <w:right w:val="single" w:color="auto" w:sz="4" w:space="0"/>
            </w:tcBorders>
            <w:noWrap/>
            <w:vAlign w:val="center"/>
          </w:tcPr>
          <w:p w14:paraId="0619C6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688" w:type="dxa"/>
            <w:tcBorders>
              <w:top w:val="single" w:color="auto" w:sz="4" w:space="0"/>
              <w:left w:val="single" w:color="auto" w:sz="4" w:space="0"/>
              <w:bottom w:val="single" w:color="auto" w:sz="4" w:space="0"/>
              <w:right w:val="single" w:color="auto" w:sz="4" w:space="0"/>
            </w:tcBorders>
            <w:noWrap/>
            <w:vAlign w:val="center"/>
          </w:tcPr>
          <w:p w14:paraId="25EE099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1143" w:type="dxa"/>
            <w:tcBorders>
              <w:top w:val="single" w:color="auto" w:sz="4" w:space="0"/>
              <w:left w:val="single" w:color="auto" w:sz="4" w:space="0"/>
              <w:bottom w:val="single" w:color="auto" w:sz="4" w:space="0"/>
              <w:right w:val="single" w:color="auto" w:sz="4" w:space="0"/>
            </w:tcBorders>
            <w:noWrap/>
            <w:vAlign w:val="center"/>
          </w:tcPr>
          <w:p w14:paraId="37F387E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r>
      <w:tr w14:paraId="289EB78B">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9B2B57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一、年度收支情况（单位：元）</w:t>
            </w:r>
          </w:p>
        </w:tc>
        <w:tc>
          <w:tcPr>
            <w:tcW w:w="1556" w:type="dxa"/>
            <w:tcBorders>
              <w:top w:val="single" w:color="auto" w:sz="4" w:space="0"/>
              <w:left w:val="single" w:color="auto" w:sz="4" w:space="0"/>
              <w:bottom w:val="single" w:color="auto" w:sz="4" w:space="0"/>
              <w:right w:val="single" w:color="auto" w:sz="4" w:space="0"/>
            </w:tcBorders>
            <w:noWrap/>
            <w:vAlign w:val="center"/>
          </w:tcPr>
          <w:p w14:paraId="57E927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26AB56F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688" w:type="dxa"/>
            <w:tcBorders>
              <w:top w:val="single" w:color="auto" w:sz="4" w:space="0"/>
              <w:left w:val="single" w:color="auto" w:sz="4" w:space="0"/>
              <w:bottom w:val="single" w:color="auto" w:sz="4" w:space="0"/>
              <w:right w:val="single" w:color="auto" w:sz="4" w:space="0"/>
            </w:tcBorders>
            <w:noWrap/>
            <w:vAlign w:val="center"/>
          </w:tcPr>
          <w:p w14:paraId="16347AC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143" w:type="dxa"/>
            <w:tcBorders>
              <w:top w:val="single" w:color="auto" w:sz="4" w:space="0"/>
              <w:left w:val="single" w:color="auto" w:sz="4" w:space="0"/>
              <w:bottom w:val="single" w:color="auto" w:sz="4" w:space="0"/>
              <w:right w:val="single" w:color="auto" w:sz="4" w:space="0"/>
            </w:tcBorders>
            <w:noWrap/>
            <w:vAlign w:val="center"/>
          </w:tcPr>
          <w:p w14:paraId="7657FD5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r>
      <w:tr w14:paraId="1BAC9482">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BF407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1.本年收入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0BC3D4E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586,105.05</w:t>
            </w:r>
          </w:p>
        </w:tc>
        <w:tc>
          <w:tcPr>
            <w:tcW w:w="1556" w:type="dxa"/>
            <w:tcBorders>
              <w:top w:val="single" w:color="auto" w:sz="4" w:space="0"/>
              <w:left w:val="single" w:color="auto" w:sz="4" w:space="0"/>
              <w:bottom w:val="single" w:color="auto" w:sz="4" w:space="0"/>
              <w:right w:val="single" w:color="auto" w:sz="4" w:space="0"/>
            </w:tcBorders>
            <w:noWrap/>
            <w:vAlign w:val="center"/>
          </w:tcPr>
          <w:p w14:paraId="72CAE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437,540.89</w:t>
            </w:r>
          </w:p>
        </w:tc>
        <w:tc>
          <w:tcPr>
            <w:tcW w:w="1688" w:type="dxa"/>
            <w:tcBorders>
              <w:top w:val="single" w:color="auto" w:sz="4" w:space="0"/>
              <w:left w:val="single" w:color="auto" w:sz="4" w:space="0"/>
              <w:bottom w:val="single" w:color="auto" w:sz="4" w:space="0"/>
              <w:right w:val="single" w:color="auto" w:sz="4" w:space="0"/>
            </w:tcBorders>
            <w:noWrap/>
            <w:vAlign w:val="center"/>
          </w:tcPr>
          <w:p w14:paraId="6C361D8F">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148,564.16</w:t>
            </w:r>
          </w:p>
        </w:tc>
        <w:tc>
          <w:tcPr>
            <w:tcW w:w="1143" w:type="dxa"/>
            <w:tcBorders>
              <w:top w:val="single" w:color="auto" w:sz="4" w:space="0"/>
              <w:left w:val="single" w:color="auto" w:sz="4" w:space="0"/>
              <w:bottom w:val="single" w:color="auto" w:sz="4" w:space="0"/>
              <w:right w:val="single" w:color="auto" w:sz="4" w:space="0"/>
            </w:tcBorders>
            <w:noWrap/>
            <w:vAlign w:val="center"/>
          </w:tcPr>
          <w:p w14:paraId="7318DB9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33.95</w:t>
            </w:r>
          </w:p>
        </w:tc>
      </w:tr>
      <w:tr w14:paraId="2EB3EBF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CA0DA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其中：一般公共预算财政拨款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507B868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534,756.25</w:t>
            </w:r>
          </w:p>
        </w:tc>
        <w:tc>
          <w:tcPr>
            <w:tcW w:w="1556" w:type="dxa"/>
            <w:tcBorders>
              <w:top w:val="single" w:color="auto" w:sz="4" w:space="0"/>
              <w:left w:val="single" w:color="auto" w:sz="4" w:space="0"/>
              <w:bottom w:val="single" w:color="auto" w:sz="4" w:space="0"/>
              <w:right w:val="single" w:color="auto" w:sz="4" w:space="0"/>
            </w:tcBorders>
            <w:noWrap/>
            <w:vAlign w:val="center"/>
          </w:tcPr>
          <w:p w14:paraId="2DE3E8D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386,474.53</w:t>
            </w:r>
          </w:p>
        </w:tc>
        <w:tc>
          <w:tcPr>
            <w:tcW w:w="1688" w:type="dxa"/>
            <w:tcBorders>
              <w:top w:val="single" w:color="auto" w:sz="4" w:space="0"/>
              <w:left w:val="single" w:color="auto" w:sz="4" w:space="0"/>
              <w:bottom w:val="single" w:color="auto" w:sz="4" w:space="0"/>
              <w:right w:val="single" w:color="auto" w:sz="4" w:space="0"/>
            </w:tcBorders>
            <w:noWrap/>
            <w:vAlign w:val="center"/>
          </w:tcPr>
          <w:p w14:paraId="1B68621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148,281.72</w:t>
            </w:r>
          </w:p>
        </w:tc>
        <w:tc>
          <w:tcPr>
            <w:tcW w:w="1143" w:type="dxa"/>
            <w:tcBorders>
              <w:top w:val="single" w:color="auto" w:sz="4" w:space="0"/>
              <w:left w:val="single" w:color="auto" w:sz="4" w:space="0"/>
              <w:bottom w:val="single" w:color="auto" w:sz="4" w:space="0"/>
              <w:right w:val="single" w:color="auto" w:sz="4" w:space="0"/>
            </w:tcBorders>
            <w:noWrap/>
            <w:vAlign w:val="center"/>
          </w:tcPr>
          <w:p w14:paraId="0E88BC7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38.37</w:t>
            </w:r>
          </w:p>
        </w:tc>
      </w:tr>
      <w:tr w14:paraId="293F5D96">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77033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政府性基金预算财政拨款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671CE7D">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0B6ED8">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CA841B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7DEDDCDF">
            <w:pPr>
              <w:jc w:val="right"/>
              <w:rPr>
                <w:rFonts w:hint="eastAsia" w:ascii="宋体" w:hAnsi="宋体" w:eastAsia="宋体" w:cs="宋体"/>
                <w:color w:val="000000"/>
                <w:sz w:val="22"/>
                <w:szCs w:val="22"/>
              </w:rPr>
            </w:pPr>
          </w:p>
        </w:tc>
      </w:tr>
      <w:tr w14:paraId="31EEAA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EF5FFA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国有资本经营预算财政拨款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E5DCAC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38891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6EEE5B5">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35EF21C1">
            <w:pPr>
              <w:jc w:val="right"/>
              <w:rPr>
                <w:rFonts w:hint="eastAsia" w:ascii="宋体" w:hAnsi="宋体" w:eastAsia="宋体" w:cs="宋体"/>
                <w:color w:val="000000"/>
                <w:sz w:val="22"/>
                <w:szCs w:val="22"/>
              </w:rPr>
            </w:pPr>
          </w:p>
        </w:tc>
      </w:tr>
      <w:tr w14:paraId="0DC048D8">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C02671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733AD8A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95F74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B3B2CD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4833FEBC">
            <w:pPr>
              <w:jc w:val="right"/>
              <w:rPr>
                <w:rFonts w:hint="eastAsia" w:ascii="宋体" w:hAnsi="宋体" w:eastAsia="宋体" w:cs="宋体"/>
                <w:color w:val="000000"/>
                <w:sz w:val="22"/>
                <w:szCs w:val="22"/>
              </w:rPr>
            </w:pPr>
          </w:p>
        </w:tc>
      </w:tr>
      <w:tr w14:paraId="0C14E10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4B732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2308F82B">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25475D">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732F8809">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0182A587">
            <w:pPr>
              <w:jc w:val="right"/>
              <w:rPr>
                <w:rFonts w:hint="eastAsia" w:ascii="宋体" w:hAnsi="宋体" w:eastAsia="宋体" w:cs="宋体"/>
                <w:color w:val="000000"/>
                <w:sz w:val="22"/>
                <w:szCs w:val="22"/>
              </w:rPr>
            </w:pPr>
          </w:p>
        </w:tc>
      </w:tr>
      <w:tr w14:paraId="4B7EDD8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809406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*其他收入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35F88E9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51,348.80</w:t>
            </w:r>
          </w:p>
        </w:tc>
        <w:tc>
          <w:tcPr>
            <w:tcW w:w="1556" w:type="dxa"/>
            <w:tcBorders>
              <w:top w:val="single" w:color="auto" w:sz="4" w:space="0"/>
              <w:left w:val="single" w:color="auto" w:sz="4" w:space="0"/>
              <w:bottom w:val="single" w:color="auto" w:sz="4" w:space="0"/>
              <w:right w:val="single" w:color="auto" w:sz="4" w:space="0"/>
            </w:tcBorders>
            <w:noWrap/>
            <w:vAlign w:val="center"/>
          </w:tcPr>
          <w:p w14:paraId="1B840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51,066.36</w:t>
            </w:r>
          </w:p>
        </w:tc>
        <w:tc>
          <w:tcPr>
            <w:tcW w:w="1688" w:type="dxa"/>
            <w:tcBorders>
              <w:top w:val="single" w:color="auto" w:sz="4" w:space="0"/>
              <w:left w:val="single" w:color="auto" w:sz="4" w:space="0"/>
              <w:bottom w:val="single" w:color="auto" w:sz="4" w:space="0"/>
              <w:right w:val="single" w:color="auto" w:sz="4" w:space="0"/>
            </w:tcBorders>
            <w:noWrap/>
            <w:vAlign w:val="center"/>
          </w:tcPr>
          <w:p w14:paraId="32369ED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282.44</w:t>
            </w:r>
          </w:p>
        </w:tc>
        <w:tc>
          <w:tcPr>
            <w:tcW w:w="1143" w:type="dxa"/>
            <w:tcBorders>
              <w:top w:val="single" w:color="auto" w:sz="4" w:space="0"/>
              <w:left w:val="single" w:color="auto" w:sz="4" w:space="0"/>
              <w:bottom w:val="single" w:color="auto" w:sz="4" w:space="0"/>
              <w:right w:val="single" w:color="auto" w:sz="4" w:space="0"/>
            </w:tcBorders>
            <w:noWrap/>
            <w:vAlign w:val="center"/>
          </w:tcPr>
          <w:p w14:paraId="7478707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0.55</w:t>
            </w:r>
          </w:p>
        </w:tc>
      </w:tr>
      <w:tr w14:paraId="0E82ABC3">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5D0506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2.本年支出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4E90EC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586,105.05</w:t>
            </w:r>
          </w:p>
        </w:tc>
        <w:tc>
          <w:tcPr>
            <w:tcW w:w="1556" w:type="dxa"/>
            <w:tcBorders>
              <w:top w:val="single" w:color="auto" w:sz="4" w:space="0"/>
              <w:left w:val="single" w:color="auto" w:sz="4" w:space="0"/>
              <w:bottom w:val="single" w:color="auto" w:sz="4" w:space="0"/>
              <w:right w:val="single" w:color="auto" w:sz="4" w:space="0"/>
            </w:tcBorders>
            <w:noWrap/>
            <w:vAlign w:val="center"/>
          </w:tcPr>
          <w:p w14:paraId="1BE94C2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437,540.89</w:t>
            </w:r>
          </w:p>
        </w:tc>
        <w:tc>
          <w:tcPr>
            <w:tcW w:w="1688" w:type="dxa"/>
            <w:tcBorders>
              <w:top w:val="single" w:color="auto" w:sz="4" w:space="0"/>
              <w:left w:val="single" w:color="auto" w:sz="4" w:space="0"/>
              <w:bottom w:val="single" w:color="auto" w:sz="4" w:space="0"/>
              <w:right w:val="single" w:color="auto" w:sz="4" w:space="0"/>
            </w:tcBorders>
            <w:noWrap/>
            <w:vAlign w:val="center"/>
          </w:tcPr>
          <w:p w14:paraId="601B35C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148,564.16</w:t>
            </w:r>
          </w:p>
        </w:tc>
        <w:tc>
          <w:tcPr>
            <w:tcW w:w="1143" w:type="dxa"/>
            <w:tcBorders>
              <w:top w:val="single" w:color="auto" w:sz="4" w:space="0"/>
              <w:left w:val="single" w:color="auto" w:sz="4" w:space="0"/>
              <w:bottom w:val="single" w:color="auto" w:sz="4" w:space="0"/>
              <w:right w:val="single" w:color="auto" w:sz="4" w:space="0"/>
            </w:tcBorders>
            <w:noWrap/>
            <w:vAlign w:val="center"/>
          </w:tcPr>
          <w:p w14:paraId="0EEBFE2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33.95</w:t>
            </w:r>
          </w:p>
        </w:tc>
      </w:tr>
      <w:tr w14:paraId="088492FD">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04202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其中：基本支出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7521026">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295,389.71</w:t>
            </w:r>
          </w:p>
        </w:tc>
        <w:tc>
          <w:tcPr>
            <w:tcW w:w="1556" w:type="dxa"/>
            <w:tcBorders>
              <w:top w:val="single" w:color="auto" w:sz="4" w:space="0"/>
              <w:left w:val="single" w:color="auto" w:sz="4" w:space="0"/>
              <w:bottom w:val="single" w:color="auto" w:sz="4" w:space="0"/>
              <w:right w:val="single" w:color="auto" w:sz="4" w:space="0"/>
            </w:tcBorders>
            <w:noWrap/>
            <w:vAlign w:val="center"/>
          </w:tcPr>
          <w:p w14:paraId="12423A1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188,395.94</w:t>
            </w:r>
          </w:p>
        </w:tc>
        <w:tc>
          <w:tcPr>
            <w:tcW w:w="1688" w:type="dxa"/>
            <w:tcBorders>
              <w:top w:val="single" w:color="auto" w:sz="4" w:space="0"/>
              <w:left w:val="single" w:color="auto" w:sz="4" w:space="0"/>
              <w:bottom w:val="single" w:color="auto" w:sz="4" w:space="0"/>
              <w:right w:val="single" w:color="auto" w:sz="4" w:space="0"/>
            </w:tcBorders>
            <w:noWrap/>
            <w:vAlign w:val="center"/>
          </w:tcPr>
          <w:p w14:paraId="11BAD48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106,993.77</w:t>
            </w:r>
          </w:p>
        </w:tc>
        <w:tc>
          <w:tcPr>
            <w:tcW w:w="1143" w:type="dxa"/>
            <w:tcBorders>
              <w:top w:val="single" w:color="auto" w:sz="4" w:space="0"/>
              <w:left w:val="single" w:color="auto" w:sz="4" w:space="0"/>
              <w:bottom w:val="single" w:color="auto" w:sz="4" w:space="0"/>
              <w:right w:val="single" w:color="auto" w:sz="4" w:space="0"/>
            </w:tcBorders>
            <w:noWrap/>
            <w:vAlign w:val="center"/>
          </w:tcPr>
          <w:p w14:paraId="4779036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56.79</w:t>
            </w:r>
          </w:p>
        </w:tc>
      </w:tr>
      <w:tr w14:paraId="1566A1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1079E1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（1）人员经费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7C48E2A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276,841.91</w:t>
            </w:r>
          </w:p>
        </w:tc>
        <w:tc>
          <w:tcPr>
            <w:tcW w:w="1556" w:type="dxa"/>
            <w:tcBorders>
              <w:top w:val="single" w:color="auto" w:sz="4" w:space="0"/>
              <w:left w:val="single" w:color="auto" w:sz="4" w:space="0"/>
              <w:bottom w:val="single" w:color="auto" w:sz="4" w:space="0"/>
              <w:right w:val="single" w:color="auto" w:sz="4" w:space="0"/>
            </w:tcBorders>
            <w:noWrap/>
            <w:vAlign w:val="center"/>
          </w:tcPr>
          <w:p w14:paraId="132CC62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173,380.94</w:t>
            </w:r>
          </w:p>
        </w:tc>
        <w:tc>
          <w:tcPr>
            <w:tcW w:w="1688" w:type="dxa"/>
            <w:tcBorders>
              <w:top w:val="single" w:color="auto" w:sz="4" w:space="0"/>
              <w:left w:val="single" w:color="auto" w:sz="4" w:space="0"/>
              <w:bottom w:val="single" w:color="auto" w:sz="4" w:space="0"/>
              <w:right w:val="single" w:color="auto" w:sz="4" w:space="0"/>
            </w:tcBorders>
            <w:noWrap/>
            <w:vAlign w:val="center"/>
          </w:tcPr>
          <w:p w14:paraId="37BAFF7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103,460.97</w:t>
            </w:r>
          </w:p>
        </w:tc>
        <w:tc>
          <w:tcPr>
            <w:tcW w:w="1143" w:type="dxa"/>
            <w:tcBorders>
              <w:top w:val="single" w:color="auto" w:sz="4" w:space="0"/>
              <w:left w:val="single" w:color="auto" w:sz="4" w:space="0"/>
              <w:bottom w:val="single" w:color="auto" w:sz="4" w:space="0"/>
              <w:right w:val="single" w:color="auto" w:sz="4" w:space="0"/>
            </w:tcBorders>
            <w:noWrap/>
            <w:vAlign w:val="center"/>
          </w:tcPr>
          <w:p w14:paraId="1BE759A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59.67</w:t>
            </w:r>
          </w:p>
        </w:tc>
      </w:tr>
      <w:tr w14:paraId="0E6CB045">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D410D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（2）公用经费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63C18A6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18,547.80</w:t>
            </w:r>
          </w:p>
        </w:tc>
        <w:tc>
          <w:tcPr>
            <w:tcW w:w="1556" w:type="dxa"/>
            <w:tcBorders>
              <w:top w:val="single" w:color="auto" w:sz="4" w:space="0"/>
              <w:left w:val="single" w:color="auto" w:sz="4" w:space="0"/>
              <w:bottom w:val="single" w:color="auto" w:sz="4" w:space="0"/>
              <w:right w:val="single" w:color="auto" w:sz="4" w:space="0"/>
            </w:tcBorders>
            <w:noWrap/>
            <w:vAlign w:val="center"/>
          </w:tcPr>
          <w:p w14:paraId="12E885A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15,015.00</w:t>
            </w:r>
          </w:p>
        </w:tc>
        <w:tc>
          <w:tcPr>
            <w:tcW w:w="1688" w:type="dxa"/>
            <w:tcBorders>
              <w:top w:val="single" w:color="auto" w:sz="4" w:space="0"/>
              <w:left w:val="single" w:color="auto" w:sz="4" w:space="0"/>
              <w:bottom w:val="single" w:color="auto" w:sz="4" w:space="0"/>
              <w:right w:val="single" w:color="auto" w:sz="4" w:space="0"/>
            </w:tcBorders>
            <w:noWrap/>
            <w:vAlign w:val="center"/>
          </w:tcPr>
          <w:p w14:paraId="7D5C8D3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3,532.80</w:t>
            </w:r>
          </w:p>
        </w:tc>
        <w:tc>
          <w:tcPr>
            <w:tcW w:w="1143" w:type="dxa"/>
            <w:tcBorders>
              <w:top w:val="single" w:color="auto" w:sz="4" w:space="0"/>
              <w:left w:val="single" w:color="auto" w:sz="4" w:space="0"/>
              <w:bottom w:val="single" w:color="auto" w:sz="4" w:space="0"/>
              <w:right w:val="single" w:color="auto" w:sz="4" w:space="0"/>
            </w:tcBorders>
            <w:noWrap/>
            <w:vAlign w:val="center"/>
          </w:tcPr>
          <w:p w14:paraId="62A27B9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23.53</w:t>
            </w:r>
          </w:p>
        </w:tc>
      </w:tr>
      <w:tr w14:paraId="789E203C">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AB2FB1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项目支出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F56974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290,715.34</w:t>
            </w:r>
          </w:p>
        </w:tc>
        <w:tc>
          <w:tcPr>
            <w:tcW w:w="1556" w:type="dxa"/>
            <w:tcBorders>
              <w:top w:val="single" w:color="auto" w:sz="4" w:space="0"/>
              <w:left w:val="single" w:color="auto" w:sz="4" w:space="0"/>
              <w:bottom w:val="single" w:color="auto" w:sz="4" w:space="0"/>
              <w:right w:val="single" w:color="auto" w:sz="4" w:space="0"/>
            </w:tcBorders>
            <w:noWrap/>
            <w:vAlign w:val="center"/>
          </w:tcPr>
          <w:p w14:paraId="77F5C85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249,144.95</w:t>
            </w:r>
          </w:p>
        </w:tc>
        <w:tc>
          <w:tcPr>
            <w:tcW w:w="1688" w:type="dxa"/>
            <w:tcBorders>
              <w:top w:val="single" w:color="auto" w:sz="4" w:space="0"/>
              <w:left w:val="single" w:color="auto" w:sz="4" w:space="0"/>
              <w:bottom w:val="single" w:color="auto" w:sz="4" w:space="0"/>
              <w:right w:val="single" w:color="auto" w:sz="4" w:space="0"/>
            </w:tcBorders>
            <w:noWrap/>
            <w:vAlign w:val="center"/>
          </w:tcPr>
          <w:p w14:paraId="2B12C99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41,570.39</w:t>
            </w:r>
          </w:p>
        </w:tc>
        <w:tc>
          <w:tcPr>
            <w:tcW w:w="1143" w:type="dxa"/>
            <w:tcBorders>
              <w:top w:val="single" w:color="auto" w:sz="4" w:space="0"/>
              <w:left w:val="single" w:color="auto" w:sz="4" w:space="0"/>
              <w:bottom w:val="single" w:color="auto" w:sz="4" w:space="0"/>
              <w:right w:val="single" w:color="auto" w:sz="4" w:space="0"/>
            </w:tcBorders>
            <w:noWrap/>
            <w:vAlign w:val="center"/>
          </w:tcPr>
          <w:p w14:paraId="0ACD14A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16.69</w:t>
            </w:r>
          </w:p>
        </w:tc>
      </w:tr>
      <w:tr w14:paraId="1F7A4782">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547884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其中：基本建设类项目</w:t>
            </w:r>
          </w:p>
        </w:tc>
        <w:tc>
          <w:tcPr>
            <w:tcW w:w="1556" w:type="dxa"/>
            <w:tcBorders>
              <w:top w:val="single" w:color="auto" w:sz="4" w:space="0"/>
              <w:left w:val="single" w:color="auto" w:sz="4" w:space="0"/>
              <w:bottom w:val="single" w:color="auto" w:sz="4" w:space="0"/>
              <w:right w:val="single" w:color="auto" w:sz="4" w:space="0"/>
            </w:tcBorders>
            <w:noWrap/>
            <w:vAlign w:val="center"/>
          </w:tcPr>
          <w:p w14:paraId="04439D41">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F48674">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FD6E0B1">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176A3E4">
            <w:pPr>
              <w:jc w:val="right"/>
              <w:rPr>
                <w:rFonts w:hint="eastAsia" w:ascii="宋体" w:hAnsi="宋体" w:eastAsia="宋体" w:cs="宋体"/>
                <w:color w:val="000000"/>
                <w:sz w:val="22"/>
                <w:szCs w:val="22"/>
              </w:rPr>
            </w:pPr>
          </w:p>
        </w:tc>
      </w:tr>
    </w:tbl>
    <w:p w14:paraId="5041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bookmarkStart w:id="94" w:name="_Toc24459"/>
      <w:bookmarkStart w:id="95" w:name="_Toc11450"/>
      <w:bookmarkStart w:id="96" w:name="_Toc31982"/>
      <w:r>
        <w:rPr>
          <w:rFonts w:hint="eastAsia" w:ascii="仿宋" w:hAnsi="仿宋" w:eastAsia="仿宋" w:cs="仿宋"/>
          <w:b/>
          <w:bCs/>
          <w:sz w:val="32"/>
          <w:szCs w:val="32"/>
          <w:lang w:val="en-US" w:eastAsia="zh-CN" w:bidi="ar-SA"/>
        </w:rPr>
        <w:t>（6）本年度全年预算数、账套数、决算数、重分类决算数汇总对比表列示如下：</w:t>
      </w:r>
      <w:bookmarkEnd w:id="94"/>
      <w:bookmarkEnd w:id="95"/>
    </w:p>
    <w:tbl>
      <w:tblPr>
        <w:tblStyle w:val="13"/>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8"/>
        <w:gridCol w:w="1594"/>
        <w:gridCol w:w="1676"/>
        <w:gridCol w:w="1757"/>
        <w:gridCol w:w="1479"/>
      </w:tblGrid>
      <w:tr w14:paraId="2640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118"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B4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594" w:type="dxa"/>
            <w:tcBorders>
              <w:top w:val="single" w:color="000000" w:sz="8" w:space="0"/>
              <w:left w:val="nil"/>
              <w:bottom w:val="single" w:color="000000" w:sz="8" w:space="0"/>
              <w:right w:val="single" w:color="000000" w:sz="8" w:space="0"/>
            </w:tcBorders>
            <w:shd w:val="clear" w:color="auto" w:fill="DDEBF7"/>
            <w:noWrap/>
            <w:vAlign w:val="center"/>
          </w:tcPr>
          <w:p w14:paraId="24F6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全年预算数（元）</w:t>
            </w:r>
          </w:p>
        </w:tc>
        <w:tc>
          <w:tcPr>
            <w:tcW w:w="1676" w:type="dxa"/>
            <w:tcBorders>
              <w:top w:val="single" w:color="000000" w:sz="8" w:space="0"/>
              <w:left w:val="nil"/>
              <w:bottom w:val="single" w:color="000000" w:sz="8" w:space="0"/>
              <w:right w:val="single" w:color="000000" w:sz="8" w:space="0"/>
            </w:tcBorders>
            <w:shd w:val="clear" w:color="auto" w:fill="DDEBF7"/>
            <w:noWrap/>
            <w:vAlign w:val="center"/>
          </w:tcPr>
          <w:p w14:paraId="689D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决算数（元）</w:t>
            </w:r>
          </w:p>
        </w:tc>
        <w:tc>
          <w:tcPr>
            <w:tcW w:w="1757" w:type="dxa"/>
            <w:tcBorders>
              <w:top w:val="single" w:color="000000" w:sz="8" w:space="0"/>
              <w:left w:val="nil"/>
              <w:bottom w:val="single" w:color="000000" w:sz="8" w:space="0"/>
              <w:right w:val="single" w:color="000000" w:sz="8" w:space="0"/>
            </w:tcBorders>
            <w:shd w:val="clear" w:color="auto" w:fill="DDEBF7"/>
            <w:noWrap/>
            <w:vAlign w:val="center"/>
          </w:tcPr>
          <w:p w14:paraId="4176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账套数（元）</w:t>
            </w:r>
          </w:p>
        </w:tc>
        <w:tc>
          <w:tcPr>
            <w:tcW w:w="1479" w:type="dxa"/>
            <w:tcBorders>
              <w:top w:val="single" w:color="000000" w:sz="8" w:space="0"/>
              <w:left w:val="nil"/>
              <w:bottom w:val="single" w:color="000000" w:sz="8" w:space="0"/>
              <w:right w:val="single" w:color="000000" w:sz="8" w:space="0"/>
            </w:tcBorders>
            <w:shd w:val="clear" w:color="auto" w:fill="DDEBF7"/>
            <w:noWrap/>
            <w:vAlign w:val="center"/>
          </w:tcPr>
          <w:p w14:paraId="38FD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1F7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513E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594" w:type="dxa"/>
            <w:tcBorders>
              <w:top w:val="nil"/>
              <w:left w:val="nil"/>
              <w:bottom w:val="single" w:color="000000" w:sz="8" w:space="0"/>
              <w:right w:val="single" w:color="000000" w:sz="8" w:space="0"/>
            </w:tcBorders>
            <w:shd w:val="clear" w:color="auto" w:fill="auto"/>
            <w:noWrap/>
            <w:vAlign w:val="center"/>
          </w:tcPr>
          <w:p w14:paraId="39A4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269,089.71</w:t>
            </w:r>
          </w:p>
        </w:tc>
        <w:tc>
          <w:tcPr>
            <w:tcW w:w="1676" w:type="dxa"/>
            <w:tcBorders>
              <w:top w:val="nil"/>
              <w:left w:val="nil"/>
              <w:bottom w:val="single" w:color="000000" w:sz="8" w:space="0"/>
              <w:right w:val="single" w:color="000000" w:sz="8" w:space="0"/>
            </w:tcBorders>
            <w:shd w:val="clear" w:color="auto" w:fill="auto"/>
            <w:noWrap/>
            <w:vAlign w:val="center"/>
          </w:tcPr>
          <w:p w14:paraId="71C6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276,841.91</w:t>
            </w:r>
          </w:p>
        </w:tc>
        <w:tc>
          <w:tcPr>
            <w:tcW w:w="1757" w:type="dxa"/>
            <w:tcBorders>
              <w:top w:val="nil"/>
              <w:left w:val="nil"/>
              <w:bottom w:val="single" w:color="000000" w:sz="8" w:space="0"/>
              <w:right w:val="single" w:color="000000" w:sz="8" w:space="0"/>
            </w:tcBorders>
            <w:shd w:val="clear" w:color="auto" w:fill="auto"/>
            <w:noWrap/>
            <w:vAlign w:val="center"/>
          </w:tcPr>
          <w:p w14:paraId="50F8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274,147.98</w:t>
            </w:r>
          </w:p>
        </w:tc>
        <w:tc>
          <w:tcPr>
            <w:tcW w:w="1479" w:type="dxa"/>
            <w:tcBorders>
              <w:top w:val="nil"/>
              <w:left w:val="nil"/>
              <w:bottom w:val="single" w:color="000000" w:sz="8" w:space="0"/>
              <w:right w:val="single" w:color="000000" w:sz="8" w:space="0"/>
            </w:tcBorders>
            <w:shd w:val="clear" w:color="auto" w:fill="auto"/>
            <w:noWrap/>
            <w:vAlign w:val="center"/>
          </w:tcPr>
          <w:p w14:paraId="68579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347,540.75</w:t>
            </w:r>
          </w:p>
        </w:tc>
      </w:tr>
      <w:tr w14:paraId="5F84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7A84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594" w:type="dxa"/>
            <w:tcBorders>
              <w:top w:val="nil"/>
              <w:left w:val="nil"/>
              <w:bottom w:val="single" w:color="000000" w:sz="8" w:space="0"/>
              <w:right w:val="single" w:color="000000" w:sz="8" w:space="0"/>
            </w:tcBorders>
            <w:shd w:val="clear" w:color="auto" w:fill="DDEBF7"/>
            <w:noWrap/>
            <w:vAlign w:val="center"/>
          </w:tcPr>
          <w:p w14:paraId="531D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28,800.00</w:t>
            </w:r>
          </w:p>
        </w:tc>
        <w:tc>
          <w:tcPr>
            <w:tcW w:w="1676" w:type="dxa"/>
            <w:tcBorders>
              <w:top w:val="nil"/>
              <w:left w:val="nil"/>
              <w:bottom w:val="single" w:color="000000" w:sz="8" w:space="0"/>
              <w:right w:val="single" w:color="000000" w:sz="8" w:space="0"/>
            </w:tcBorders>
            <w:shd w:val="clear" w:color="auto" w:fill="DDEBF7"/>
            <w:noWrap/>
            <w:vAlign w:val="center"/>
          </w:tcPr>
          <w:p w14:paraId="0B3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18,547.80</w:t>
            </w:r>
          </w:p>
        </w:tc>
        <w:tc>
          <w:tcPr>
            <w:tcW w:w="1757" w:type="dxa"/>
            <w:tcBorders>
              <w:top w:val="nil"/>
              <w:left w:val="nil"/>
              <w:bottom w:val="single" w:color="000000" w:sz="8" w:space="0"/>
              <w:right w:val="single" w:color="000000" w:sz="8" w:space="0"/>
            </w:tcBorders>
            <w:shd w:val="clear" w:color="auto" w:fill="DDEBF7"/>
            <w:noWrap/>
            <w:vAlign w:val="center"/>
          </w:tcPr>
          <w:p w14:paraId="4FD2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22,532.16</w:t>
            </w:r>
          </w:p>
        </w:tc>
        <w:tc>
          <w:tcPr>
            <w:tcW w:w="1479" w:type="dxa"/>
            <w:tcBorders>
              <w:top w:val="nil"/>
              <w:left w:val="nil"/>
              <w:bottom w:val="single" w:color="000000" w:sz="8" w:space="0"/>
              <w:right w:val="single" w:color="000000" w:sz="8" w:space="0"/>
            </w:tcBorders>
            <w:shd w:val="clear" w:color="auto" w:fill="DDEBF7"/>
            <w:noWrap/>
            <w:vAlign w:val="center"/>
          </w:tcPr>
          <w:p w14:paraId="64C672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82,432.80</w:t>
            </w:r>
          </w:p>
        </w:tc>
      </w:tr>
      <w:tr w14:paraId="40F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01A3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4" w:type="dxa"/>
            <w:tcBorders>
              <w:top w:val="nil"/>
              <w:left w:val="nil"/>
              <w:bottom w:val="single" w:color="000000" w:sz="8" w:space="0"/>
              <w:right w:val="single" w:color="000000" w:sz="8" w:space="0"/>
            </w:tcBorders>
            <w:shd w:val="clear" w:color="auto" w:fill="auto"/>
            <w:noWrap/>
            <w:vAlign w:val="center"/>
          </w:tcPr>
          <w:p w14:paraId="1B3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366,141.15</w:t>
            </w:r>
          </w:p>
        </w:tc>
        <w:tc>
          <w:tcPr>
            <w:tcW w:w="1676" w:type="dxa"/>
            <w:tcBorders>
              <w:top w:val="nil"/>
              <w:left w:val="nil"/>
              <w:bottom w:val="single" w:color="000000" w:sz="8" w:space="0"/>
              <w:right w:val="single" w:color="000000" w:sz="8" w:space="0"/>
            </w:tcBorders>
            <w:shd w:val="clear" w:color="auto" w:fill="auto"/>
            <w:noWrap/>
            <w:vAlign w:val="center"/>
          </w:tcPr>
          <w:p w14:paraId="25CA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290,715.34</w:t>
            </w:r>
          </w:p>
        </w:tc>
        <w:tc>
          <w:tcPr>
            <w:tcW w:w="1757" w:type="dxa"/>
            <w:tcBorders>
              <w:top w:val="nil"/>
              <w:left w:val="nil"/>
              <w:bottom w:val="single" w:color="000000" w:sz="8" w:space="0"/>
              <w:right w:val="single" w:color="000000" w:sz="8" w:space="0"/>
            </w:tcBorders>
            <w:shd w:val="clear" w:color="auto" w:fill="auto"/>
            <w:noWrap/>
            <w:vAlign w:val="center"/>
          </w:tcPr>
          <w:p w14:paraId="5FA5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289,424.91</w:t>
            </w:r>
          </w:p>
        </w:tc>
        <w:tc>
          <w:tcPr>
            <w:tcW w:w="1479" w:type="dxa"/>
            <w:tcBorders>
              <w:top w:val="nil"/>
              <w:left w:val="nil"/>
              <w:bottom w:val="single" w:color="000000" w:sz="8" w:space="0"/>
              <w:right w:val="single" w:color="000000" w:sz="8" w:space="0"/>
            </w:tcBorders>
            <w:shd w:val="clear" w:color="auto" w:fill="auto"/>
            <w:noWrap/>
            <w:vAlign w:val="center"/>
          </w:tcPr>
          <w:p w14:paraId="382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156,131.50</w:t>
            </w:r>
          </w:p>
        </w:tc>
      </w:tr>
      <w:tr w14:paraId="38EC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5B09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4" w:type="dxa"/>
            <w:tcBorders>
              <w:top w:val="nil"/>
              <w:left w:val="nil"/>
              <w:bottom w:val="single" w:color="000000" w:sz="8" w:space="0"/>
              <w:right w:val="single" w:color="000000" w:sz="8" w:space="0"/>
            </w:tcBorders>
            <w:shd w:val="clear" w:color="auto" w:fill="DDEBF7"/>
            <w:noWrap/>
            <w:vAlign w:val="center"/>
          </w:tcPr>
          <w:p w14:paraId="64CB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664,030.86</w:t>
            </w:r>
          </w:p>
        </w:tc>
        <w:tc>
          <w:tcPr>
            <w:tcW w:w="1676" w:type="dxa"/>
            <w:tcBorders>
              <w:top w:val="nil"/>
              <w:left w:val="nil"/>
              <w:bottom w:val="single" w:color="000000" w:sz="8" w:space="0"/>
              <w:right w:val="single" w:color="000000" w:sz="8" w:space="0"/>
            </w:tcBorders>
            <w:shd w:val="clear" w:color="auto" w:fill="DDEBF7"/>
            <w:noWrap/>
            <w:vAlign w:val="center"/>
          </w:tcPr>
          <w:p w14:paraId="3191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586,105.05</w:t>
            </w:r>
          </w:p>
        </w:tc>
        <w:tc>
          <w:tcPr>
            <w:tcW w:w="1757" w:type="dxa"/>
            <w:tcBorders>
              <w:top w:val="nil"/>
              <w:left w:val="nil"/>
              <w:bottom w:val="single" w:color="000000" w:sz="8" w:space="0"/>
              <w:right w:val="single" w:color="000000" w:sz="8" w:space="0"/>
            </w:tcBorders>
            <w:shd w:val="clear" w:color="auto" w:fill="DDEBF7"/>
            <w:noWrap/>
            <w:vAlign w:val="center"/>
          </w:tcPr>
          <w:p w14:paraId="1F3A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586,105.05</w:t>
            </w:r>
          </w:p>
        </w:tc>
        <w:tc>
          <w:tcPr>
            <w:tcW w:w="1479" w:type="dxa"/>
            <w:tcBorders>
              <w:top w:val="nil"/>
              <w:left w:val="nil"/>
              <w:bottom w:val="single" w:color="000000" w:sz="8" w:space="0"/>
              <w:right w:val="single" w:color="000000" w:sz="8" w:space="0"/>
            </w:tcBorders>
            <w:shd w:val="clear" w:color="auto" w:fill="DDEBF7"/>
            <w:noWrap/>
            <w:vAlign w:val="center"/>
          </w:tcPr>
          <w:p w14:paraId="0D11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586,105.05</w:t>
            </w:r>
          </w:p>
        </w:tc>
      </w:tr>
    </w:tbl>
    <w:p w14:paraId="44D60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rPr>
      </w:pPr>
      <w:bookmarkStart w:id="97" w:name="_Toc25044"/>
      <w:bookmarkStart w:id="98" w:name="_Toc30534"/>
      <w:bookmarkStart w:id="99" w:name="_Toc23889"/>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）整体支出汇总及分析</w:t>
      </w:r>
      <w:bookmarkEnd w:id="96"/>
      <w:bookmarkEnd w:id="97"/>
      <w:bookmarkEnd w:id="98"/>
      <w:bookmarkEnd w:id="99"/>
    </w:p>
    <w:p w14:paraId="617A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检查支出范围及内容：是否符合预算用途和相关财经法规条例；有无超范围、超标准支出</w:t>
      </w:r>
      <w:r>
        <w:rPr>
          <w:rFonts w:hint="eastAsia" w:ascii="仿宋" w:hAnsi="仿宋" w:eastAsia="仿宋" w:cs="仿宋"/>
          <w:sz w:val="32"/>
          <w:szCs w:val="32"/>
          <w:lang w:eastAsia="zh-CN"/>
        </w:rPr>
        <w:t>，</w:t>
      </w:r>
      <w:r>
        <w:rPr>
          <w:rFonts w:hint="eastAsia" w:ascii="仿宋" w:hAnsi="仿宋" w:eastAsia="仿宋" w:cs="仿宋"/>
          <w:sz w:val="32"/>
          <w:szCs w:val="32"/>
        </w:rPr>
        <w:t>报销凭证完整性与合规性；政府采购程序是否规范</w:t>
      </w:r>
      <w:r>
        <w:rPr>
          <w:rFonts w:hint="eastAsia" w:ascii="仿宋" w:hAnsi="仿宋" w:eastAsia="仿宋" w:cs="仿宋"/>
          <w:sz w:val="32"/>
          <w:szCs w:val="32"/>
          <w:lang w:eastAsia="zh-CN"/>
        </w:rPr>
        <w:t>，</w:t>
      </w:r>
      <w:r>
        <w:rPr>
          <w:rFonts w:hint="eastAsia" w:ascii="仿宋" w:hAnsi="仿宋" w:eastAsia="仿宋" w:cs="仿宋"/>
          <w:sz w:val="32"/>
          <w:szCs w:val="32"/>
        </w:rPr>
        <w:t>招投标是否合规</w:t>
      </w:r>
      <w:r>
        <w:rPr>
          <w:rFonts w:hint="eastAsia" w:ascii="仿宋" w:hAnsi="仿宋" w:eastAsia="仿宋" w:cs="仿宋"/>
          <w:sz w:val="32"/>
          <w:szCs w:val="32"/>
          <w:lang w:eastAsia="zh-CN"/>
        </w:rPr>
        <w:t>，</w:t>
      </w:r>
      <w:r>
        <w:rPr>
          <w:rFonts w:hint="eastAsia" w:ascii="仿宋" w:hAnsi="仿宋" w:eastAsia="仿宋" w:cs="仿宋"/>
          <w:sz w:val="32"/>
          <w:szCs w:val="32"/>
        </w:rPr>
        <w:t>重大项目开支和大额资金使用是否经单位党组集体研究决策，资金支付是否有完整的审批程序和手续等。</w:t>
      </w:r>
    </w:p>
    <w:p w14:paraId="213F26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rPr>
        <w:t>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p>
    <w:p w14:paraId="7CA2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bidi="ar"/>
        </w:rPr>
        <w:t>共青团雁峰区委</w:t>
      </w:r>
      <w:r>
        <w:rPr>
          <w:rFonts w:hint="eastAsia" w:ascii="仿宋" w:hAnsi="仿宋" w:eastAsia="仿宋" w:cs="仿宋"/>
          <w:b w:val="0"/>
          <w:bCs w:val="0"/>
          <w:sz w:val="32"/>
          <w:szCs w:val="32"/>
          <w:lang w:val="en-US" w:eastAsia="zh-CN"/>
        </w:rPr>
        <w:t>的整体支出分为三大类，分别为基本支出－人员经费、基本支出－公用经费（一般性支出）与项目支出。</w:t>
      </w:r>
    </w:p>
    <w:p w14:paraId="32A01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①基本支出－人员经费包括基本工资、津贴补贴、奖金、机关事业单位基本养老保险缴费、职工基本医疗保险缴费、其他社会保障缴费、住房公积金、其他工资福利支出等。</w:t>
      </w:r>
    </w:p>
    <w:p w14:paraId="0254A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②基本支出－公用经费包括食堂餐费与报表咨询等。</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各类支出从账套数到重分类数的调整过程</w:t>
      </w:r>
    </w:p>
    <w:tbl>
      <w:tblPr>
        <w:tblStyle w:val="13"/>
        <w:tblW w:w="8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6"/>
        <w:gridCol w:w="1351"/>
        <w:gridCol w:w="1733"/>
        <w:gridCol w:w="1360"/>
        <w:gridCol w:w="1590"/>
      </w:tblGrid>
      <w:tr w14:paraId="192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65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44475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基本支出－人员经费明细</w:t>
            </w:r>
          </w:p>
        </w:tc>
        <w:tc>
          <w:tcPr>
            <w:tcW w:w="1351" w:type="dxa"/>
            <w:tcBorders>
              <w:top w:val="single" w:color="000000" w:sz="8" w:space="0"/>
              <w:left w:val="nil"/>
              <w:bottom w:val="single" w:color="000000" w:sz="8" w:space="0"/>
              <w:right w:val="single" w:color="000000" w:sz="8" w:space="0"/>
            </w:tcBorders>
            <w:shd w:val="clear" w:color="auto" w:fill="DDEBF7"/>
            <w:noWrap/>
            <w:vAlign w:val="center"/>
          </w:tcPr>
          <w:p w14:paraId="760681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账套金额（元）</w:t>
            </w:r>
          </w:p>
        </w:tc>
        <w:tc>
          <w:tcPr>
            <w:tcW w:w="1733" w:type="dxa"/>
            <w:tcBorders>
              <w:top w:val="single" w:color="000000" w:sz="8" w:space="0"/>
              <w:left w:val="nil"/>
              <w:bottom w:val="single" w:color="000000" w:sz="8" w:space="0"/>
              <w:right w:val="single" w:color="000000" w:sz="8" w:space="0"/>
            </w:tcBorders>
            <w:shd w:val="clear" w:color="auto" w:fill="DDEBF7"/>
            <w:noWrap/>
            <w:vAlign w:val="center"/>
          </w:tcPr>
          <w:p w14:paraId="0786F1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从基本支出－公用经费调入（+）</w:t>
            </w:r>
          </w:p>
        </w:tc>
        <w:tc>
          <w:tcPr>
            <w:tcW w:w="1360" w:type="dxa"/>
            <w:tcBorders>
              <w:top w:val="single" w:color="000000" w:sz="8" w:space="0"/>
              <w:left w:val="nil"/>
              <w:bottom w:val="single" w:color="000000" w:sz="8" w:space="0"/>
              <w:right w:val="single" w:color="000000" w:sz="8" w:space="0"/>
            </w:tcBorders>
            <w:shd w:val="clear" w:color="auto" w:fill="DDEBF7"/>
            <w:noWrap/>
            <w:vAlign w:val="center"/>
          </w:tcPr>
          <w:p w14:paraId="29E1E2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从项目支出调入（+）</w:t>
            </w:r>
          </w:p>
        </w:tc>
        <w:tc>
          <w:tcPr>
            <w:tcW w:w="1590" w:type="dxa"/>
            <w:tcBorders>
              <w:top w:val="single" w:color="000000" w:sz="8" w:space="0"/>
              <w:left w:val="nil"/>
              <w:bottom w:val="single" w:color="000000" w:sz="8" w:space="0"/>
              <w:right w:val="single" w:color="000000" w:sz="8" w:space="0"/>
            </w:tcBorders>
            <w:shd w:val="clear" w:color="auto" w:fill="DDEBF7"/>
            <w:noWrap/>
            <w:vAlign w:val="center"/>
          </w:tcPr>
          <w:p w14:paraId="16C33D2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539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79F36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351" w:type="dxa"/>
            <w:tcBorders>
              <w:top w:val="nil"/>
              <w:left w:val="nil"/>
              <w:bottom w:val="single" w:color="000000" w:sz="8" w:space="0"/>
              <w:right w:val="single" w:color="000000" w:sz="8" w:space="0"/>
            </w:tcBorders>
            <w:shd w:val="clear" w:color="auto" w:fill="auto"/>
            <w:noWrap/>
            <w:vAlign w:val="center"/>
          </w:tcPr>
          <w:p w14:paraId="7A62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120,661.00</w:t>
            </w:r>
          </w:p>
        </w:tc>
        <w:tc>
          <w:tcPr>
            <w:tcW w:w="1733" w:type="dxa"/>
            <w:tcBorders>
              <w:top w:val="nil"/>
              <w:left w:val="nil"/>
              <w:bottom w:val="single" w:color="000000" w:sz="8" w:space="0"/>
              <w:right w:val="single" w:color="000000" w:sz="8" w:space="0"/>
            </w:tcBorders>
            <w:shd w:val="clear" w:color="auto" w:fill="auto"/>
            <w:noWrap/>
            <w:vAlign w:val="center"/>
          </w:tcPr>
          <w:p w14:paraId="29BD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auto"/>
            <w:noWrap/>
            <w:vAlign w:val="center"/>
          </w:tcPr>
          <w:p w14:paraId="22D7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0" w:type="dxa"/>
            <w:tcBorders>
              <w:top w:val="nil"/>
              <w:left w:val="nil"/>
              <w:bottom w:val="single" w:color="000000" w:sz="8" w:space="0"/>
              <w:right w:val="single" w:color="000000" w:sz="8" w:space="0"/>
            </w:tcBorders>
            <w:shd w:val="clear" w:color="auto" w:fill="auto"/>
            <w:noWrap/>
            <w:vAlign w:val="center"/>
          </w:tcPr>
          <w:p w14:paraId="501CF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120,661.00</w:t>
            </w: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5464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351" w:type="dxa"/>
            <w:tcBorders>
              <w:top w:val="nil"/>
              <w:left w:val="nil"/>
              <w:bottom w:val="single" w:color="000000" w:sz="8" w:space="0"/>
              <w:right w:val="single" w:color="000000" w:sz="8" w:space="0"/>
            </w:tcBorders>
            <w:shd w:val="clear" w:color="auto" w:fill="DDEBF7"/>
            <w:noWrap/>
            <w:vAlign w:val="center"/>
          </w:tcPr>
          <w:p w14:paraId="72756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50,079.50</w:t>
            </w:r>
          </w:p>
        </w:tc>
        <w:tc>
          <w:tcPr>
            <w:tcW w:w="1733" w:type="dxa"/>
            <w:tcBorders>
              <w:top w:val="nil"/>
              <w:left w:val="nil"/>
              <w:bottom w:val="single" w:color="000000" w:sz="8" w:space="0"/>
              <w:right w:val="single" w:color="000000" w:sz="8" w:space="0"/>
            </w:tcBorders>
            <w:shd w:val="clear" w:color="auto" w:fill="DDEBF7"/>
            <w:noWrap/>
            <w:vAlign w:val="center"/>
          </w:tcPr>
          <w:p w14:paraId="34FB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6,753.16</w:t>
            </w:r>
          </w:p>
        </w:tc>
        <w:tc>
          <w:tcPr>
            <w:tcW w:w="1360" w:type="dxa"/>
            <w:tcBorders>
              <w:top w:val="nil"/>
              <w:left w:val="nil"/>
              <w:bottom w:val="single" w:color="000000" w:sz="8" w:space="0"/>
              <w:right w:val="single" w:color="000000" w:sz="8" w:space="0"/>
            </w:tcBorders>
            <w:shd w:val="clear" w:color="auto" w:fill="DDEBF7"/>
            <w:noWrap/>
            <w:vAlign w:val="center"/>
          </w:tcPr>
          <w:p w14:paraId="5DC84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6,395.71</w:t>
            </w:r>
          </w:p>
        </w:tc>
        <w:tc>
          <w:tcPr>
            <w:tcW w:w="1590" w:type="dxa"/>
            <w:tcBorders>
              <w:top w:val="nil"/>
              <w:left w:val="nil"/>
              <w:bottom w:val="single" w:color="000000" w:sz="8" w:space="0"/>
              <w:right w:val="single" w:color="000000" w:sz="8" w:space="0"/>
            </w:tcBorders>
            <w:shd w:val="clear" w:color="auto" w:fill="DDEBF7"/>
            <w:noWrap/>
            <w:vAlign w:val="center"/>
          </w:tcPr>
          <w:p w14:paraId="7E911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63,228.37</w:t>
            </w:r>
          </w:p>
        </w:tc>
      </w:tr>
      <w:tr w14:paraId="11D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26F4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351" w:type="dxa"/>
            <w:tcBorders>
              <w:top w:val="nil"/>
              <w:left w:val="nil"/>
              <w:bottom w:val="single" w:color="000000" w:sz="8" w:space="0"/>
              <w:right w:val="single" w:color="000000" w:sz="8" w:space="0"/>
            </w:tcBorders>
            <w:shd w:val="clear" w:color="auto" w:fill="auto"/>
            <w:noWrap/>
            <w:vAlign w:val="center"/>
          </w:tcPr>
          <w:p w14:paraId="5F88D0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20,523.00</w:t>
            </w:r>
          </w:p>
        </w:tc>
        <w:tc>
          <w:tcPr>
            <w:tcW w:w="1733" w:type="dxa"/>
            <w:tcBorders>
              <w:top w:val="nil"/>
              <w:left w:val="nil"/>
              <w:bottom w:val="single" w:color="000000" w:sz="8" w:space="0"/>
              <w:right w:val="single" w:color="000000" w:sz="8" w:space="0"/>
            </w:tcBorders>
            <w:shd w:val="clear" w:color="auto" w:fill="auto"/>
            <w:noWrap/>
            <w:vAlign w:val="center"/>
          </w:tcPr>
          <w:p w14:paraId="33971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auto"/>
            <w:noWrap/>
            <w:vAlign w:val="center"/>
          </w:tcPr>
          <w:p w14:paraId="7447C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w:t>
            </w:r>
          </w:p>
        </w:tc>
        <w:tc>
          <w:tcPr>
            <w:tcW w:w="1590" w:type="dxa"/>
            <w:tcBorders>
              <w:top w:val="nil"/>
              <w:left w:val="nil"/>
              <w:bottom w:val="single" w:color="000000" w:sz="8" w:space="0"/>
              <w:right w:val="single" w:color="000000" w:sz="8" w:space="0"/>
            </w:tcBorders>
            <w:shd w:val="clear" w:color="auto" w:fill="auto"/>
            <w:noWrap/>
            <w:vAlign w:val="center"/>
          </w:tcPr>
          <w:p w14:paraId="18D1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24,123.00</w:t>
            </w:r>
          </w:p>
        </w:tc>
      </w:tr>
      <w:tr w14:paraId="667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7E387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w:t>
            </w:r>
          </w:p>
        </w:tc>
        <w:tc>
          <w:tcPr>
            <w:tcW w:w="1351" w:type="dxa"/>
            <w:tcBorders>
              <w:top w:val="nil"/>
              <w:left w:val="nil"/>
              <w:bottom w:val="single" w:color="000000" w:sz="8" w:space="0"/>
              <w:right w:val="single" w:color="000000" w:sz="8" w:space="0"/>
            </w:tcBorders>
            <w:shd w:val="clear" w:color="auto" w:fill="DDEBF7"/>
            <w:noWrap/>
            <w:vAlign w:val="center"/>
          </w:tcPr>
          <w:p w14:paraId="44F1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28,260.48</w:t>
            </w:r>
          </w:p>
        </w:tc>
        <w:tc>
          <w:tcPr>
            <w:tcW w:w="1733" w:type="dxa"/>
            <w:tcBorders>
              <w:top w:val="nil"/>
              <w:left w:val="nil"/>
              <w:bottom w:val="single" w:color="000000" w:sz="8" w:space="0"/>
              <w:right w:val="single" w:color="000000" w:sz="8" w:space="0"/>
            </w:tcBorders>
            <w:shd w:val="clear" w:color="auto" w:fill="DDEBF7"/>
            <w:noWrap/>
            <w:vAlign w:val="center"/>
          </w:tcPr>
          <w:p w14:paraId="47E08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DDEBF7"/>
            <w:noWrap/>
            <w:vAlign w:val="center"/>
          </w:tcPr>
          <w:p w14:paraId="13716F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590" w:type="dxa"/>
            <w:tcBorders>
              <w:top w:val="nil"/>
              <w:left w:val="nil"/>
              <w:bottom w:val="single" w:color="000000" w:sz="8" w:space="0"/>
              <w:right w:val="single" w:color="000000" w:sz="8" w:space="0"/>
            </w:tcBorders>
            <w:shd w:val="clear" w:color="auto" w:fill="DDEBF7"/>
            <w:noWrap/>
            <w:vAlign w:val="center"/>
          </w:tcPr>
          <w:p w14:paraId="1B677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28,260.48</w:t>
            </w:r>
          </w:p>
        </w:tc>
      </w:tr>
      <w:tr w14:paraId="4B8B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0D9D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w:t>
            </w:r>
          </w:p>
        </w:tc>
        <w:tc>
          <w:tcPr>
            <w:tcW w:w="1351" w:type="dxa"/>
            <w:tcBorders>
              <w:top w:val="nil"/>
              <w:left w:val="nil"/>
              <w:bottom w:val="single" w:color="000000" w:sz="8" w:space="0"/>
              <w:right w:val="single" w:color="000000" w:sz="8" w:space="0"/>
            </w:tcBorders>
            <w:shd w:val="clear" w:color="auto" w:fill="auto"/>
            <w:noWrap/>
            <w:vAlign w:val="center"/>
          </w:tcPr>
          <w:p w14:paraId="185C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21,204.87</w:t>
            </w:r>
          </w:p>
        </w:tc>
        <w:tc>
          <w:tcPr>
            <w:tcW w:w="1733" w:type="dxa"/>
            <w:tcBorders>
              <w:top w:val="nil"/>
              <w:left w:val="nil"/>
              <w:bottom w:val="single" w:color="000000" w:sz="8" w:space="0"/>
              <w:right w:val="single" w:color="000000" w:sz="8" w:space="0"/>
            </w:tcBorders>
            <w:shd w:val="clear" w:color="auto" w:fill="auto"/>
            <w:noWrap/>
            <w:vAlign w:val="center"/>
          </w:tcPr>
          <w:p w14:paraId="2EF9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auto"/>
            <w:noWrap/>
            <w:vAlign w:val="center"/>
          </w:tcPr>
          <w:p w14:paraId="47C069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49,044.00</w:t>
            </w:r>
          </w:p>
        </w:tc>
        <w:tc>
          <w:tcPr>
            <w:tcW w:w="1590" w:type="dxa"/>
            <w:tcBorders>
              <w:top w:val="nil"/>
              <w:left w:val="nil"/>
              <w:bottom w:val="single" w:color="000000" w:sz="8" w:space="0"/>
              <w:right w:val="single" w:color="000000" w:sz="8" w:space="0"/>
            </w:tcBorders>
            <w:shd w:val="clear" w:color="auto" w:fill="auto"/>
            <w:noWrap/>
            <w:vAlign w:val="center"/>
          </w:tcPr>
          <w:p w14:paraId="796D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70,248.87</w:t>
            </w:r>
          </w:p>
        </w:tc>
      </w:tr>
      <w:tr w14:paraId="78E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72DC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w:t>
            </w:r>
          </w:p>
        </w:tc>
        <w:tc>
          <w:tcPr>
            <w:tcW w:w="1351" w:type="dxa"/>
            <w:tcBorders>
              <w:top w:val="nil"/>
              <w:left w:val="nil"/>
              <w:bottom w:val="single" w:color="000000" w:sz="8" w:space="0"/>
              <w:right w:val="single" w:color="000000" w:sz="8" w:space="0"/>
            </w:tcBorders>
            <w:shd w:val="clear" w:color="auto" w:fill="DDEBF7"/>
            <w:noWrap/>
            <w:vAlign w:val="center"/>
          </w:tcPr>
          <w:p w14:paraId="3F30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427.90</w:t>
            </w:r>
          </w:p>
        </w:tc>
        <w:tc>
          <w:tcPr>
            <w:tcW w:w="1733" w:type="dxa"/>
            <w:tcBorders>
              <w:top w:val="nil"/>
              <w:left w:val="nil"/>
              <w:bottom w:val="single" w:color="000000" w:sz="8" w:space="0"/>
              <w:right w:val="single" w:color="000000" w:sz="8" w:space="0"/>
            </w:tcBorders>
            <w:shd w:val="clear" w:color="auto" w:fill="DDEBF7"/>
            <w:noWrap/>
            <w:vAlign w:val="center"/>
          </w:tcPr>
          <w:p w14:paraId="146B1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DDEBF7"/>
            <w:noWrap/>
            <w:vAlign w:val="center"/>
          </w:tcPr>
          <w:p w14:paraId="4F1D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38.90</w:t>
            </w:r>
          </w:p>
        </w:tc>
        <w:tc>
          <w:tcPr>
            <w:tcW w:w="1590" w:type="dxa"/>
            <w:tcBorders>
              <w:top w:val="nil"/>
              <w:left w:val="nil"/>
              <w:bottom w:val="single" w:color="000000" w:sz="8" w:space="0"/>
              <w:right w:val="single" w:color="000000" w:sz="8" w:space="0"/>
            </w:tcBorders>
            <w:shd w:val="clear" w:color="auto" w:fill="DDEBF7"/>
            <w:noWrap/>
            <w:vAlign w:val="center"/>
          </w:tcPr>
          <w:p w14:paraId="289AF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466.80</w:t>
            </w:r>
          </w:p>
        </w:tc>
      </w:tr>
      <w:tr w14:paraId="012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304E8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51" w:type="dxa"/>
            <w:tcBorders>
              <w:top w:val="nil"/>
              <w:left w:val="nil"/>
              <w:bottom w:val="single" w:color="000000" w:sz="8" w:space="0"/>
              <w:right w:val="single" w:color="000000" w:sz="8" w:space="0"/>
            </w:tcBorders>
            <w:shd w:val="clear" w:color="auto" w:fill="auto"/>
            <w:noWrap/>
            <w:vAlign w:val="center"/>
          </w:tcPr>
          <w:p w14:paraId="6DD67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28,932.00</w:t>
            </w:r>
          </w:p>
        </w:tc>
        <w:tc>
          <w:tcPr>
            <w:tcW w:w="1733" w:type="dxa"/>
            <w:tcBorders>
              <w:top w:val="nil"/>
              <w:left w:val="nil"/>
              <w:bottom w:val="single" w:color="000000" w:sz="8" w:space="0"/>
              <w:right w:val="single" w:color="000000" w:sz="8" w:space="0"/>
            </w:tcBorders>
            <w:shd w:val="clear" w:color="auto" w:fill="auto"/>
            <w:noWrap/>
            <w:vAlign w:val="center"/>
          </w:tcPr>
          <w:p w14:paraId="39B6C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auto"/>
            <w:noWrap/>
            <w:vAlign w:val="center"/>
          </w:tcPr>
          <w:p w14:paraId="5F2703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4,822.00</w:t>
            </w:r>
          </w:p>
        </w:tc>
        <w:tc>
          <w:tcPr>
            <w:tcW w:w="1590" w:type="dxa"/>
            <w:tcBorders>
              <w:top w:val="nil"/>
              <w:left w:val="nil"/>
              <w:bottom w:val="single" w:color="000000" w:sz="8" w:space="0"/>
              <w:right w:val="single" w:color="000000" w:sz="8" w:space="0"/>
            </w:tcBorders>
            <w:shd w:val="clear" w:color="auto" w:fill="auto"/>
            <w:noWrap/>
            <w:vAlign w:val="center"/>
          </w:tcPr>
          <w:p w14:paraId="26BF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33,754.00</w:t>
            </w:r>
          </w:p>
        </w:tc>
      </w:tr>
      <w:tr w14:paraId="4EDF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B2E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其他福利支出</w:t>
            </w:r>
          </w:p>
        </w:tc>
        <w:tc>
          <w:tcPr>
            <w:tcW w:w="1351" w:type="dxa"/>
            <w:tcBorders>
              <w:top w:val="nil"/>
              <w:left w:val="nil"/>
              <w:bottom w:val="single" w:color="000000" w:sz="8" w:space="0"/>
              <w:right w:val="single" w:color="000000" w:sz="8" w:space="0"/>
            </w:tcBorders>
            <w:shd w:val="clear" w:color="auto" w:fill="DDEBF7"/>
            <w:noWrap/>
            <w:vAlign w:val="center"/>
          </w:tcPr>
          <w:p w14:paraId="1E83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4,059.23</w:t>
            </w:r>
          </w:p>
        </w:tc>
        <w:tc>
          <w:tcPr>
            <w:tcW w:w="1733" w:type="dxa"/>
            <w:tcBorders>
              <w:top w:val="nil"/>
              <w:left w:val="nil"/>
              <w:bottom w:val="single" w:color="000000" w:sz="8" w:space="0"/>
              <w:right w:val="single" w:color="000000" w:sz="8" w:space="0"/>
            </w:tcBorders>
            <w:shd w:val="clear" w:color="auto" w:fill="DDEBF7"/>
            <w:noWrap/>
            <w:vAlign w:val="center"/>
          </w:tcPr>
          <w:p w14:paraId="1D4CD158">
            <w:pPr>
              <w:jc w:val="center"/>
              <w:rPr>
                <w:rFonts w:hint="eastAsia" w:ascii="宋体" w:hAnsi="宋体" w:eastAsia="宋体" w:cs="宋体"/>
                <w:i w:val="0"/>
                <w:iCs w:val="0"/>
                <w:color w:val="000000"/>
                <w:sz w:val="22"/>
                <w:szCs w:val="22"/>
                <w:u w:val="none"/>
              </w:rPr>
            </w:pPr>
          </w:p>
        </w:tc>
        <w:tc>
          <w:tcPr>
            <w:tcW w:w="1360" w:type="dxa"/>
            <w:tcBorders>
              <w:top w:val="nil"/>
              <w:left w:val="nil"/>
              <w:bottom w:val="single" w:color="000000" w:sz="8" w:space="0"/>
              <w:right w:val="single" w:color="000000" w:sz="8" w:space="0"/>
            </w:tcBorders>
            <w:shd w:val="clear" w:color="auto" w:fill="DDEBF7"/>
            <w:noWrap/>
            <w:vAlign w:val="center"/>
          </w:tcPr>
          <w:p w14:paraId="5FBE8E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2,739.00</w:t>
            </w:r>
          </w:p>
        </w:tc>
        <w:tc>
          <w:tcPr>
            <w:tcW w:w="1590" w:type="dxa"/>
            <w:tcBorders>
              <w:top w:val="nil"/>
              <w:left w:val="nil"/>
              <w:bottom w:val="single" w:color="000000" w:sz="8" w:space="0"/>
              <w:right w:val="single" w:color="000000" w:sz="8" w:space="0"/>
            </w:tcBorders>
            <w:shd w:val="clear" w:color="auto" w:fill="DDEBF7"/>
            <w:noWrap/>
            <w:vAlign w:val="center"/>
          </w:tcPr>
          <w:p w14:paraId="2803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6,798.23</w:t>
            </w:r>
          </w:p>
        </w:tc>
      </w:tr>
      <w:tr w14:paraId="1694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60FC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1" w:type="dxa"/>
            <w:tcBorders>
              <w:top w:val="nil"/>
              <w:left w:val="nil"/>
              <w:bottom w:val="single" w:color="000000" w:sz="8" w:space="0"/>
              <w:right w:val="single" w:color="000000" w:sz="8" w:space="0"/>
            </w:tcBorders>
            <w:shd w:val="clear" w:color="auto" w:fill="auto"/>
            <w:noWrap/>
            <w:vAlign w:val="center"/>
          </w:tcPr>
          <w:p w14:paraId="26B55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274,147.98</w:t>
            </w:r>
          </w:p>
        </w:tc>
        <w:tc>
          <w:tcPr>
            <w:tcW w:w="1733" w:type="dxa"/>
            <w:tcBorders>
              <w:top w:val="nil"/>
              <w:left w:val="nil"/>
              <w:bottom w:val="single" w:color="000000" w:sz="8" w:space="0"/>
              <w:right w:val="single" w:color="000000" w:sz="8" w:space="0"/>
            </w:tcBorders>
            <w:shd w:val="clear" w:color="auto" w:fill="auto"/>
            <w:noWrap/>
            <w:vAlign w:val="center"/>
          </w:tcPr>
          <w:p w14:paraId="75942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6,753.16</w:t>
            </w:r>
          </w:p>
        </w:tc>
        <w:tc>
          <w:tcPr>
            <w:tcW w:w="1360" w:type="dxa"/>
            <w:tcBorders>
              <w:top w:val="nil"/>
              <w:left w:val="nil"/>
              <w:bottom w:val="single" w:color="000000" w:sz="8" w:space="0"/>
              <w:right w:val="single" w:color="000000" w:sz="8" w:space="0"/>
            </w:tcBorders>
            <w:shd w:val="clear" w:color="auto" w:fill="auto"/>
            <w:noWrap/>
            <w:vAlign w:val="center"/>
          </w:tcPr>
          <w:p w14:paraId="3DD9E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66,639.61</w:t>
            </w:r>
          </w:p>
        </w:tc>
        <w:tc>
          <w:tcPr>
            <w:tcW w:w="1590" w:type="dxa"/>
            <w:tcBorders>
              <w:top w:val="nil"/>
              <w:left w:val="nil"/>
              <w:bottom w:val="single" w:color="000000" w:sz="8" w:space="0"/>
              <w:right w:val="single" w:color="000000" w:sz="8" w:space="0"/>
            </w:tcBorders>
            <w:shd w:val="clear" w:color="auto" w:fill="auto"/>
            <w:noWrap/>
            <w:vAlign w:val="center"/>
          </w:tcPr>
          <w:p w14:paraId="7BEA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347,540.75</w:t>
            </w:r>
          </w:p>
        </w:tc>
      </w:tr>
    </w:tbl>
    <w:p w14:paraId="0CE6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22"/>
          <w:szCs w:val="22"/>
          <w:lang w:val="en-US" w:eastAsia="zh-CN"/>
        </w:rPr>
      </w:pPr>
    </w:p>
    <w:tbl>
      <w:tblPr>
        <w:tblStyle w:val="13"/>
        <w:tblW w:w="8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4"/>
        <w:gridCol w:w="1294"/>
        <w:gridCol w:w="2044"/>
        <w:gridCol w:w="1387"/>
        <w:gridCol w:w="1594"/>
      </w:tblGrid>
      <w:tr w14:paraId="3FDE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9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683A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基本支出－公用经费明细</w:t>
            </w:r>
          </w:p>
        </w:tc>
        <w:tc>
          <w:tcPr>
            <w:tcW w:w="1294" w:type="dxa"/>
            <w:tcBorders>
              <w:top w:val="single" w:color="000000" w:sz="8" w:space="0"/>
              <w:left w:val="nil"/>
              <w:bottom w:val="single" w:color="000000" w:sz="8" w:space="0"/>
              <w:right w:val="single" w:color="000000" w:sz="8" w:space="0"/>
            </w:tcBorders>
            <w:shd w:val="clear" w:color="auto" w:fill="DDEBF7"/>
            <w:noWrap/>
            <w:vAlign w:val="center"/>
          </w:tcPr>
          <w:p w14:paraId="19EDF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账套金额</w:t>
            </w:r>
          </w:p>
        </w:tc>
        <w:tc>
          <w:tcPr>
            <w:tcW w:w="2044" w:type="dxa"/>
            <w:tcBorders>
              <w:top w:val="single" w:color="000000" w:sz="8" w:space="0"/>
              <w:left w:val="nil"/>
              <w:bottom w:val="single" w:color="000000" w:sz="8" w:space="0"/>
              <w:right w:val="single" w:color="000000" w:sz="8" w:space="0"/>
            </w:tcBorders>
            <w:shd w:val="clear" w:color="auto" w:fill="DDEBF7"/>
            <w:noWrap/>
            <w:vAlign w:val="center"/>
          </w:tcPr>
          <w:p w14:paraId="5CFB4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将人员经费从公用经费中调出（－）</w:t>
            </w:r>
          </w:p>
        </w:tc>
        <w:tc>
          <w:tcPr>
            <w:tcW w:w="1387" w:type="dxa"/>
            <w:tcBorders>
              <w:top w:val="single" w:color="000000" w:sz="8" w:space="0"/>
              <w:left w:val="nil"/>
              <w:bottom w:val="single" w:color="000000" w:sz="8" w:space="0"/>
              <w:right w:val="single" w:color="000000" w:sz="8" w:space="0"/>
            </w:tcBorders>
            <w:shd w:val="clear" w:color="auto" w:fill="DDEBF7"/>
            <w:noWrap/>
            <w:vAlign w:val="center"/>
          </w:tcPr>
          <w:p w14:paraId="08CDD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从项目支出调入（+）</w:t>
            </w:r>
          </w:p>
        </w:tc>
        <w:tc>
          <w:tcPr>
            <w:tcW w:w="1594" w:type="dxa"/>
            <w:tcBorders>
              <w:top w:val="single" w:color="000000" w:sz="8" w:space="0"/>
              <w:left w:val="nil"/>
              <w:bottom w:val="single" w:color="000000" w:sz="8" w:space="0"/>
              <w:right w:val="single" w:color="000000" w:sz="8" w:space="0"/>
            </w:tcBorders>
            <w:shd w:val="clear" w:color="auto" w:fill="DDEBF7"/>
            <w:noWrap/>
            <w:vAlign w:val="center"/>
          </w:tcPr>
          <w:p w14:paraId="6908F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重分类数（元）</w:t>
            </w:r>
          </w:p>
        </w:tc>
      </w:tr>
      <w:tr w14:paraId="52AF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4" w:type="dxa"/>
            <w:tcBorders>
              <w:top w:val="nil"/>
              <w:left w:val="single" w:color="000000" w:sz="8" w:space="0"/>
              <w:bottom w:val="single" w:color="000000" w:sz="8" w:space="0"/>
              <w:right w:val="single" w:color="000000" w:sz="8" w:space="0"/>
            </w:tcBorders>
            <w:shd w:val="clear" w:color="auto" w:fill="auto"/>
            <w:noWrap/>
            <w:vAlign w:val="center"/>
          </w:tcPr>
          <w:p w14:paraId="64655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基本支出－人员经费</w:t>
            </w:r>
          </w:p>
        </w:tc>
        <w:tc>
          <w:tcPr>
            <w:tcW w:w="1294" w:type="dxa"/>
            <w:tcBorders>
              <w:top w:val="nil"/>
              <w:left w:val="nil"/>
              <w:bottom w:val="single" w:color="000000" w:sz="8" w:space="0"/>
              <w:right w:val="single" w:color="000000" w:sz="8" w:space="0"/>
            </w:tcBorders>
            <w:shd w:val="clear" w:color="auto" w:fill="auto"/>
            <w:noWrap/>
            <w:vAlign w:val="center"/>
          </w:tcPr>
          <w:p w14:paraId="009AD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6,753.16 </w:t>
            </w:r>
          </w:p>
        </w:tc>
        <w:tc>
          <w:tcPr>
            <w:tcW w:w="2044" w:type="dxa"/>
            <w:tcBorders>
              <w:top w:val="nil"/>
              <w:left w:val="nil"/>
              <w:bottom w:val="single" w:color="000000" w:sz="8" w:space="0"/>
              <w:right w:val="single" w:color="000000" w:sz="8" w:space="0"/>
            </w:tcBorders>
            <w:shd w:val="clear" w:color="auto" w:fill="auto"/>
            <w:noWrap/>
            <w:vAlign w:val="center"/>
          </w:tcPr>
          <w:p w14:paraId="2F086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6,753.16 </w:t>
            </w:r>
          </w:p>
        </w:tc>
        <w:tc>
          <w:tcPr>
            <w:tcW w:w="1387" w:type="dxa"/>
            <w:tcBorders>
              <w:top w:val="nil"/>
              <w:left w:val="nil"/>
              <w:bottom w:val="single" w:color="000000" w:sz="8" w:space="0"/>
              <w:right w:val="single" w:color="000000" w:sz="8" w:space="0"/>
            </w:tcBorders>
            <w:shd w:val="clear" w:color="auto" w:fill="auto"/>
            <w:noWrap/>
            <w:vAlign w:val="center"/>
          </w:tcPr>
          <w:p w14:paraId="5569D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4" w:type="dxa"/>
            <w:tcBorders>
              <w:top w:val="nil"/>
              <w:left w:val="nil"/>
              <w:bottom w:val="single" w:color="000000" w:sz="8" w:space="0"/>
              <w:right w:val="single" w:color="000000" w:sz="8" w:space="0"/>
            </w:tcBorders>
            <w:shd w:val="clear" w:color="auto" w:fill="auto"/>
            <w:noWrap/>
            <w:vAlign w:val="center"/>
          </w:tcPr>
          <w:p w14:paraId="0F980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4828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4" w:type="dxa"/>
            <w:tcBorders>
              <w:top w:val="nil"/>
              <w:left w:val="single" w:color="000000" w:sz="8" w:space="0"/>
              <w:bottom w:val="single" w:color="000000" w:sz="8" w:space="0"/>
              <w:right w:val="single" w:color="000000" w:sz="8" w:space="0"/>
            </w:tcBorders>
            <w:shd w:val="clear" w:color="auto" w:fill="DDEBF7"/>
            <w:noWrap/>
            <w:vAlign w:val="center"/>
          </w:tcPr>
          <w:p w14:paraId="518B0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基本支出－公用经费－办公室修缮</w:t>
            </w:r>
          </w:p>
        </w:tc>
        <w:tc>
          <w:tcPr>
            <w:tcW w:w="1294" w:type="dxa"/>
            <w:tcBorders>
              <w:top w:val="nil"/>
              <w:left w:val="nil"/>
              <w:bottom w:val="single" w:color="000000" w:sz="8" w:space="0"/>
              <w:right w:val="single" w:color="000000" w:sz="8" w:space="0"/>
            </w:tcBorders>
            <w:shd w:val="clear" w:color="auto" w:fill="DDEBF7"/>
            <w:noWrap/>
            <w:vAlign w:val="center"/>
          </w:tcPr>
          <w:p w14:paraId="4101F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4" w:type="dxa"/>
            <w:tcBorders>
              <w:top w:val="nil"/>
              <w:left w:val="nil"/>
              <w:bottom w:val="single" w:color="000000" w:sz="8" w:space="0"/>
              <w:right w:val="single" w:color="000000" w:sz="8" w:space="0"/>
            </w:tcBorders>
            <w:shd w:val="clear" w:color="auto" w:fill="DDEBF7"/>
            <w:noWrap/>
            <w:vAlign w:val="center"/>
          </w:tcPr>
          <w:p w14:paraId="69285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DDEBF7"/>
            <w:noWrap/>
            <w:vAlign w:val="center"/>
          </w:tcPr>
          <w:p w14:paraId="2C847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4" w:type="dxa"/>
            <w:tcBorders>
              <w:top w:val="nil"/>
              <w:left w:val="nil"/>
              <w:bottom w:val="single" w:color="000000" w:sz="8" w:space="0"/>
              <w:right w:val="single" w:color="000000" w:sz="8" w:space="0"/>
            </w:tcBorders>
            <w:shd w:val="clear" w:color="auto" w:fill="DDEBF7"/>
            <w:noWrap/>
            <w:vAlign w:val="center"/>
          </w:tcPr>
          <w:p w14:paraId="750B7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2AF0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4" w:type="dxa"/>
            <w:tcBorders>
              <w:top w:val="nil"/>
              <w:left w:val="single" w:color="000000" w:sz="8" w:space="0"/>
              <w:bottom w:val="single" w:color="000000" w:sz="8" w:space="0"/>
              <w:right w:val="single" w:color="000000" w:sz="8" w:space="0"/>
            </w:tcBorders>
            <w:shd w:val="clear" w:color="auto" w:fill="auto"/>
            <w:noWrap/>
            <w:vAlign w:val="center"/>
          </w:tcPr>
          <w:p w14:paraId="3B4C9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基本支出－公用经费－食堂餐费</w:t>
            </w:r>
          </w:p>
        </w:tc>
        <w:tc>
          <w:tcPr>
            <w:tcW w:w="1294" w:type="dxa"/>
            <w:tcBorders>
              <w:top w:val="nil"/>
              <w:left w:val="nil"/>
              <w:bottom w:val="single" w:color="000000" w:sz="8" w:space="0"/>
              <w:right w:val="single" w:color="000000" w:sz="8" w:space="0"/>
            </w:tcBorders>
            <w:shd w:val="clear" w:color="auto" w:fill="auto"/>
            <w:noWrap/>
            <w:vAlign w:val="center"/>
          </w:tcPr>
          <w:p w14:paraId="25C96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12,719.00 </w:t>
            </w:r>
          </w:p>
        </w:tc>
        <w:tc>
          <w:tcPr>
            <w:tcW w:w="2044" w:type="dxa"/>
            <w:tcBorders>
              <w:top w:val="nil"/>
              <w:left w:val="nil"/>
              <w:bottom w:val="single" w:color="000000" w:sz="8" w:space="0"/>
              <w:right w:val="single" w:color="000000" w:sz="8" w:space="0"/>
            </w:tcBorders>
            <w:shd w:val="clear" w:color="auto" w:fill="auto"/>
            <w:noWrap/>
            <w:vAlign w:val="center"/>
          </w:tcPr>
          <w:p w14:paraId="1AB89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auto"/>
            <w:noWrap/>
            <w:vAlign w:val="center"/>
          </w:tcPr>
          <w:p w14:paraId="7609B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94" w:type="dxa"/>
            <w:tcBorders>
              <w:top w:val="nil"/>
              <w:left w:val="nil"/>
              <w:bottom w:val="single" w:color="000000" w:sz="8" w:space="0"/>
              <w:right w:val="single" w:color="000000" w:sz="8" w:space="0"/>
            </w:tcBorders>
            <w:shd w:val="clear" w:color="auto" w:fill="auto"/>
            <w:noWrap/>
            <w:vAlign w:val="center"/>
          </w:tcPr>
          <w:p w14:paraId="27A86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12,719.00 </w:t>
            </w:r>
          </w:p>
        </w:tc>
      </w:tr>
      <w:tr w14:paraId="72B8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94" w:type="dxa"/>
            <w:tcBorders>
              <w:top w:val="nil"/>
              <w:left w:val="single" w:color="000000" w:sz="8" w:space="0"/>
              <w:bottom w:val="single" w:color="000000" w:sz="8" w:space="0"/>
              <w:right w:val="single" w:color="000000" w:sz="8" w:space="0"/>
            </w:tcBorders>
            <w:shd w:val="clear" w:color="auto" w:fill="DDEBF7"/>
            <w:noWrap/>
            <w:vAlign w:val="center"/>
          </w:tcPr>
          <w:p w14:paraId="23286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基本支出－公用经费－书刊杂志</w:t>
            </w:r>
          </w:p>
        </w:tc>
        <w:tc>
          <w:tcPr>
            <w:tcW w:w="1294" w:type="dxa"/>
            <w:tcBorders>
              <w:top w:val="nil"/>
              <w:left w:val="nil"/>
              <w:bottom w:val="single" w:color="000000" w:sz="8" w:space="0"/>
              <w:right w:val="single" w:color="000000" w:sz="8" w:space="0"/>
            </w:tcBorders>
            <w:shd w:val="clear" w:color="auto" w:fill="DDEBF7"/>
            <w:noWrap/>
            <w:vAlign w:val="center"/>
          </w:tcPr>
          <w:p w14:paraId="0F8EF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4" w:type="dxa"/>
            <w:tcBorders>
              <w:top w:val="nil"/>
              <w:left w:val="nil"/>
              <w:bottom w:val="single" w:color="000000" w:sz="8" w:space="0"/>
              <w:right w:val="single" w:color="000000" w:sz="8" w:space="0"/>
            </w:tcBorders>
            <w:shd w:val="clear" w:color="auto" w:fill="DDEBF7"/>
            <w:noWrap/>
            <w:vAlign w:val="center"/>
          </w:tcPr>
          <w:p w14:paraId="148C1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DDEBF7"/>
            <w:noWrap/>
            <w:vAlign w:val="center"/>
          </w:tcPr>
          <w:p w14:paraId="16563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8,888.80 </w:t>
            </w:r>
          </w:p>
        </w:tc>
        <w:tc>
          <w:tcPr>
            <w:tcW w:w="1594" w:type="dxa"/>
            <w:tcBorders>
              <w:top w:val="nil"/>
              <w:left w:val="nil"/>
              <w:bottom w:val="single" w:color="000000" w:sz="8" w:space="0"/>
              <w:right w:val="single" w:color="000000" w:sz="8" w:space="0"/>
            </w:tcBorders>
            <w:shd w:val="clear" w:color="auto" w:fill="DDEBF7"/>
            <w:noWrap/>
            <w:vAlign w:val="center"/>
          </w:tcPr>
          <w:p w14:paraId="232C7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8,888.80 </w:t>
            </w:r>
          </w:p>
        </w:tc>
      </w:tr>
      <w:tr w14:paraId="2612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4" w:type="dxa"/>
            <w:tcBorders>
              <w:top w:val="nil"/>
              <w:left w:val="single" w:color="000000" w:sz="8" w:space="0"/>
              <w:bottom w:val="single" w:color="000000" w:sz="8" w:space="0"/>
              <w:right w:val="single" w:color="000000" w:sz="8" w:space="0"/>
            </w:tcBorders>
            <w:shd w:val="clear" w:color="auto" w:fill="auto"/>
            <w:noWrap/>
            <w:vAlign w:val="center"/>
          </w:tcPr>
          <w:p w14:paraId="5B7C1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基本支出－公用经费－办公用品及耗材</w:t>
            </w:r>
          </w:p>
        </w:tc>
        <w:tc>
          <w:tcPr>
            <w:tcW w:w="1294" w:type="dxa"/>
            <w:tcBorders>
              <w:top w:val="nil"/>
              <w:left w:val="nil"/>
              <w:bottom w:val="single" w:color="000000" w:sz="8" w:space="0"/>
              <w:right w:val="single" w:color="000000" w:sz="8" w:space="0"/>
            </w:tcBorders>
            <w:shd w:val="clear" w:color="auto" w:fill="auto"/>
            <w:noWrap/>
            <w:vAlign w:val="center"/>
          </w:tcPr>
          <w:p w14:paraId="5AE10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3,060.00 </w:t>
            </w:r>
          </w:p>
        </w:tc>
        <w:tc>
          <w:tcPr>
            <w:tcW w:w="2044" w:type="dxa"/>
            <w:tcBorders>
              <w:top w:val="nil"/>
              <w:left w:val="nil"/>
              <w:bottom w:val="single" w:color="000000" w:sz="8" w:space="0"/>
              <w:right w:val="single" w:color="000000" w:sz="8" w:space="0"/>
            </w:tcBorders>
            <w:shd w:val="clear" w:color="auto" w:fill="auto"/>
            <w:noWrap/>
            <w:vAlign w:val="center"/>
          </w:tcPr>
          <w:p w14:paraId="0030D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auto"/>
            <w:noWrap/>
            <w:vAlign w:val="center"/>
          </w:tcPr>
          <w:p w14:paraId="6DCBA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4,117.00 </w:t>
            </w:r>
          </w:p>
        </w:tc>
        <w:tc>
          <w:tcPr>
            <w:tcW w:w="1594" w:type="dxa"/>
            <w:tcBorders>
              <w:top w:val="nil"/>
              <w:left w:val="nil"/>
              <w:bottom w:val="single" w:color="000000" w:sz="8" w:space="0"/>
              <w:right w:val="single" w:color="000000" w:sz="8" w:space="0"/>
            </w:tcBorders>
            <w:shd w:val="clear" w:color="auto" w:fill="auto"/>
            <w:noWrap/>
            <w:vAlign w:val="center"/>
          </w:tcPr>
          <w:p w14:paraId="194E7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7,177.00 </w:t>
            </w:r>
          </w:p>
        </w:tc>
      </w:tr>
      <w:tr w14:paraId="50E6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94" w:type="dxa"/>
            <w:tcBorders>
              <w:top w:val="nil"/>
              <w:left w:val="single" w:color="000000" w:sz="8" w:space="0"/>
              <w:bottom w:val="single" w:color="000000" w:sz="8" w:space="0"/>
              <w:right w:val="single" w:color="000000" w:sz="8" w:space="0"/>
            </w:tcBorders>
            <w:shd w:val="clear" w:color="auto" w:fill="DDEBF7"/>
            <w:noWrap/>
            <w:vAlign w:val="center"/>
          </w:tcPr>
          <w:p w14:paraId="0E985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基本支出-公用经费-工会补助</w:t>
            </w:r>
          </w:p>
        </w:tc>
        <w:tc>
          <w:tcPr>
            <w:tcW w:w="1294" w:type="dxa"/>
            <w:tcBorders>
              <w:top w:val="nil"/>
              <w:left w:val="nil"/>
              <w:bottom w:val="single" w:color="000000" w:sz="8" w:space="0"/>
              <w:right w:val="single" w:color="000000" w:sz="8" w:space="0"/>
            </w:tcBorders>
            <w:shd w:val="clear" w:color="auto" w:fill="DDEBF7"/>
            <w:noWrap/>
            <w:vAlign w:val="center"/>
          </w:tcPr>
          <w:p w14:paraId="23FD4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4" w:type="dxa"/>
            <w:tcBorders>
              <w:top w:val="nil"/>
              <w:left w:val="nil"/>
              <w:bottom w:val="single" w:color="000000" w:sz="8" w:space="0"/>
              <w:right w:val="single" w:color="000000" w:sz="8" w:space="0"/>
            </w:tcBorders>
            <w:shd w:val="clear" w:color="auto" w:fill="DDEBF7"/>
            <w:noWrap/>
            <w:vAlign w:val="center"/>
          </w:tcPr>
          <w:p w14:paraId="6500B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DDEBF7"/>
            <w:noWrap/>
            <w:vAlign w:val="center"/>
          </w:tcPr>
          <w:p w14:paraId="5369C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31,500.00 </w:t>
            </w:r>
          </w:p>
        </w:tc>
        <w:tc>
          <w:tcPr>
            <w:tcW w:w="1594" w:type="dxa"/>
            <w:tcBorders>
              <w:top w:val="nil"/>
              <w:left w:val="nil"/>
              <w:bottom w:val="single" w:color="000000" w:sz="8" w:space="0"/>
              <w:right w:val="single" w:color="000000" w:sz="8" w:space="0"/>
            </w:tcBorders>
            <w:shd w:val="clear" w:color="auto" w:fill="DDEBF7"/>
            <w:noWrap/>
            <w:vAlign w:val="center"/>
          </w:tcPr>
          <w:p w14:paraId="63711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31,500.00 </w:t>
            </w:r>
          </w:p>
        </w:tc>
      </w:tr>
      <w:tr w14:paraId="3928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4" w:type="dxa"/>
            <w:tcBorders>
              <w:top w:val="nil"/>
              <w:left w:val="single" w:color="000000" w:sz="8" w:space="0"/>
              <w:bottom w:val="single" w:color="000000" w:sz="8" w:space="0"/>
              <w:right w:val="single" w:color="000000" w:sz="8" w:space="0"/>
            </w:tcBorders>
            <w:shd w:val="clear" w:color="auto" w:fill="auto"/>
            <w:noWrap/>
            <w:vAlign w:val="center"/>
          </w:tcPr>
          <w:p w14:paraId="62362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基本支出-公用经费-咨询服务费等</w:t>
            </w:r>
          </w:p>
        </w:tc>
        <w:tc>
          <w:tcPr>
            <w:tcW w:w="1294" w:type="dxa"/>
            <w:tcBorders>
              <w:top w:val="nil"/>
              <w:left w:val="nil"/>
              <w:bottom w:val="single" w:color="000000" w:sz="8" w:space="0"/>
              <w:right w:val="single" w:color="000000" w:sz="8" w:space="0"/>
            </w:tcBorders>
            <w:shd w:val="clear" w:color="auto" w:fill="auto"/>
            <w:noWrap/>
            <w:vAlign w:val="center"/>
          </w:tcPr>
          <w:p w14:paraId="2A023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44" w:type="dxa"/>
            <w:tcBorders>
              <w:top w:val="nil"/>
              <w:left w:val="nil"/>
              <w:bottom w:val="single" w:color="000000" w:sz="8" w:space="0"/>
              <w:right w:val="single" w:color="000000" w:sz="8" w:space="0"/>
            </w:tcBorders>
            <w:shd w:val="clear" w:color="auto" w:fill="auto"/>
            <w:noWrap/>
            <w:vAlign w:val="center"/>
          </w:tcPr>
          <w:p w14:paraId="3FAD8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87" w:type="dxa"/>
            <w:tcBorders>
              <w:top w:val="nil"/>
              <w:left w:val="nil"/>
              <w:bottom w:val="single" w:color="000000" w:sz="8" w:space="0"/>
              <w:right w:val="single" w:color="000000" w:sz="8" w:space="0"/>
            </w:tcBorders>
            <w:shd w:val="clear" w:color="auto" w:fill="auto"/>
            <w:noWrap/>
            <w:vAlign w:val="center"/>
          </w:tcPr>
          <w:p w14:paraId="7BD51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22,148.00 </w:t>
            </w:r>
          </w:p>
        </w:tc>
        <w:tc>
          <w:tcPr>
            <w:tcW w:w="1594" w:type="dxa"/>
            <w:tcBorders>
              <w:top w:val="nil"/>
              <w:left w:val="nil"/>
              <w:bottom w:val="single" w:color="000000" w:sz="8" w:space="0"/>
              <w:right w:val="single" w:color="000000" w:sz="8" w:space="0"/>
            </w:tcBorders>
            <w:shd w:val="clear" w:color="auto" w:fill="auto"/>
            <w:noWrap/>
            <w:vAlign w:val="center"/>
          </w:tcPr>
          <w:p w14:paraId="1CADF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22,148.00 </w:t>
            </w:r>
          </w:p>
        </w:tc>
      </w:tr>
      <w:tr w14:paraId="26D8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94" w:type="dxa"/>
            <w:tcBorders>
              <w:top w:val="nil"/>
              <w:left w:val="single" w:color="000000" w:sz="8" w:space="0"/>
              <w:bottom w:val="single" w:color="000000" w:sz="8" w:space="0"/>
              <w:right w:val="single" w:color="000000" w:sz="8" w:space="0"/>
            </w:tcBorders>
            <w:shd w:val="clear" w:color="auto" w:fill="DDEBF7"/>
            <w:noWrap/>
            <w:vAlign w:val="center"/>
          </w:tcPr>
          <w:p w14:paraId="66148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94" w:type="dxa"/>
            <w:tcBorders>
              <w:top w:val="nil"/>
              <w:left w:val="nil"/>
              <w:bottom w:val="single" w:color="000000" w:sz="8" w:space="0"/>
              <w:right w:val="single" w:color="000000" w:sz="8" w:space="0"/>
            </w:tcBorders>
            <w:shd w:val="clear" w:color="auto" w:fill="DDEBF7"/>
            <w:noWrap/>
            <w:vAlign w:val="center"/>
          </w:tcPr>
          <w:p w14:paraId="728C4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22,532.16 </w:t>
            </w:r>
          </w:p>
        </w:tc>
        <w:tc>
          <w:tcPr>
            <w:tcW w:w="2044" w:type="dxa"/>
            <w:tcBorders>
              <w:top w:val="nil"/>
              <w:left w:val="nil"/>
              <w:bottom w:val="single" w:color="000000" w:sz="8" w:space="0"/>
              <w:right w:val="single" w:color="000000" w:sz="8" w:space="0"/>
            </w:tcBorders>
            <w:shd w:val="clear" w:color="auto" w:fill="DDEBF7"/>
            <w:noWrap/>
            <w:vAlign w:val="center"/>
          </w:tcPr>
          <w:p w14:paraId="0A331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6,753.16 </w:t>
            </w:r>
          </w:p>
        </w:tc>
        <w:tc>
          <w:tcPr>
            <w:tcW w:w="1387" w:type="dxa"/>
            <w:tcBorders>
              <w:top w:val="nil"/>
              <w:left w:val="nil"/>
              <w:bottom w:val="single" w:color="000000" w:sz="8" w:space="0"/>
              <w:right w:val="single" w:color="000000" w:sz="8" w:space="0"/>
            </w:tcBorders>
            <w:shd w:val="clear" w:color="auto" w:fill="DDEBF7"/>
            <w:noWrap/>
            <w:vAlign w:val="center"/>
          </w:tcPr>
          <w:p w14:paraId="2904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66,653.80 </w:t>
            </w:r>
          </w:p>
        </w:tc>
        <w:tc>
          <w:tcPr>
            <w:tcW w:w="1594" w:type="dxa"/>
            <w:tcBorders>
              <w:top w:val="nil"/>
              <w:left w:val="nil"/>
              <w:bottom w:val="single" w:color="000000" w:sz="8" w:space="0"/>
              <w:right w:val="single" w:color="000000" w:sz="8" w:space="0"/>
            </w:tcBorders>
            <w:shd w:val="clear" w:color="auto" w:fill="DDEBF7"/>
            <w:noWrap/>
            <w:vAlign w:val="center"/>
          </w:tcPr>
          <w:p w14:paraId="427E5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82,432.80 </w:t>
            </w:r>
          </w:p>
        </w:tc>
      </w:tr>
    </w:tbl>
    <w:p w14:paraId="5B0351EF">
      <w:pPr>
        <w:widowControl w:val="0"/>
        <w:ind w:firstLine="440" w:firstLineChars="200"/>
        <w:jc w:val="both"/>
        <w:rPr>
          <w:rFonts w:hint="default" w:ascii="仿宋" w:hAnsi="仿宋" w:eastAsia="仿宋" w:cs="仿宋"/>
          <w:b w:val="0"/>
          <w:bCs w:val="0"/>
          <w:sz w:val="22"/>
          <w:szCs w:val="22"/>
          <w:lang w:val="en-US" w:eastAsia="zh-CN"/>
        </w:rPr>
      </w:pPr>
    </w:p>
    <w:tbl>
      <w:tblPr>
        <w:tblStyle w:val="13"/>
        <w:tblW w:w="8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4"/>
        <w:gridCol w:w="1366"/>
        <w:gridCol w:w="1634"/>
        <w:gridCol w:w="1420"/>
        <w:gridCol w:w="1613"/>
      </w:tblGrid>
      <w:tr w14:paraId="1AF2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blHeader/>
        </w:trPr>
        <w:tc>
          <w:tcPr>
            <w:tcW w:w="267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9485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项目支出明细</w:t>
            </w:r>
          </w:p>
        </w:tc>
        <w:tc>
          <w:tcPr>
            <w:tcW w:w="1366" w:type="dxa"/>
            <w:tcBorders>
              <w:top w:val="single" w:color="000000" w:sz="8" w:space="0"/>
              <w:left w:val="nil"/>
              <w:bottom w:val="single" w:color="000000" w:sz="8" w:space="0"/>
              <w:right w:val="single" w:color="000000" w:sz="8" w:space="0"/>
            </w:tcBorders>
            <w:shd w:val="clear" w:color="auto" w:fill="DDEBF7"/>
            <w:noWrap/>
            <w:vAlign w:val="center"/>
          </w:tcPr>
          <w:p w14:paraId="7D3D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账套金额</w:t>
            </w:r>
          </w:p>
        </w:tc>
        <w:tc>
          <w:tcPr>
            <w:tcW w:w="1634" w:type="dxa"/>
            <w:tcBorders>
              <w:top w:val="single" w:color="000000" w:sz="8" w:space="0"/>
              <w:left w:val="nil"/>
              <w:bottom w:val="single" w:color="000000" w:sz="8" w:space="0"/>
              <w:right w:val="single" w:color="000000" w:sz="8" w:space="0"/>
            </w:tcBorders>
            <w:shd w:val="clear" w:color="auto" w:fill="DDEBF7"/>
            <w:noWrap/>
            <w:vAlign w:val="center"/>
          </w:tcPr>
          <w:p w14:paraId="6DE5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从项目支出调至基本支出－人员经费（－）</w:t>
            </w:r>
          </w:p>
        </w:tc>
        <w:tc>
          <w:tcPr>
            <w:tcW w:w="1420" w:type="dxa"/>
            <w:tcBorders>
              <w:top w:val="single" w:color="000000" w:sz="8" w:space="0"/>
              <w:left w:val="nil"/>
              <w:bottom w:val="single" w:color="000000" w:sz="8" w:space="0"/>
              <w:right w:val="single" w:color="000000" w:sz="8" w:space="0"/>
            </w:tcBorders>
            <w:shd w:val="clear" w:color="auto" w:fill="DDEBF7"/>
            <w:noWrap/>
            <w:vAlign w:val="center"/>
          </w:tcPr>
          <w:p w14:paraId="61FF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从项目支出调至基本支出－公用经费（－）</w:t>
            </w:r>
          </w:p>
        </w:tc>
        <w:tc>
          <w:tcPr>
            <w:tcW w:w="1613" w:type="dxa"/>
            <w:tcBorders>
              <w:top w:val="single" w:color="000000" w:sz="8" w:space="0"/>
              <w:left w:val="nil"/>
              <w:bottom w:val="single" w:color="000000" w:sz="8" w:space="0"/>
              <w:right w:val="single" w:color="000000" w:sz="8" w:space="0"/>
            </w:tcBorders>
            <w:shd w:val="clear" w:color="auto" w:fill="DDEBF7"/>
            <w:noWrap/>
            <w:vAlign w:val="center"/>
          </w:tcPr>
          <w:p w14:paraId="41C7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596B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11F48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项目支出－办公用品及耗材</w:t>
            </w:r>
          </w:p>
        </w:tc>
        <w:tc>
          <w:tcPr>
            <w:tcW w:w="1366" w:type="dxa"/>
            <w:tcBorders>
              <w:top w:val="nil"/>
              <w:left w:val="nil"/>
              <w:bottom w:val="single" w:color="000000" w:sz="8" w:space="0"/>
              <w:right w:val="single" w:color="000000" w:sz="8" w:space="0"/>
            </w:tcBorders>
            <w:shd w:val="clear" w:color="auto" w:fill="auto"/>
            <w:noWrap/>
            <w:vAlign w:val="center"/>
          </w:tcPr>
          <w:p w14:paraId="559B5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2,250.50 </w:t>
            </w:r>
          </w:p>
        </w:tc>
        <w:tc>
          <w:tcPr>
            <w:tcW w:w="1634" w:type="dxa"/>
            <w:tcBorders>
              <w:top w:val="nil"/>
              <w:left w:val="nil"/>
              <w:bottom w:val="single" w:color="000000" w:sz="8" w:space="0"/>
              <w:right w:val="single" w:color="000000" w:sz="8" w:space="0"/>
            </w:tcBorders>
            <w:shd w:val="clear" w:color="auto" w:fill="auto"/>
            <w:noWrap/>
            <w:vAlign w:val="center"/>
          </w:tcPr>
          <w:p w14:paraId="7202607D">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auto"/>
            <w:noWrap/>
            <w:vAlign w:val="center"/>
          </w:tcPr>
          <w:p w14:paraId="497E476C">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auto"/>
            <w:noWrap/>
            <w:vAlign w:val="center"/>
          </w:tcPr>
          <w:p w14:paraId="15DE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2,250.50 </w:t>
            </w:r>
          </w:p>
        </w:tc>
      </w:tr>
      <w:tr w14:paraId="330B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DEBF7"/>
            <w:noWrap/>
            <w:vAlign w:val="center"/>
          </w:tcPr>
          <w:p w14:paraId="5B1E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基本支出-公用经费-书刊杂志</w:t>
            </w:r>
          </w:p>
        </w:tc>
        <w:tc>
          <w:tcPr>
            <w:tcW w:w="1366" w:type="dxa"/>
            <w:tcBorders>
              <w:top w:val="nil"/>
              <w:left w:val="nil"/>
              <w:bottom w:val="single" w:color="000000" w:sz="8" w:space="0"/>
              <w:right w:val="single" w:color="000000" w:sz="8" w:space="0"/>
            </w:tcBorders>
            <w:shd w:val="clear" w:color="auto" w:fill="DDEBF7"/>
            <w:noWrap/>
            <w:vAlign w:val="center"/>
          </w:tcPr>
          <w:p w14:paraId="201CD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8,888.80 </w:t>
            </w:r>
          </w:p>
        </w:tc>
        <w:tc>
          <w:tcPr>
            <w:tcW w:w="1634" w:type="dxa"/>
            <w:tcBorders>
              <w:top w:val="nil"/>
              <w:left w:val="nil"/>
              <w:bottom w:val="single" w:color="000000" w:sz="8" w:space="0"/>
              <w:right w:val="single" w:color="000000" w:sz="8" w:space="0"/>
            </w:tcBorders>
            <w:shd w:val="clear" w:color="auto" w:fill="DDEBF7"/>
            <w:noWrap/>
            <w:vAlign w:val="center"/>
          </w:tcPr>
          <w:p w14:paraId="29681F53">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DEBF7"/>
            <w:noWrap/>
            <w:vAlign w:val="center"/>
          </w:tcPr>
          <w:p w14:paraId="62E5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8,888.80 </w:t>
            </w:r>
          </w:p>
        </w:tc>
        <w:tc>
          <w:tcPr>
            <w:tcW w:w="1613" w:type="dxa"/>
            <w:tcBorders>
              <w:top w:val="nil"/>
              <w:left w:val="nil"/>
              <w:bottom w:val="single" w:color="000000" w:sz="8" w:space="0"/>
              <w:right w:val="single" w:color="000000" w:sz="8" w:space="0"/>
            </w:tcBorders>
            <w:shd w:val="clear" w:color="auto" w:fill="DDEBF7"/>
            <w:noWrap/>
            <w:vAlign w:val="center"/>
          </w:tcPr>
          <w:p w14:paraId="73C42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77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3BF3B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项目支出－拨付经费</w:t>
            </w:r>
          </w:p>
        </w:tc>
        <w:tc>
          <w:tcPr>
            <w:tcW w:w="1366" w:type="dxa"/>
            <w:tcBorders>
              <w:top w:val="nil"/>
              <w:left w:val="nil"/>
              <w:bottom w:val="single" w:color="000000" w:sz="8" w:space="0"/>
              <w:right w:val="single" w:color="000000" w:sz="8" w:space="0"/>
            </w:tcBorders>
            <w:shd w:val="clear" w:color="auto" w:fill="auto"/>
            <w:noWrap/>
            <w:vAlign w:val="center"/>
          </w:tcPr>
          <w:p w14:paraId="624A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33,954.00 </w:t>
            </w:r>
          </w:p>
        </w:tc>
        <w:tc>
          <w:tcPr>
            <w:tcW w:w="1634" w:type="dxa"/>
            <w:tcBorders>
              <w:top w:val="nil"/>
              <w:left w:val="nil"/>
              <w:bottom w:val="single" w:color="000000" w:sz="8" w:space="0"/>
              <w:right w:val="single" w:color="000000" w:sz="8" w:space="0"/>
            </w:tcBorders>
            <w:shd w:val="clear" w:color="auto" w:fill="auto"/>
            <w:noWrap/>
            <w:vAlign w:val="center"/>
          </w:tcPr>
          <w:p w14:paraId="682F4E12">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auto"/>
            <w:noWrap/>
            <w:vAlign w:val="center"/>
          </w:tcPr>
          <w:p w14:paraId="7099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31,500.00 </w:t>
            </w:r>
          </w:p>
        </w:tc>
        <w:tc>
          <w:tcPr>
            <w:tcW w:w="1613" w:type="dxa"/>
            <w:tcBorders>
              <w:top w:val="nil"/>
              <w:left w:val="nil"/>
              <w:bottom w:val="single" w:color="000000" w:sz="8" w:space="0"/>
              <w:right w:val="single" w:color="000000" w:sz="8" w:space="0"/>
            </w:tcBorders>
            <w:shd w:val="clear" w:color="auto" w:fill="auto"/>
            <w:noWrap/>
            <w:vAlign w:val="center"/>
          </w:tcPr>
          <w:p w14:paraId="18D6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2,454.00 </w:t>
            </w:r>
          </w:p>
        </w:tc>
      </w:tr>
      <w:tr w14:paraId="7A74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DEBF7"/>
            <w:noWrap/>
            <w:vAlign w:val="center"/>
          </w:tcPr>
          <w:p w14:paraId="0C426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项目支出-公车费</w:t>
            </w:r>
          </w:p>
        </w:tc>
        <w:tc>
          <w:tcPr>
            <w:tcW w:w="1366" w:type="dxa"/>
            <w:tcBorders>
              <w:top w:val="nil"/>
              <w:left w:val="nil"/>
              <w:bottom w:val="single" w:color="000000" w:sz="8" w:space="0"/>
              <w:right w:val="single" w:color="000000" w:sz="8" w:space="0"/>
            </w:tcBorders>
            <w:shd w:val="clear" w:color="auto" w:fill="DDEBF7"/>
            <w:noWrap/>
            <w:vAlign w:val="center"/>
          </w:tcPr>
          <w:p w14:paraId="546A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634" w:type="dxa"/>
            <w:tcBorders>
              <w:top w:val="nil"/>
              <w:left w:val="nil"/>
              <w:bottom w:val="single" w:color="000000" w:sz="8" w:space="0"/>
              <w:right w:val="single" w:color="000000" w:sz="8" w:space="0"/>
            </w:tcBorders>
            <w:shd w:val="clear" w:color="auto" w:fill="DDEBF7"/>
            <w:noWrap/>
            <w:vAlign w:val="center"/>
          </w:tcPr>
          <w:p w14:paraId="7553EDDD">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DEBF7"/>
            <w:noWrap/>
            <w:vAlign w:val="center"/>
          </w:tcPr>
          <w:p w14:paraId="6BC07B7F">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DDEBF7"/>
            <w:noWrap/>
            <w:vAlign w:val="center"/>
          </w:tcPr>
          <w:p w14:paraId="20BC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r>
      <w:tr w14:paraId="09E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3D8F4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基本支出－公用经费－办公用品及耗材</w:t>
            </w:r>
          </w:p>
        </w:tc>
        <w:tc>
          <w:tcPr>
            <w:tcW w:w="1366" w:type="dxa"/>
            <w:tcBorders>
              <w:top w:val="nil"/>
              <w:left w:val="nil"/>
              <w:bottom w:val="single" w:color="000000" w:sz="8" w:space="0"/>
              <w:right w:val="single" w:color="000000" w:sz="8" w:space="0"/>
            </w:tcBorders>
            <w:shd w:val="clear" w:color="auto" w:fill="auto"/>
            <w:noWrap/>
            <w:vAlign w:val="center"/>
          </w:tcPr>
          <w:p w14:paraId="0434A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4,117.00 </w:t>
            </w:r>
          </w:p>
        </w:tc>
        <w:tc>
          <w:tcPr>
            <w:tcW w:w="1634" w:type="dxa"/>
            <w:tcBorders>
              <w:top w:val="nil"/>
              <w:left w:val="nil"/>
              <w:bottom w:val="single" w:color="000000" w:sz="8" w:space="0"/>
              <w:right w:val="single" w:color="000000" w:sz="8" w:space="0"/>
            </w:tcBorders>
            <w:shd w:val="clear" w:color="auto" w:fill="auto"/>
            <w:noWrap/>
            <w:vAlign w:val="center"/>
          </w:tcPr>
          <w:p w14:paraId="0459085A">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auto"/>
            <w:noWrap/>
            <w:vAlign w:val="center"/>
          </w:tcPr>
          <w:p w14:paraId="4EBE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4,117.00 </w:t>
            </w:r>
          </w:p>
        </w:tc>
        <w:tc>
          <w:tcPr>
            <w:tcW w:w="1613" w:type="dxa"/>
            <w:tcBorders>
              <w:top w:val="nil"/>
              <w:left w:val="nil"/>
              <w:bottom w:val="single" w:color="000000" w:sz="8" w:space="0"/>
              <w:right w:val="single" w:color="000000" w:sz="8" w:space="0"/>
            </w:tcBorders>
            <w:shd w:val="clear" w:color="auto" w:fill="auto"/>
            <w:noWrap/>
            <w:vAlign w:val="center"/>
          </w:tcPr>
          <w:p w14:paraId="4092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00C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DEBF7"/>
            <w:noWrap/>
            <w:vAlign w:val="center"/>
          </w:tcPr>
          <w:p w14:paraId="67594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基本支出-公用经费-咨询服务费</w:t>
            </w:r>
          </w:p>
        </w:tc>
        <w:tc>
          <w:tcPr>
            <w:tcW w:w="1366" w:type="dxa"/>
            <w:tcBorders>
              <w:top w:val="nil"/>
              <w:left w:val="nil"/>
              <w:bottom w:val="single" w:color="000000" w:sz="8" w:space="0"/>
              <w:right w:val="single" w:color="000000" w:sz="8" w:space="0"/>
            </w:tcBorders>
            <w:shd w:val="clear" w:color="auto" w:fill="DDEBF7"/>
            <w:noWrap/>
            <w:vAlign w:val="center"/>
          </w:tcPr>
          <w:p w14:paraId="1154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22,148.00 </w:t>
            </w:r>
          </w:p>
        </w:tc>
        <w:tc>
          <w:tcPr>
            <w:tcW w:w="1634" w:type="dxa"/>
            <w:tcBorders>
              <w:top w:val="nil"/>
              <w:left w:val="nil"/>
              <w:bottom w:val="single" w:color="000000" w:sz="8" w:space="0"/>
              <w:right w:val="single" w:color="000000" w:sz="8" w:space="0"/>
            </w:tcBorders>
            <w:shd w:val="clear" w:color="auto" w:fill="DDEBF7"/>
            <w:noWrap/>
            <w:vAlign w:val="center"/>
          </w:tcPr>
          <w:p w14:paraId="5B4E3691">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DEBF7"/>
            <w:noWrap/>
            <w:vAlign w:val="center"/>
          </w:tcPr>
          <w:p w14:paraId="1ECC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22,148.00 </w:t>
            </w:r>
          </w:p>
        </w:tc>
        <w:tc>
          <w:tcPr>
            <w:tcW w:w="1613" w:type="dxa"/>
            <w:tcBorders>
              <w:top w:val="nil"/>
              <w:left w:val="nil"/>
              <w:bottom w:val="single" w:color="000000" w:sz="8" w:space="0"/>
              <w:right w:val="single" w:color="000000" w:sz="8" w:space="0"/>
            </w:tcBorders>
            <w:shd w:val="clear" w:color="auto" w:fill="DDEBF7"/>
            <w:noWrap/>
            <w:vAlign w:val="center"/>
          </w:tcPr>
          <w:p w14:paraId="1AEC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84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0C01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项目支出－活动经费</w:t>
            </w:r>
          </w:p>
        </w:tc>
        <w:tc>
          <w:tcPr>
            <w:tcW w:w="1366" w:type="dxa"/>
            <w:tcBorders>
              <w:top w:val="nil"/>
              <w:left w:val="nil"/>
              <w:bottom w:val="single" w:color="000000" w:sz="8" w:space="0"/>
              <w:right w:val="single" w:color="000000" w:sz="8" w:space="0"/>
            </w:tcBorders>
            <w:shd w:val="clear" w:color="auto" w:fill="auto"/>
            <w:noWrap/>
            <w:vAlign w:val="center"/>
          </w:tcPr>
          <w:p w14:paraId="60BD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90,569.80 </w:t>
            </w:r>
          </w:p>
        </w:tc>
        <w:tc>
          <w:tcPr>
            <w:tcW w:w="1634" w:type="dxa"/>
            <w:tcBorders>
              <w:top w:val="nil"/>
              <w:left w:val="nil"/>
              <w:bottom w:val="single" w:color="000000" w:sz="8" w:space="0"/>
              <w:right w:val="single" w:color="000000" w:sz="8" w:space="0"/>
            </w:tcBorders>
            <w:shd w:val="clear" w:color="auto" w:fill="auto"/>
            <w:noWrap/>
            <w:vAlign w:val="center"/>
          </w:tcPr>
          <w:p w14:paraId="1AC223A4">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auto"/>
            <w:noWrap/>
            <w:vAlign w:val="center"/>
          </w:tcPr>
          <w:p w14:paraId="604DA2E7">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auto"/>
            <w:noWrap/>
            <w:vAlign w:val="center"/>
          </w:tcPr>
          <w:p w14:paraId="7C009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90,569.80 </w:t>
            </w:r>
          </w:p>
        </w:tc>
      </w:tr>
      <w:tr w14:paraId="4E47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EEBF6"/>
            <w:noWrap/>
            <w:vAlign w:val="center"/>
          </w:tcPr>
          <w:p w14:paraId="3881A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项目支出－餐费</w:t>
            </w:r>
          </w:p>
        </w:tc>
        <w:tc>
          <w:tcPr>
            <w:tcW w:w="1366" w:type="dxa"/>
            <w:tcBorders>
              <w:top w:val="nil"/>
              <w:left w:val="nil"/>
              <w:bottom w:val="single" w:color="000000" w:sz="8" w:space="0"/>
              <w:right w:val="single" w:color="000000" w:sz="8" w:space="0"/>
            </w:tcBorders>
            <w:shd w:val="clear" w:color="auto" w:fill="DEEBF6"/>
            <w:noWrap/>
            <w:vAlign w:val="center"/>
          </w:tcPr>
          <w:p w14:paraId="0734A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2,783.00 </w:t>
            </w:r>
          </w:p>
        </w:tc>
        <w:tc>
          <w:tcPr>
            <w:tcW w:w="1634" w:type="dxa"/>
            <w:tcBorders>
              <w:top w:val="nil"/>
              <w:left w:val="nil"/>
              <w:bottom w:val="single" w:color="000000" w:sz="8" w:space="0"/>
              <w:right w:val="single" w:color="000000" w:sz="8" w:space="0"/>
            </w:tcBorders>
            <w:shd w:val="clear" w:color="auto" w:fill="DEEBF6"/>
            <w:noWrap/>
            <w:vAlign w:val="center"/>
          </w:tcPr>
          <w:p w14:paraId="7CBF603C">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EEBF6"/>
            <w:noWrap/>
            <w:vAlign w:val="center"/>
          </w:tcPr>
          <w:p w14:paraId="7A6E7008">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DDEBF7"/>
            <w:noWrap/>
            <w:vAlign w:val="center"/>
          </w:tcPr>
          <w:p w14:paraId="6BF6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2,783.00 </w:t>
            </w:r>
          </w:p>
        </w:tc>
      </w:tr>
      <w:tr w14:paraId="4072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1C33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366" w:type="dxa"/>
            <w:tcBorders>
              <w:top w:val="nil"/>
              <w:left w:val="nil"/>
              <w:bottom w:val="single" w:color="000000" w:sz="8" w:space="0"/>
              <w:right w:val="single" w:color="000000" w:sz="8" w:space="0"/>
            </w:tcBorders>
            <w:shd w:val="clear" w:color="auto" w:fill="auto"/>
            <w:noWrap/>
            <w:vAlign w:val="center"/>
          </w:tcPr>
          <w:p w14:paraId="09D3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66,639.61 </w:t>
            </w:r>
          </w:p>
        </w:tc>
        <w:tc>
          <w:tcPr>
            <w:tcW w:w="1634" w:type="dxa"/>
            <w:tcBorders>
              <w:top w:val="nil"/>
              <w:left w:val="nil"/>
              <w:bottom w:val="single" w:color="000000" w:sz="8" w:space="0"/>
              <w:right w:val="single" w:color="000000" w:sz="8" w:space="0"/>
            </w:tcBorders>
            <w:shd w:val="clear" w:color="auto" w:fill="auto"/>
            <w:noWrap/>
            <w:vAlign w:val="center"/>
          </w:tcPr>
          <w:p w14:paraId="224F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66,639.61 </w:t>
            </w:r>
          </w:p>
        </w:tc>
        <w:tc>
          <w:tcPr>
            <w:tcW w:w="1420" w:type="dxa"/>
            <w:tcBorders>
              <w:top w:val="nil"/>
              <w:left w:val="nil"/>
              <w:bottom w:val="single" w:color="000000" w:sz="8" w:space="0"/>
              <w:right w:val="single" w:color="000000" w:sz="8" w:space="0"/>
            </w:tcBorders>
            <w:shd w:val="clear" w:color="auto" w:fill="auto"/>
            <w:noWrap/>
            <w:vAlign w:val="center"/>
          </w:tcPr>
          <w:p w14:paraId="7827C601">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auto"/>
            <w:noWrap/>
            <w:vAlign w:val="center"/>
          </w:tcPr>
          <w:p w14:paraId="3F77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730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DEBF7"/>
            <w:noWrap/>
            <w:vAlign w:val="center"/>
          </w:tcPr>
          <w:p w14:paraId="1E550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项目支出-培训费</w:t>
            </w:r>
          </w:p>
        </w:tc>
        <w:tc>
          <w:tcPr>
            <w:tcW w:w="1366" w:type="dxa"/>
            <w:tcBorders>
              <w:top w:val="nil"/>
              <w:left w:val="nil"/>
              <w:bottom w:val="single" w:color="000000" w:sz="8" w:space="0"/>
              <w:right w:val="single" w:color="000000" w:sz="8" w:space="0"/>
            </w:tcBorders>
            <w:shd w:val="clear" w:color="auto" w:fill="DEEBF6"/>
            <w:noWrap/>
            <w:vAlign w:val="center"/>
          </w:tcPr>
          <w:p w14:paraId="7447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1,692.00 </w:t>
            </w:r>
          </w:p>
        </w:tc>
        <w:tc>
          <w:tcPr>
            <w:tcW w:w="1634" w:type="dxa"/>
            <w:tcBorders>
              <w:top w:val="nil"/>
              <w:left w:val="nil"/>
              <w:bottom w:val="single" w:color="000000" w:sz="8" w:space="0"/>
              <w:right w:val="single" w:color="000000" w:sz="8" w:space="0"/>
            </w:tcBorders>
            <w:shd w:val="clear" w:color="auto" w:fill="DEEBF6"/>
            <w:noWrap/>
            <w:vAlign w:val="center"/>
          </w:tcPr>
          <w:p w14:paraId="31F456AE">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EEBF6"/>
            <w:noWrap/>
            <w:vAlign w:val="center"/>
          </w:tcPr>
          <w:p w14:paraId="7FE5498E">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DDEBF7"/>
            <w:noWrap/>
            <w:vAlign w:val="center"/>
          </w:tcPr>
          <w:p w14:paraId="39B1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1,692.00 </w:t>
            </w:r>
          </w:p>
        </w:tc>
      </w:tr>
      <w:tr w14:paraId="7CC4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0476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项目支出-会议费</w:t>
            </w:r>
          </w:p>
        </w:tc>
        <w:tc>
          <w:tcPr>
            <w:tcW w:w="1366" w:type="dxa"/>
            <w:tcBorders>
              <w:top w:val="nil"/>
              <w:left w:val="nil"/>
              <w:bottom w:val="single" w:color="000000" w:sz="8" w:space="0"/>
              <w:right w:val="single" w:color="000000" w:sz="8" w:space="0"/>
            </w:tcBorders>
            <w:shd w:val="clear" w:color="auto" w:fill="auto"/>
            <w:noWrap/>
            <w:vAlign w:val="center"/>
          </w:tcPr>
          <w:p w14:paraId="4CE3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43,296.00 </w:t>
            </w:r>
          </w:p>
        </w:tc>
        <w:tc>
          <w:tcPr>
            <w:tcW w:w="1634" w:type="dxa"/>
            <w:tcBorders>
              <w:top w:val="nil"/>
              <w:left w:val="nil"/>
              <w:bottom w:val="single" w:color="000000" w:sz="8" w:space="0"/>
              <w:right w:val="single" w:color="000000" w:sz="8" w:space="0"/>
            </w:tcBorders>
            <w:shd w:val="clear" w:color="auto" w:fill="auto"/>
            <w:noWrap/>
            <w:vAlign w:val="center"/>
          </w:tcPr>
          <w:p w14:paraId="5EBD0DF8">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auto"/>
            <w:noWrap/>
            <w:vAlign w:val="center"/>
          </w:tcPr>
          <w:p w14:paraId="5516ED64">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auto"/>
            <w:noWrap/>
            <w:vAlign w:val="center"/>
          </w:tcPr>
          <w:p w14:paraId="4E55F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43,296.00 </w:t>
            </w:r>
          </w:p>
        </w:tc>
      </w:tr>
      <w:tr w14:paraId="6FDA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674" w:type="dxa"/>
            <w:tcBorders>
              <w:top w:val="nil"/>
              <w:left w:val="single" w:color="000000" w:sz="8" w:space="0"/>
              <w:bottom w:val="single" w:color="000000" w:sz="8" w:space="0"/>
              <w:right w:val="single" w:color="000000" w:sz="8" w:space="0"/>
            </w:tcBorders>
            <w:shd w:val="clear" w:color="auto" w:fill="DDEBF7"/>
            <w:noWrap/>
            <w:vAlign w:val="center"/>
          </w:tcPr>
          <w:p w14:paraId="7B1A4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项目支出－文宣打印</w:t>
            </w:r>
          </w:p>
        </w:tc>
        <w:tc>
          <w:tcPr>
            <w:tcW w:w="1366" w:type="dxa"/>
            <w:tcBorders>
              <w:top w:val="nil"/>
              <w:left w:val="nil"/>
              <w:bottom w:val="single" w:color="000000" w:sz="8" w:space="0"/>
              <w:right w:val="single" w:color="000000" w:sz="8" w:space="0"/>
            </w:tcBorders>
            <w:shd w:val="clear" w:color="auto" w:fill="DEEBF6"/>
            <w:noWrap/>
            <w:vAlign w:val="center"/>
          </w:tcPr>
          <w:p w14:paraId="58C78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11,086.20 </w:t>
            </w:r>
          </w:p>
        </w:tc>
        <w:tc>
          <w:tcPr>
            <w:tcW w:w="1634" w:type="dxa"/>
            <w:tcBorders>
              <w:top w:val="nil"/>
              <w:left w:val="nil"/>
              <w:bottom w:val="single" w:color="000000" w:sz="8" w:space="0"/>
              <w:right w:val="single" w:color="000000" w:sz="8" w:space="0"/>
            </w:tcBorders>
            <w:shd w:val="clear" w:color="auto" w:fill="DEEBF6"/>
            <w:noWrap/>
            <w:vAlign w:val="center"/>
          </w:tcPr>
          <w:p w14:paraId="018D2FCF">
            <w:pPr>
              <w:jc w:val="center"/>
              <w:rPr>
                <w:rFonts w:hint="eastAsia" w:ascii="宋体" w:hAnsi="宋体" w:eastAsia="宋体" w:cs="宋体"/>
                <w:i w:val="0"/>
                <w:iCs w:val="0"/>
                <w:color w:val="000000"/>
                <w:sz w:val="22"/>
                <w:szCs w:val="22"/>
                <w:u w:val="none"/>
              </w:rPr>
            </w:pPr>
          </w:p>
        </w:tc>
        <w:tc>
          <w:tcPr>
            <w:tcW w:w="1420" w:type="dxa"/>
            <w:tcBorders>
              <w:top w:val="nil"/>
              <w:left w:val="nil"/>
              <w:bottom w:val="single" w:color="000000" w:sz="8" w:space="0"/>
              <w:right w:val="single" w:color="000000" w:sz="8" w:space="0"/>
            </w:tcBorders>
            <w:shd w:val="clear" w:color="auto" w:fill="DEEBF6"/>
            <w:noWrap/>
            <w:vAlign w:val="center"/>
          </w:tcPr>
          <w:p w14:paraId="19E0FBF2">
            <w:pPr>
              <w:jc w:val="center"/>
              <w:rPr>
                <w:rFonts w:hint="eastAsia" w:ascii="宋体" w:hAnsi="宋体" w:eastAsia="宋体" w:cs="宋体"/>
                <w:i w:val="0"/>
                <w:iCs w:val="0"/>
                <w:color w:val="000000"/>
                <w:sz w:val="22"/>
                <w:szCs w:val="22"/>
                <w:u w:val="none"/>
              </w:rPr>
            </w:pPr>
          </w:p>
        </w:tc>
        <w:tc>
          <w:tcPr>
            <w:tcW w:w="1613" w:type="dxa"/>
            <w:tcBorders>
              <w:top w:val="nil"/>
              <w:left w:val="nil"/>
              <w:bottom w:val="single" w:color="000000" w:sz="8" w:space="0"/>
              <w:right w:val="single" w:color="000000" w:sz="8" w:space="0"/>
            </w:tcBorders>
            <w:shd w:val="clear" w:color="auto" w:fill="DDEBF7"/>
            <w:noWrap/>
            <w:vAlign w:val="center"/>
          </w:tcPr>
          <w:p w14:paraId="53805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11,086.20 </w:t>
            </w:r>
          </w:p>
        </w:tc>
      </w:tr>
      <w:tr w14:paraId="1775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74" w:type="dxa"/>
            <w:tcBorders>
              <w:top w:val="nil"/>
              <w:left w:val="single" w:color="000000" w:sz="8" w:space="0"/>
              <w:bottom w:val="single" w:color="000000" w:sz="8" w:space="0"/>
              <w:right w:val="single" w:color="000000" w:sz="8" w:space="0"/>
            </w:tcBorders>
            <w:shd w:val="clear" w:color="auto" w:fill="auto"/>
            <w:noWrap/>
            <w:vAlign w:val="center"/>
          </w:tcPr>
          <w:p w14:paraId="10C61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6" w:type="dxa"/>
            <w:tcBorders>
              <w:top w:val="nil"/>
              <w:left w:val="nil"/>
              <w:bottom w:val="single" w:color="000000" w:sz="8" w:space="0"/>
              <w:right w:val="single" w:color="000000" w:sz="8" w:space="0"/>
            </w:tcBorders>
            <w:shd w:val="clear" w:color="auto" w:fill="auto"/>
            <w:noWrap/>
            <w:vAlign w:val="center"/>
          </w:tcPr>
          <w:p w14:paraId="62AEF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289,424.91 </w:t>
            </w:r>
          </w:p>
        </w:tc>
        <w:tc>
          <w:tcPr>
            <w:tcW w:w="1634" w:type="dxa"/>
            <w:tcBorders>
              <w:top w:val="nil"/>
              <w:left w:val="nil"/>
              <w:bottom w:val="single" w:color="000000" w:sz="8" w:space="0"/>
              <w:right w:val="single" w:color="000000" w:sz="8" w:space="0"/>
            </w:tcBorders>
            <w:shd w:val="clear" w:color="auto" w:fill="auto"/>
            <w:noWrap/>
            <w:vAlign w:val="center"/>
          </w:tcPr>
          <w:p w14:paraId="1C6CF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66,639.61 </w:t>
            </w:r>
          </w:p>
        </w:tc>
        <w:tc>
          <w:tcPr>
            <w:tcW w:w="1420" w:type="dxa"/>
            <w:tcBorders>
              <w:top w:val="nil"/>
              <w:left w:val="nil"/>
              <w:bottom w:val="single" w:color="000000" w:sz="8" w:space="0"/>
              <w:right w:val="single" w:color="000000" w:sz="8" w:space="0"/>
            </w:tcBorders>
            <w:shd w:val="clear" w:color="auto" w:fill="auto"/>
            <w:noWrap/>
            <w:vAlign w:val="center"/>
          </w:tcPr>
          <w:p w14:paraId="78ED8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66,653.80 </w:t>
            </w:r>
          </w:p>
        </w:tc>
        <w:tc>
          <w:tcPr>
            <w:tcW w:w="1613" w:type="dxa"/>
            <w:tcBorders>
              <w:top w:val="nil"/>
              <w:left w:val="nil"/>
              <w:bottom w:val="single" w:color="000000" w:sz="8" w:space="0"/>
              <w:right w:val="single" w:color="000000" w:sz="8" w:space="0"/>
            </w:tcBorders>
            <w:shd w:val="clear" w:color="auto" w:fill="auto"/>
            <w:noWrap/>
            <w:vAlign w:val="center"/>
          </w:tcPr>
          <w:p w14:paraId="36EF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156,131.50 </w:t>
            </w:r>
          </w:p>
        </w:tc>
      </w:tr>
    </w:tbl>
    <w:p w14:paraId="3FB72A6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2.基本支出</w:t>
      </w:r>
    </w:p>
    <w:p w14:paraId="3C4503E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bookmarkStart w:id="100" w:name="_Toc6466"/>
      <w:bookmarkStart w:id="101" w:name="_Toc19209"/>
      <w:bookmarkStart w:id="102" w:name="_Toc13920"/>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2024年度基本支出调整后预算数</w:t>
      </w:r>
      <w:r>
        <w:rPr>
          <w:rFonts w:hint="eastAsia" w:ascii="仿宋" w:hAnsi="仿宋" w:eastAsia="仿宋" w:cs="仿宋"/>
          <w:sz w:val="32"/>
          <w:szCs w:val="32"/>
          <w:lang w:val="en-US" w:eastAsia="zh-CN" w:bidi="ar"/>
        </w:rPr>
        <w:t>29.79</w:t>
      </w:r>
      <w:r>
        <w:rPr>
          <w:rFonts w:hint="eastAsia" w:ascii="仿宋" w:hAnsi="仿宋" w:eastAsia="仿宋" w:cs="仿宋"/>
          <w:sz w:val="32"/>
          <w:szCs w:val="32"/>
          <w:lang w:bidi="ar"/>
        </w:rPr>
        <w:t>万元，调整后支出</w:t>
      </w:r>
      <w:r>
        <w:rPr>
          <w:rFonts w:hint="eastAsia" w:ascii="仿宋" w:hAnsi="仿宋" w:eastAsia="仿宋" w:cs="仿宋"/>
          <w:sz w:val="32"/>
          <w:szCs w:val="32"/>
          <w:lang w:val="en-US" w:eastAsia="zh-CN" w:bidi="ar"/>
        </w:rPr>
        <w:t>42.99</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144.31</w:t>
      </w:r>
      <w:r>
        <w:rPr>
          <w:rFonts w:hint="eastAsia" w:ascii="仿宋" w:hAnsi="仿宋" w:eastAsia="仿宋" w:cs="仿宋"/>
          <w:sz w:val="32"/>
          <w:szCs w:val="32"/>
          <w:lang w:bidi="ar"/>
        </w:rPr>
        <w:t>%，年末超支</w:t>
      </w:r>
      <w:r>
        <w:rPr>
          <w:rFonts w:hint="eastAsia" w:ascii="仿宋" w:hAnsi="仿宋" w:eastAsia="仿宋" w:cs="仿宋"/>
          <w:sz w:val="32"/>
          <w:szCs w:val="32"/>
          <w:lang w:val="en-US" w:eastAsia="zh-CN" w:bidi="ar"/>
        </w:rPr>
        <w:t>13.20</w:t>
      </w:r>
      <w:r>
        <w:rPr>
          <w:rFonts w:hint="eastAsia" w:ascii="仿宋" w:hAnsi="仿宋" w:eastAsia="仿宋" w:cs="仿宋"/>
          <w:sz w:val="32"/>
          <w:szCs w:val="32"/>
          <w:lang w:bidi="ar"/>
        </w:rPr>
        <w:t>万元。具体明细见下表：</w:t>
      </w:r>
      <w:bookmarkEnd w:id="100"/>
      <w:bookmarkEnd w:id="101"/>
      <w:bookmarkEnd w:id="102"/>
    </w:p>
    <w:tbl>
      <w:tblPr>
        <w:tblStyle w:val="13"/>
        <w:tblW w:w="8713" w:type="dxa"/>
        <w:tblInd w:w="93" w:type="dxa"/>
        <w:tblLayout w:type="fixed"/>
        <w:tblCellMar>
          <w:top w:w="0" w:type="dxa"/>
          <w:left w:w="108" w:type="dxa"/>
          <w:bottom w:w="0" w:type="dxa"/>
          <w:right w:w="108" w:type="dxa"/>
        </w:tblCellMar>
      </w:tblPr>
      <w:tblGrid>
        <w:gridCol w:w="486"/>
        <w:gridCol w:w="2321"/>
        <w:gridCol w:w="1518"/>
        <w:gridCol w:w="1275"/>
        <w:gridCol w:w="1107"/>
        <w:gridCol w:w="918"/>
        <w:gridCol w:w="1088"/>
      </w:tblGrid>
      <w:tr w14:paraId="1E891B17">
        <w:trPr>
          <w:trHeight w:val="332" w:hRule="atLeast"/>
          <w:tblHeader/>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14:paraId="3EB2B4B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序号</w:t>
            </w:r>
          </w:p>
        </w:tc>
        <w:tc>
          <w:tcPr>
            <w:tcW w:w="2321" w:type="dxa"/>
            <w:vMerge w:val="restart"/>
            <w:tcBorders>
              <w:top w:val="single" w:color="000000" w:sz="4" w:space="0"/>
              <w:left w:val="single" w:color="000000" w:sz="4" w:space="0"/>
              <w:bottom w:val="single" w:color="000000" w:sz="4" w:space="0"/>
              <w:right w:val="single" w:color="000000" w:sz="4" w:space="0"/>
            </w:tcBorders>
            <w:vAlign w:val="center"/>
          </w:tcPr>
          <w:p w14:paraId="68CBB27C">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518" w:type="dxa"/>
            <w:vMerge w:val="restart"/>
            <w:tcBorders>
              <w:top w:val="single" w:color="000000" w:sz="4" w:space="0"/>
              <w:left w:val="single" w:color="000000" w:sz="4" w:space="0"/>
              <w:bottom w:val="single" w:color="000000" w:sz="4" w:space="0"/>
              <w:right w:val="single" w:color="000000" w:sz="4" w:space="0"/>
            </w:tcBorders>
            <w:vAlign w:val="center"/>
          </w:tcPr>
          <w:p w14:paraId="698B2F5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调整后全年预算（万元）</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1BA4E75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决算报表数（万元）</w:t>
            </w: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15DD0CDE">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重分类数（万元）</w:t>
            </w:r>
          </w:p>
        </w:tc>
        <w:tc>
          <w:tcPr>
            <w:tcW w:w="200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4357B8">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调整后支出较预算增+（减－）</w:t>
            </w:r>
          </w:p>
        </w:tc>
      </w:tr>
      <w:tr w14:paraId="4387BF32">
        <w:tblPrEx>
          <w:tblCellMar>
            <w:top w:w="0" w:type="dxa"/>
            <w:left w:w="108" w:type="dxa"/>
            <w:bottom w:w="0" w:type="dxa"/>
            <w:right w:w="108" w:type="dxa"/>
          </w:tblCellMar>
        </w:tblPrEx>
        <w:trPr>
          <w:trHeight w:val="332"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0CE114C1">
            <w:pPr>
              <w:jc w:val="center"/>
              <w:textAlignment w:val="center"/>
              <w:outlineLvl w:val="9"/>
              <w:rPr>
                <w:rFonts w:hint="eastAsia" w:ascii="宋体" w:hAnsi="宋体" w:eastAsia="宋体" w:cs="宋体"/>
                <w:color w:val="000000"/>
                <w:sz w:val="22"/>
                <w:szCs w:val="22"/>
              </w:rPr>
            </w:pPr>
          </w:p>
        </w:tc>
        <w:tc>
          <w:tcPr>
            <w:tcW w:w="2321" w:type="dxa"/>
            <w:vMerge w:val="continue"/>
            <w:tcBorders>
              <w:top w:val="single" w:color="000000" w:sz="4" w:space="0"/>
              <w:left w:val="single" w:color="000000" w:sz="4" w:space="0"/>
              <w:bottom w:val="single" w:color="000000" w:sz="4" w:space="0"/>
              <w:right w:val="single" w:color="000000" w:sz="4" w:space="0"/>
            </w:tcBorders>
            <w:vAlign w:val="center"/>
          </w:tcPr>
          <w:p w14:paraId="31E5E9F6">
            <w:pPr>
              <w:jc w:val="center"/>
              <w:textAlignment w:val="center"/>
              <w:outlineLvl w:val="9"/>
              <w:rPr>
                <w:rFonts w:hint="eastAsia" w:ascii="宋体" w:hAnsi="宋体" w:eastAsia="宋体" w:cs="宋体"/>
                <w:color w:val="000000"/>
                <w:sz w:val="22"/>
                <w:szCs w:val="22"/>
              </w:rPr>
            </w:pP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5C4D3E89">
            <w:pPr>
              <w:jc w:val="center"/>
              <w:textAlignment w:val="center"/>
              <w:outlineLvl w:val="9"/>
              <w:rPr>
                <w:rFonts w:hint="eastAsia" w:ascii="宋体" w:hAnsi="宋体" w:eastAsia="宋体" w:cs="宋体"/>
                <w:color w:val="000000"/>
                <w:sz w:val="22"/>
                <w:szCs w:val="2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A64E224">
            <w:pPr>
              <w:jc w:val="center"/>
              <w:textAlignment w:val="center"/>
              <w:outlineLvl w:val="9"/>
              <w:rPr>
                <w:rFonts w:hint="eastAsia" w:ascii="宋体" w:hAnsi="宋体" w:eastAsia="宋体" w:cs="宋体"/>
                <w:color w:val="000000"/>
                <w:sz w:val="22"/>
                <w:szCs w:val="22"/>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755C6056">
            <w:pPr>
              <w:jc w:val="center"/>
              <w:textAlignment w:val="center"/>
              <w:outlineLvl w:val="9"/>
              <w:rPr>
                <w:rFonts w:hint="eastAsia" w:ascii="宋体" w:hAnsi="宋体" w:eastAsia="宋体" w:cs="宋体"/>
                <w:color w:val="000000"/>
                <w:sz w:val="22"/>
                <w:szCs w:val="22"/>
              </w:rPr>
            </w:pPr>
          </w:p>
        </w:tc>
        <w:tc>
          <w:tcPr>
            <w:tcW w:w="20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8C2D8">
            <w:pPr>
              <w:jc w:val="center"/>
              <w:textAlignment w:val="center"/>
              <w:outlineLvl w:val="9"/>
              <w:rPr>
                <w:rFonts w:hint="eastAsia" w:ascii="宋体" w:hAnsi="宋体" w:eastAsia="宋体" w:cs="宋体"/>
                <w:color w:val="000000"/>
                <w:sz w:val="22"/>
                <w:szCs w:val="22"/>
              </w:rPr>
            </w:pPr>
          </w:p>
        </w:tc>
      </w:tr>
      <w:tr w14:paraId="417B68C0">
        <w:tblPrEx>
          <w:tblCellMar>
            <w:top w:w="0" w:type="dxa"/>
            <w:left w:w="108" w:type="dxa"/>
            <w:bottom w:w="0" w:type="dxa"/>
            <w:right w:w="108" w:type="dxa"/>
          </w:tblCellMar>
        </w:tblPrEx>
        <w:trPr>
          <w:trHeight w:val="300"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49BEBC34">
            <w:pPr>
              <w:jc w:val="center"/>
              <w:rPr>
                <w:rFonts w:hint="eastAsia" w:ascii="宋体" w:hAnsi="宋体" w:eastAsia="宋体" w:cs="宋体"/>
                <w:color w:val="000000"/>
                <w:sz w:val="22"/>
                <w:szCs w:val="22"/>
              </w:rPr>
            </w:pPr>
          </w:p>
        </w:tc>
        <w:tc>
          <w:tcPr>
            <w:tcW w:w="2321" w:type="dxa"/>
            <w:vMerge w:val="continue"/>
            <w:tcBorders>
              <w:top w:val="single" w:color="000000" w:sz="4" w:space="0"/>
              <w:left w:val="single" w:color="000000" w:sz="4" w:space="0"/>
              <w:bottom w:val="single" w:color="000000" w:sz="4" w:space="0"/>
              <w:right w:val="single" w:color="000000" w:sz="4" w:space="0"/>
            </w:tcBorders>
            <w:vAlign w:val="center"/>
          </w:tcPr>
          <w:p w14:paraId="3546E4F8">
            <w:pPr>
              <w:jc w:val="center"/>
              <w:rPr>
                <w:rFonts w:hint="eastAsia" w:ascii="宋体" w:hAnsi="宋体" w:eastAsia="宋体" w:cs="宋体"/>
                <w:color w:val="000000"/>
                <w:sz w:val="22"/>
                <w:szCs w:val="22"/>
              </w:rPr>
            </w:pP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7BCABBE8">
            <w:pPr>
              <w:jc w:val="center"/>
              <w:rPr>
                <w:rFonts w:hint="eastAsia" w:ascii="宋体" w:hAnsi="宋体" w:eastAsia="宋体" w:cs="宋体"/>
                <w:color w:val="000000"/>
                <w:sz w:val="22"/>
                <w:szCs w:val="2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B97ADDE">
            <w:pPr>
              <w:jc w:val="center"/>
              <w:rPr>
                <w:rFonts w:hint="eastAsia" w:ascii="宋体" w:hAnsi="宋体" w:eastAsia="宋体" w:cs="宋体"/>
                <w:color w:val="000000"/>
                <w:sz w:val="22"/>
                <w:szCs w:val="22"/>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1655FF70">
            <w:pPr>
              <w:jc w:val="center"/>
              <w:rPr>
                <w:rFonts w:hint="eastAsia"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C351DF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金额</w:t>
            </w:r>
          </w:p>
        </w:tc>
        <w:tc>
          <w:tcPr>
            <w:tcW w:w="1088" w:type="dxa"/>
            <w:tcBorders>
              <w:top w:val="single" w:color="000000" w:sz="4" w:space="0"/>
              <w:left w:val="single" w:color="000000" w:sz="4" w:space="0"/>
              <w:bottom w:val="single" w:color="000000" w:sz="4" w:space="0"/>
              <w:right w:val="single" w:color="000000" w:sz="4" w:space="0"/>
            </w:tcBorders>
            <w:vAlign w:val="center"/>
          </w:tcPr>
          <w:p w14:paraId="1CCB6200">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比例</w:t>
            </w:r>
          </w:p>
        </w:tc>
      </w:tr>
      <w:tr w14:paraId="7A30F6B3">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auto" w:sz="4" w:space="0"/>
              <w:right w:val="single" w:color="000000" w:sz="4" w:space="0"/>
            </w:tcBorders>
            <w:vAlign w:val="center"/>
          </w:tcPr>
          <w:p w14:paraId="366E63E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321" w:type="dxa"/>
            <w:tcBorders>
              <w:top w:val="single" w:color="000000" w:sz="4" w:space="0"/>
              <w:left w:val="single" w:color="000000" w:sz="4" w:space="0"/>
              <w:bottom w:val="single" w:color="auto" w:sz="4" w:space="0"/>
              <w:right w:val="single" w:color="000000" w:sz="4" w:space="0"/>
            </w:tcBorders>
            <w:vAlign w:val="center"/>
          </w:tcPr>
          <w:p w14:paraId="43FC03DD">
            <w:pPr>
              <w:keepNext w:val="0"/>
              <w:keepLines w:val="0"/>
              <w:widowControl/>
              <w:suppressLineNumbers w:val="0"/>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基本支出－人员经费</w:t>
            </w:r>
          </w:p>
        </w:tc>
        <w:tc>
          <w:tcPr>
            <w:tcW w:w="1518" w:type="dxa"/>
            <w:tcBorders>
              <w:top w:val="single" w:color="000000" w:sz="4" w:space="0"/>
              <w:left w:val="single" w:color="000000" w:sz="4" w:space="0"/>
              <w:bottom w:val="single" w:color="auto" w:sz="4" w:space="0"/>
              <w:right w:val="single" w:color="000000" w:sz="4" w:space="0"/>
            </w:tcBorders>
            <w:vAlign w:val="center"/>
          </w:tcPr>
          <w:p w14:paraId="362D18C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26.91</w:t>
            </w:r>
          </w:p>
        </w:tc>
        <w:tc>
          <w:tcPr>
            <w:tcW w:w="1275" w:type="dxa"/>
            <w:tcBorders>
              <w:top w:val="single" w:color="000000" w:sz="4" w:space="0"/>
              <w:left w:val="single" w:color="000000" w:sz="4" w:space="0"/>
              <w:bottom w:val="single" w:color="000000" w:sz="4" w:space="0"/>
              <w:right w:val="single" w:color="000000" w:sz="4" w:space="0"/>
            </w:tcBorders>
            <w:vAlign w:val="center"/>
          </w:tcPr>
          <w:p w14:paraId="7B1CDF9C">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27.68</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39B3F188">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34.75</w:t>
            </w:r>
          </w:p>
        </w:tc>
        <w:tc>
          <w:tcPr>
            <w:tcW w:w="918" w:type="dxa"/>
            <w:tcBorders>
              <w:top w:val="single" w:color="000000" w:sz="4" w:space="0"/>
              <w:left w:val="single" w:color="000000" w:sz="4" w:space="0"/>
              <w:bottom w:val="single" w:color="000000" w:sz="4" w:space="0"/>
              <w:right w:val="single" w:color="000000" w:sz="4" w:space="0"/>
            </w:tcBorders>
            <w:vAlign w:val="center"/>
          </w:tcPr>
          <w:p w14:paraId="4745CE2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7.84</w:t>
            </w:r>
          </w:p>
        </w:tc>
        <w:tc>
          <w:tcPr>
            <w:tcW w:w="1088" w:type="dxa"/>
            <w:tcBorders>
              <w:top w:val="single" w:color="000000" w:sz="4" w:space="0"/>
              <w:left w:val="single" w:color="000000" w:sz="4" w:space="0"/>
              <w:bottom w:val="single" w:color="000000" w:sz="4" w:space="0"/>
              <w:right w:val="single" w:color="000000" w:sz="4" w:space="0"/>
            </w:tcBorders>
            <w:vAlign w:val="center"/>
          </w:tcPr>
          <w:p w14:paraId="5C030057">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29.13%</w:t>
            </w:r>
          </w:p>
        </w:tc>
      </w:tr>
      <w:tr w14:paraId="7E8C2CA9">
        <w:tblPrEx>
          <w:tblCellMar>
            <w:top w:w="0" w:type="dxa"/>
            <w:left w:w="108" w:type="dxa"/>
            <w:bottom w:w="0" w:type="dxa"/>
            <w:right w:w="108" w:type="dxa"/>
          </w:tblCellMar>
        </w:tblPrEx>
        <w:trPr>
          <w:trHeight w:val="440" w:hRule="atLeast"/>
        </w:trPr>
        <w:tc>
          <w:tcPr>
            <w:tcW w:w="486" w:type="dxa"/>
            <w:tcBorders>
              <w:top w:val="single" w:color="auto" w:sz="4" w:space="0"/>
              <w:left w:val="single" w:color="auto" w:sz="4" w:space="0"/>
              <w:bottom w:val="single" w:color="auto" w:sz="4" w:space="0"/>
              <w:right w:val="single" w:color="000000" w:sz="4" w:space="0"/>
            </w:tcBorders>
            <w:vAlign w:val="center"/>
          </w:tcPr>
          <w:p w14:paraId="43751C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321" w:type="dxa"/>
            <w:tcBorders>
              <w:top w:val="single" w:color="auto" w:sz="4" w:space="0"/>
              <w:left w:val="nil"/>
              <w:bottom w:val="single" w:color="auto" w:sz="4" w:space="0"/>
              <w:right w:val="nil"/>
            </w:tcBorders>
            <w:noWrap/>
            <w:vAlign w:val="center"/>
          </w:tcPr>
          <w:p w14:paraId="7EE0995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基本支出－公用经费</w:t>
            </w:r>
          </w:p>
        </w:tc>
        <w:tc>
          <w:tcPr>
            <w:tcW w:w="1518" w:type="dxa"/>
            <w:tcBorders>
              <w:top w:val="single" w:color="auto" w:sz="4" w:space="0"/>
              <w:left w:val="single" w:color="000000" w:sz="4" w:space="0"/>
              <w:bottom w:val="single" w:color="auto" w:sz="4" w:space="0"/>
              <w:right w:val="single" w:color="auto" w:sz="4" w:space="0"/>
            </w:tcBorders>
            <w:vAlign w:val="center"/>
          </w:tcPr>
          <w:p w14:paraId="096820D0">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2.88</w:t>
            </w:r>
          </w:p>
        </w:tc>
        <w:tc>
          <w:tcPr>
            <w:tcW w:w="1275" w:type="dxa"/>
            <w:tcBorders>
              <w:top w:val="single" w:color="000000" w:sz="4" w:space="0"/>
              <w:left w:val="single" w:color="auto" w:sz="4" w:space="0"/>
              <w:bottom w:val="single" w:color="000000" w:sz="4" w:space="0"/>
              <w:right w:val="single" w:color="000000" w:sz="4" w:space="0"/>
            </w:tcBorders>
            <w:vAlign w:val="center"/>
          </w:tcPr>
          <w:p w14:paraId="7ABF7CA3">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1.85</w:t>
            </w:r>
          </w:p>
        </w:tc>
        <w:tc>
          <w:tcPr>
            <w:tcW w:w="1107" w:type="dxa"/>
            <w:tcBorders>
              <w:top w:val="single" w:color="000000" w:sz="4" w:space="0"/>
              <w:left w:val="single" w:color="000000" w:sz="4" w:space="0"/>
              <w:bottom w:val="single" w:color="000000" w:sz="4" w:space="0"/>
              <w:right w:val="single" w:color="000000" w:sz="4" w:space="0"/>
            </w:tcBorders>
            <w:vAlign w:val="center"/>
          </w:tcPr>
          <w:p w14:paraId="48A27160">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8.24</w:t>
            </w:r>
          </w:p>
        </w:tc>
        <w:tc>
          <w:tcPr>
            <w:tcW w:w="918" w:type="dxa"/>
            <w:tcBorders>
              <w:top w:val="single" w:color="000000" w:sz="4" w:space="0"/>
              <w:left w:val="single" w:color="000000" w:sz="4" w:space="0"/>
              <w:bottom w:val="single" w:color="000000" w:sz="4" w:space="0"/>
              <w:right w:val="single" w:color="000000" w:sz="4" w:space="0"/>
            </w:tcBorders>
            <w:vAlign w:val="center"/>
          </w:tcPr>
          <w:p w14:paraId="1AE4400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5.36</w:t>
            </w:r>
          </w:p>
        </w:tc>
        <w:tc>
          <w:tcPr>
            <w:tcW w:w="1088" w:type="dxa"/>
            <w:tcBorders>
              <w:top w:val="single" w:color="000000" w:sz="4" w:space="0"/>
              <w:left w:val="single" w:color="000000" w:sz="4" w:space="0"/>
              <w:bottom w:val="single" w:color="000000" w:sz="4" w:space="0"/>
              <w:right w:val="single" w:color="000000" w:sz="4" w:space="0"/>
            </w:tcBorders>
            <w:vAlign w:val="center"/>
          </w:tcPr>
          <w:p w14:paraId="4179F3D6">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186.11%</w:t>
            </w:r>
          </w:p>
        </w:tc>
      </w:tr>
      <w:tr w14:paraId="06F19154">
        <w:tblPrEx>
          <w:tblCellMar>
            <w:top w:w="0" w:type="dxa"/>
            <w:left w:w="108" w:type="dxa"/>
            <w:bottom w:w="0" w:type="dxa"/>
            <w:right w:w="108" w:type="dxa"/>
          </w:tblCellMar>
        </w:tblPrEx>
        <w:trPr>
          <w:trHeight w:val="440" w:hRule="atLeast"/>
        </w:trPr>
        <w:tc>
          <w:tcPr>
            <w:tcW w:w="2807" w:type="dxa"/>
            <w:gridSpan w:val="2"/>
            <w:tcBorders>
              <w:top w:val="single" w:color="auto" w:sz="4" w:space="0"/>
              <w:left w:val="single" w:color="000000" w:sz="4" w:space="0"/>
              <w:bottom w:val="single" w:color="000000" w:sz="4" w:space="0"/>
              <w:right w:val="single" w:color="000000" w:sz="4" w:space="0"/>
            </w:tcBorders>
            <w:vAlign w:val="center"/>
          </w:tcPr>
          <w:p w14:paraId="1FC354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合 计</w:t>
            </w:r>
          </w:p>
        </w:tc>
        <w:tc>
          <w:tcPr>
            <w:tcW w:w="1518" w:type="dxa"/>
            <w:tcBorders>
              <w:top w:val="single" w:color="auto" w:sz="4" w:space="0"/>
              <w:left w:val="single" w:color="000000" w:sz="4" w:space="0"/>
              <w:bottom w:val="single" w:color="000000" w:sz="4" w:space="0"/>
              <w:right w:val="single" w:color="000000" w:sz="4" w:space="0"/>
            </w:tcBorders>
            <w:vAlign w:val="center"/>
          </w:tcPr>
          <w:p w14:paraId="239AD629">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29.79</w:t>
            </w:r>
          </w:p>
        </w:tc>
        <w:tc>
          <w:tcPr>
            <w:tcW w:w="1275" w:type="dxa"/>
            <w:tcBorders>
              <w:top w:val="single" w:color="000000" w:sz="4" w:space="0"/>
              <w:left w:val="single" w:color="000000" w:sz="4" w:space="0"/>
              <w:bottom w:val="single" w:color="000000" w:sz="4" w:space="0"/>
              <w:right w:val="single" w:color="000000" w:sz="4" w:space="0"/>
            </w:tcBorders>
            <w:vAlign w:val="center"/>
          </w:tcPr>
          <w:p w14:paraId="0616A7C2">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29.53</w:t>
            </w:r>
          </w:p>
        </w:tc>
        <w:tc>
          <w:tcPr>
            <w:tcW w:w="1107" w:type="dxa"/>
            <w:tcBorders>
              <w:top w:val="single" w:color="000000" w:sz="4" w:space="0"/>
              <w:left w:val="single" w:color="000000" w:sz="4" w:space="0"/>
              <w:bottom w:val="single" w:color="000000" w:sz="4" w:space="0"/>
              <w:right w:val="single" w:color="000000" w:sz="4" w:space="0"/>
            </w:tcBorders>
            <w:vAlign w:val="center"/>
          </w:tcPr>
          <w:p w14:paraId="4645B719">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42.99</w:t>
            </w:r>
          </w:p>
        </w:tc>
        <w:tc>
          <w:tcPr>
            <w:tcW w:w="918" w:type="dxa"/>
            <w:tcBorders>
              <w:top w:val="single" w:color="000000" w:sz="4" w:space="0"/>
              <w:left w:val="single" w:color="000000" w:sz="4" w:space="0"/>
              <w:bottom w:val="single" w:color="000000" w:sz="4" w:space="0"/>
              <w:right w:val="single" w:color="000000" w:sz="4" w:space="0"/>
            </w:tcBorders>
            <w:vAlign w:val="center"/>
          </w:tcPr>
          <w:p w14:paraId="7B8E127E">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13.20</w:t>
            </w:r>
          </w:p>
        </w:tc>
        <w:tc>
          <w:tcPr>
            <w:tcW w:w="1088" w:type="dxa"/>
            <w:tcBorders>
              <w:top w:val="single" w:color="000000" w:sz="4" w:space="0"/>
              <w:left w:val="single" w:color="000000" w:sz="4" w:space="0"/>
              <w:bottom w:val="single" w:color="000000" w:sz="4" w:space="0"/>
              <w:right w:val="single" w:color="000000" w:sz="4" w:space="0"/>
            </w:tcBorders>
            <w:vAlign w:val="center"/>
          </w:tcPr>
          <w:p w14:paraId="146878DE">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44.31%</w:t>
            </w:r>
          </w:p>
        </w:tc>
      </w:tr>
    </w:tbl>
    <w:p w14:paraId="7C60EB3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bidi="ar"/>
        </w:rPr>
      </w:pPr>
      <w:bookmarkStart w:id="103" w:name="_Toc20915"/>
      <w:bookmarkStart w:id="104" w:name="_Toc21727"/>
      <w:bookmarkStart w:id="105" w:name="_Toc9060"/>
      <w:bookmarkStart w:id="106" w:name="_Toc22894"/>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基本支出中</w:t>
      </w:r>
      <w:r>
        <w:rPr>
          <w:rFonts w:hint="eastAsia" w:ascii="仿宋" w:hAnsi="仿宋" w:eastAsia="仿宋" w:cs="仿宋"/>
          <w:sz w:val="32"/>
          <w:szCs w:val="32"/>
          <w:lang w:eastAsia="zh-CN" w:bidi="ar"/>
        </w:rPr>
        <w:t>人员经费</w:t>
      </w:r>
      <w:r>
        <w:rPr>
          <w:rFonts w:hint="eastAsia" w:ascii="仿宋" w:hAnsi="仿宋" w:eastAsia="仿宋" w:cs="仿宋"/>
          <w:sz w:val="32"/>
          <w:szCs w:val="32"/>
          <w:lang w:bidi="ar"/>
        </w:rPr>
        <w:t>较预算超支占比最高，超支额</w:t>
      </w:r>
      <w:r>
        <w:rPr>
          <w:rFonts w:hint="eastAsia" w:ascii="仿宋" w:hAnsi="仿宋" w:eastAsia="仿宋" w:cs="仿宋"/>
          <w:sz w:val="32"/>
          <w:szCs w:val="32"/>
          <w:lang w:val="en-US" w:eastAsia="zh-CN" w:bidi="ar"/>
        </w:rPr>
        <w:t>7.84</w:t>
      </w:r>
      <w:r>
        <w:rPr>
          <w:rFonts w:hint="eastAsia" w:ascii="仿宋" w:hAnsi="仿宋" w:eastAsia="仿宋" w:cs="仿宋"/>
          <w:sz w:val="32"/>
          <w:szCs w:val="32"/>
          <w:lang w:bidi="ar"/>
        </w:rPr>
        <w:t>万元，超支率</w:t>
      </w:r>
      <w:r>
        <w:rPr>
          <w:rFonts w:hint="eastAsia" w:ascii="仿宋" w:hAnsi="仿宋" w:eastAsia="仿宋" w:cs="仿宋"/>
          <w:sz w:val="32"/>
          <w:szCs w:val="32"/>
          <w:lang w:val="en-US" w:eastAsia="zh-CN" w:bidi="ar"/>
        </w:rPr>
        <w:t>29.13</w:t>
      </w:r>
      <w:r>
        <w:rPr>
          <w:rFonts w:hint="eastAsia" w:ascii="仿宋" w:hAnsi="仿宋" w:eastAsia="仿宋" w:cs="仿宋"/>
          <w:sz w:val="32"/>
          <w:szCs w:val="32"/>
          <w:lang w:bidi="ar"/>
        </w:rPr>
        <w:t>%。</w:t>
      </w:r>
      <w:bookmarkEnd w:id="103"/>
      <w:bookmarkEnd w:id="104"/>
      <w:bookmarkEnd w:id="105"/>
      <w:bookmarkEnd w:id="106"/>
    </w:p>
    <w:p w14:paraId="3AC37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项目支出</w:t>
      </w:r>
    </w:p>
    <w:p w14:paraId="326CEAF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07" w:name="_Toc23021"/>
      <w:bookmarkStart w:id="108" w:name="_Toc18079"/>
      <w:bookmarkStart w:id="109" w:name="_Toc13330"/>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2024年度项目支出主要用于</w:t>
      </w:r>
      <w:r>
        <w:rPr>
          <w:rFonts w:hint="eastAsia" w:ascii="仿宋" w:hAnsi="仿宋" w:eastAsia="仿宋" w:cs="仿宋"/>
          <w:sz w:val="32"/>
          <w:szCs w:val="32"/>
          <w:lang w:eastAsia="zh-CN" w:bidi="ar"/>
        </w:rPr>
        <w:t>团代会、五四活动、高考志愿服务活动、“一元捐”活动、旅发大会</w:t>
      </w:r>
      <w:r>
        <w:rPr>
          <w:rFonts w:hint="eastAsia" w:ascii="仿宋" w:hAnsi="仿宋" w:eastAsia="仿宋" w:cs="仿宋"/>
          <w:sz w:val="32"/>
          <w:szCs w:val="32"/>
          <w:lang w:bidi="ar"/>
        </w:rPr>
        <w:t>等项目运转，调整后预算数</w:t>
      </w:r>
      <w:r>
        <w:rPr>
          <w:rFonts w:hint="eastAsia" w:ascii="仿宋" w:hAnsi="仿宋" w:eastAsia="仿宋" w:cs="仿宋"/>
          <w:sz w:val="32"/>
          <w:szCs w:val="32"/>
          <w:lang w:val="en-US" w:eastAsia="zh-CN" w:bidi="ar"/>
        </w:rPr>
        <w:t>36.61</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15.61</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42.64</w:t>
      </w:r>
      <w:r>
        <w:rPr>
          <w:rFonts w:hint="eastAsia" w:ascii="仿宋" w:hAnsi="仿宋" w:eastAsia="仿宋" w:cs="仿宋"/>
          <w:sz w:val="32"/>
          <w:szCs w:val="32"/>
          <w:lang w:bidi="ar"/>
        </w:rPr>
        <w:t>%。</w:t>
      </w:r>
      <w:bookmarkEnd w:id="107"/>
      <w:bookmarkEnd w:id="108"/>
      <w:bookmarkEnd w:id="109"/>
    </w:p>
    <w:p w14:paraId="6F8AFA6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bookmarkStart w:id="110" w:name="_Toc3410"/>
      <w:bookmarkStart w:id="111" w:name="_Toc14624"/>
      <w:bookmarkStart w:id="112" w:name="_Toc25295"/>
      <w:bookmarkStart w:id="113" w:name="_Toc13759"/>
      <w:r>
        <w:rPr>
          <w:rFonts w:hint="eastAsia" w:ascii="仿宋" w:hAnsi="仿宋" w:eastAsia="仿宋" w:cs="仿宋"/>
          <w:b/>
          <w:bCs/>
          <w:sz w:val="32"/>
          <w:szCs w:val="32"/>
          <w:lang w:val="en-US" w:eastAsia="zh-CN" w:bidi="ar-SA"/>
        </w:rPr>
        <w:t>4.“三公”经费</w:t>
      </w:r>
      <w:r>
        <w:rPr>
          <w:rFonts w:hint="eastAsia" w:ascii="仿宋" w:hAnsi="仿宋" w:eastAsia="仿宋" w:cs="仿宋"/>
          <w:b/>
          <w:bCs/>
          <w:sz w:val="32"/>
          <w:szCs w:val="32"/>
          <w:lang w:eastAsia="zh-CN"/>
        </w:rPr>
        <w:t>重分类数据</w:t>
      </w:r>
      <w:r>
        <w:rPr>
          <w:rFonts w:hint="eastAsia" w:ascii="仿宋" w:hAnsi="仿宋" w:eastAsia="仿宋" w:cs="仿宋"/>
          <w:b/>
          <w:bCs/>
          <w:sz w:val="32"/>
          <w:szCs w:val="32"/>
        </w:rPr>
        <w:t>汇总及分析</w:t>
      </w:r>
      <w:bookmarkEnd w:id="110"/>
      <w:bookmarkEnd w:id="111"/>
      <w:bookmarkEnd w:id="112"/>
    </w:p>
    <w:p w14:paraId="6EB92E5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14" w:name="_Toc30643"/>
      <w:bookmarkStart w:id="115" w:name="_Toc7255"/>
      <w:bookmarkStart w:id="116" w:name="_Toc16105"/>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2024年“三公”经费</w:t>
      </w:r>
      <w:r>
        <w:rPr>
          <w:rFonts w:hint="eastAsia" w:ascii="仿宋" w:hAnsi="仿宋" w:eastAsia="仿宋" w:cs="仿宋"/>
          <w:sz w:val="32"/>
          <w:szCs w:val="32"/>
          <w:lang w:eastAsia="zh-CN" w:bidi="ar"/>
        </w:rPr>
        <w:t>重分类数为</w:t>
      </w:r>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万元，其中：因公出国（境）费0</w:t>
      </w:r>
      <w:r>
        <w:rPr>
          <w:rFonts w:hint="eastAsia" w:ascii="仿宋" w:hAnsi="仿宋" w:eastAsia="仿宋" w:cs="仿宋"/>
          <w:sz w:val="32"/>
          <w:szCs w:val="32"/>
          <w:lang w:val="en-US" w:eastAsia="zh-CN" w:bidi="ar"/>
        </w:rPr>
        <w:t>.00</w:t>
      </w:r>
      <w:r>
        <w:rPr>
          <w:rFonts w:hint="eastAsia" w:ascii="仿宋" w:hAnsi="仿宋" w:eastAsia="仿宋" w:cs="仿宋"/>
          <w:sz w:val="32"/>
          <w:szCs w:val="32"/>
          <w:lang w:bidi="ar"/>
        </w:rPr>
        <w:t>万元，公务用车购置及运行维护</w:t>
      </w:r>
      <w:bookmarkEnd w:id="113"/>
      <w:bookmarkEnd w:id="114"/>
      <w:bookmarkEnd w:id="115"/>
      <w:bookmarkEnd w:id="116"/>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万元，公务接待费</w:t>
      </w:r>
      <w:r>
        <w:rPr>
          <w:rFonts w:hint="eastAsia" w:ascii="仿宋" w:hAnsi="仿宋" w:eastAsia="仿宋" w:cs="仿宋"/>
          <w:sz w:val="32"/>
          <w:szCs w:val="32"/>
          <w:lang w:val="en-US" w:eastAsia="zh-CN" w:bidi="ar"/>
        </w:rPr>
        <w:t>0.00</w:t>
      </w:r>
      <w:r>
        <w:rPr>
          <w:rFonts w:hint="eastAsia" w:ascii="仿宋" w:hAnsi="仿宋" w:eastAsia="仿宋" w:cs="仿宋"/>
          <w:sz w:val="32"/>
          <w:szCs w:val="32"/>
          <w:lang w:bidi="ar"/>
        </w:rPr>
        <w:t>万元。具体明细见下表：</w:t>
      </w:r>
    </w:p>
    <w:tbl>
      <w:tblPr>
        <w:tblStyle w:val="23"/>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83"/>
        <w:gridCol w:w="1300"/>
        <w:gridCol w:w="1484"/>
        <w:gridCol w:w="1500"/>
        <w:gridCol w:w="1512"/>
        <w:gridCol w:w="981"/>
        <w:gridCol w:w="1052"/>
      </w:tblGrid>
      <w:tr w14:paraId="2E3E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26" w:hRule="atLeast"/>
          <w:tblHeader/>
        </w:trPr>
        <w:tc>
          <w:tcPr>
            <w:tcW w:w="1083" w:type="dxa"/>
            <w:vMerge w:val="restart"/>
            <w:tcBorders>
              <w:bottom w:val="nil"/>
            </w:tcBorders>
            <w:vAlign w:val="center"/>
          </w:tcPr>
          <w:p w14:paraId="5B2D6BF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项目</w:t>
            </w:r>
          </w:p>
        </w:tc>
        <w:tc>
          <w:tcPr>
            <w:tcW w:w="1300" w:type="dxa"/>
            <w:vMerge w:val="restart"/>
            <w:tcBorders>
              <w:bottom w:val="nil"/>
            </w:tcBorders>
            <w:vAlign w:val="center"/>
          </w:tcPr>
          <w:p w14:paraId="57486B4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2023年决数</w:t>
            </w:r>
          </w:p>
          <w:p w14:paraId="14F2242B">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484" w:type="dxa"/>
            <w:vMerge w:val="restart"/>
            <w:tcBorders>
              <w:bottom w:val="nil"/>
            </w:tcBorders>
            <w:vAlign w:val="center"/>
          </w:tcPr>
          <w:p w14:paraId="0D6D44D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2024年预算数</w:t>
            </w:r>
          </w:p>
          <w:p w14:paraId="4B02A26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500" w:type="dxa"/>
            <w:vMerge w:val="restart"/>
            <w:tcBorders>
              <w:bottom w:val="nil"/>
            </w:tcBorders>
            <w:vAlign w:val="center"/>
          </w:tcPr>
          <w:p w14:paraId="26A9C09F">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2024年决算数</w:t>
            </w:r>
          </w:p>
          <w:p w14:paraId="53FC0F2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512" w:type="dxa"/>
            <w:vMerge w:val="restart"/>
            <w:tcBorders>
              <w:bottom w:val="nil"/>
            </w:tcBorders>
            <w:vAlign w:val="center"/>
          </w:tcPr>
          <w:p w14:paraId="4C6996B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2024年重分数</w:t>
            </w:r>
          </w:p>
          <w:p w14:paraId="78AE0BD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2033" w:type="dxa"/>
            <w:gridSpan w:val="2"/>
            <w:vAlign w:val="center"/>
          </w:tcPr>
          <w:p w14:paraId="11EBB01B">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2024年支出较全年预算增+（减－）</w:t>
            </w:r>
          </w:p>
        </w:tc>
      </w:tr>
      <w:tr w14:paraId="34A6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61" w:hRule="atLeast"/>
          <w:tblHeader/>
        </w:trPr>
        <w:tc>
          <w:tcPr>
            <w:tcW w:w="1083" w:type="dxa"/>
            <w:vMerge w:val="continue"/>
            <w:tcBorders>
              <w:top w:val="nil"/>
            </w:tcBorders>
            <w:vAlign w:val="center"/>
          </w:tcPr>
          <w:p w14:paraId="06B00C4B">
            <w:pPr>
              <w:jc w:val="center"/>
              <w:textAlignment w:val="center"/>
              <w:outlineLvl w:val="9"/>
              <w:rPr>
                <w:rFonts w:hint="eastAsia" w:ascii="宋体" w:hAnsi="宋体" w:eastAsia="宋体" w:cs="宋体"/>
                <w:color w:val="000000"/>
                <w:sz w:val="22"/>
                <w:szCs w:val="22"/>
                <w:lang w:eastAsia="zh-CN" w:bidi="ar"/>
              </w:rPr>
            </w:pPr>
          </w:p>
        </w:tc>
        <w:tc>
          <w:tcPr>
            <w:tcW w:w="1300" w:type="dxa"/>
            <w:vMerge w:val="continue"/>
            <w:tcBorders>
              <w:top w:val="nil"/>
            </w:tcBorders>
            <w:vAlign w:val="center"/>
          </w:tcPr>
          <w:p w14:paraId="19FEFEE6">
            <w:pPr>
              <w:jc w:val="center"/>
              <w:textAlignment w:val="center"/>
              <w:outlineLvl w:val="9"/>
              <w:rPr>
                <w:rFonts w:hint="eastAsia" w:ascii="宋体" w:hAnsi="宋体" w:eastAsia="宋体" w:cs="宋体"/>
                <w:color w:val="000000"/>
                <w:sz w:val="22"/>
                <w:szCs w:val="22"/>
                <w:lang w:eastAsia="zh-CN" w:bidi="ar"/>
              </w:rPr>
            </w:pPr>
          </w:p>
        </w:tc>
        <w:tc>
          <w:tcPr>
            <w:tcW w:w="1484" w:type="dxa"/>
            <w:vMerge w:val="continue"/>
            <w:tcBorders>
              <w:top w:val="nil"/>
            </w:tcBorders>
            <w:vAlign w:val="center"/>
          </w:tcPr>
          <w:p w14:paraId="457CFC75">
            <w:pPr>
              <w:jc w:val="center"/>
              <w:textAlignment w:val="center"/>
              <w:outlineLvl w:val="9"/>
              <w:rPr>
                <w:rFonts w:hint="eastAsia" w:ascii="宋体" w:hAnsi="宋体" w:eastAsia="宋体" w:cs="宋体"/>
                <w:color w:val="000000"/>
                <w:sz w:val="22"/>
                <w:szCs w:val="22"/>
                <w:lang w:eastAsia="zh-CN" w:bidi="ar"/>
              </w:rPr>
            </w:pPr>
          </w:p>
        </w:tc>
        <w:tc>
          <w:tcPr>
            <w:tcW w:w="1500" w:type="dxa"/>
            <w:vMerge w:val="continue"/>
            <w:tcBorders>
              <w:top w:val="nil"/>
            </w:tcBorders>
            <w:vAlign w:val="center"/>
          </w:tcPr>
          <w:p w14:paraId="71FB3816">
            <w:pPr>
              <w:jc w:val="center"/>
              <w:textAlignment w:val="center"/>
              <w:outlineLvl w:val="9"/>
              <w:rPr>
                <w:rFonts w:hint="eastAsia" w:ascii="宋体" w:hAnsi="宋体" w:eastAsia="宋体" w:cs="宋体"/>
                <w:color w:val="000000"/>
                <w:sz w:val="22"/>
                <w:szCs w:val="22"/>
                <w:lang w:eastAsia="zh-CN" w:bidi="ar"/>
              </w:rPr>
            </w:pPr>
          </w:p>
        </w:tc>
        <w:tc>
          <w:tcPr>
            <w:tcW w:w="1512" w:type="dxa"/>
            <w:vMerge w:val="continue"/>
            <w:tcBorders>
              <w:top w:val="nil"/>
            </w:tcBorders>
            <w:vAlign w:val="center"/>
          </w:tcPr>
          <w:p w14:paraId="08F0B7B1">
            <w:pPr>
              <w:jc w:val="center"/>
              <w:textAlignment w:val="center"/>
              <w:outlineLvl w:val="9"/>
              <w:rPr>
                <w:rFonts w:hint="eastAsia" w:ascii="宋体" w:hAnsi="宋体" w:eastAsia="宋体" w:cs="宋体"/>
                <w:color w:val="000000"/>
                <w:sz w:val="22"/>
                <w:szCs w:val="22"/>
                <w:lang w:eastAsia="zh-CN" w:bidi="ar"/>
              </w:rPr>
            </w:pPr>
          </w:p>
        </w:tc>
        <w:tc>
          <w:tcPr>
            <w:tcW w:w="981" w:type="dxa"/>
            <w:vAlign w:val="center"/>
          </w:tcPr>
          <w:p w14:paraId="26E6F28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金额</w:t>
            </w:r>
          </w:p>
        </w:tc>
        <w:tc>
          <w:tcPr>
            <w:tcW w:w="1052" w:type="dxa"/>
            <w:vAlign w:val="center"/>
          </w:tcPr>
          <w:p w14:paraId="7D849F5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占比</w:t>
            </w:r>
          </w:p>
        </w:tc>
      </w:tr>
      <w:tr w14:paraId="1FFE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31954EBF">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公务用车</w:t>
            </w:r>
            <w:r>
              <w:rPr>
                <w:rFonts w:hint="eastAsia" w:ascii="宋体" w:hAnsi="宋体" w:eastAsia="宋体" w:cs="宋体"/>
                <w:color w:val="000000"/>
                <w:sz w:val="22"/>
                <w:szCs w:val="22"/>
                <w:lang w:eastAsia="zh-CN" w:bidi="ar"/>
              </w:rPr>
              <w:t>购置及</w:t>
            </w:r>
            <w:r>
              <w:rPr>
                <w:rFonts w:hint="eastAsia" w:ascii="宋体" w:hAnsi="宋体" w:eastAsia="宋体" w:cs="宋体"/>
                <w:color w:val="000000"/>
                <w:sz w:val="22"/>
                <w:szCs w:val="22"/>
                <w:lang w:bidi="ar"/>
              </w:rPr>
              <w:t>运行维护费</w:t>
            </w:r>
          </w:p>
        </w:tc>
        <w:tc>
          <w:tcPr>
            <w:tcW w:w="1300" w:type="dxa"/>
            <w:vAlign w:val="center"/>
          </w:tcPr>
          <w:p w14:paraId="77B1B908">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0.00</w:t>
            </w:r>
          </w:p>
        </w:tc>
        <w:tc>
          <w:tcPr>
            <w:tcW w:w="1484" w:type="dxa"/>
            <w:vAlign w:val="center"/>
          </w:tcPr>
          <w:p w14:paraId="6B9FC89C">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0.00</w:t>
            </w:r>
          </w:p>
        </w:tc>
        <w:tc>
          <w:tcPr>
            <w:tcW w:w="1500" w:type="dxa"/>
            <w:vAlign w:val="center"/>
          </w:tcPr>
          <w:p w14:paraId="38A07366">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0.00</w:t>
            </w:r>
          </w:p>
        </w:tc>
        <w:tc>
          <w:tcPr>
            <w:tcW w:w="1512" w:type="dxa"/>
            <w:vAlign w:val="center"/>
          </w:tcPr>
          <w:p w14:paraId="3B17374F">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0.20</w:t>
            </w:r>
          </w:p>
        </w:tc>
        <w:tc>
          <w:tcPr>
            <w:tcW w:w="981" w:type="dxa"/>
            <w:vAlign w:val="center"/>
          </w:tcPr>
          <w:p w14:paraId="4A415239">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0.20</w:t>
            </w:r>
          </w:p>
        </w:tc>
        <w:tc>
          <w:tcPr>
            <w:tcW w:w="1052" w:type="dxa"/>
            <w:vAlign w:val="center"/>
          </w:tcPr>
          <w:p w14:paraId="18DFADD1">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100.00%</w:t>
            </w:r>
          </w:p>
        </w:tc>
      </w:tr>
      <w:tr w14:paraId="3194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66039F6">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合计</w:t>
            </w:r>
          </w:p>
        </w:tc>
        <w:tc>
          <w:tcPr>
            <w:tcW w:w="1300" w:type="dxa"/>
            <w:vAlign w:val="center"/>
          </w:tcPr>
          <w:p w14:paraId="06B4F60D">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0.00</w:t>
            </w:r>
          </w:p>
        </w:tc>
        <w:tc>
          <w:tcPr>
            <w:tcW w:w="1484" w:type="dxa"/>
            <w:vAlign w:val="center"/>
          </w:tcPr>
          <w:p w14:paraId="2A7E17F2">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0.00</w:t>
            </w:r>
          </w:p>
        </w:tc>
        <w:tc>
          <w:tcPr>
            <w:tcW w:w="1500" w:type="dxa"/>
            <w:vAlign w:val="center"/>
          </w:tcPr>
          <w:p w14:paraId="3876A1C8">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0.00</w:t>
            </w:r>
          </w:p>
        </w:tc>
        <w:tc>
          <w:tcPr>
            <w:tcW w:w="1512" w:type="dxa"/>
            <w:vAlign w:val="center"/>
          </w:tcPr>
          <w:p w14:paraId="79160A8A">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0.20</w:t>
            </w:r>
          </w:p>
        </w:tc>
        <w:tc>
          <w:tcPr>
            <w:tcW w:w="981" w:type="dxa"/>
            <w:vAlign w:val="center"/>
          </w:tcPr>
          <w:p w14:paraId="0AA95A80">
            <w:pPr>
              <w:jc w:val="center"/>
              <w:textAlignment w:val="center"/>
              <w:outlineLvl w:val="9"/>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0.20</w:t>
            </w:r>
          </w:p>
        </w:tc>
        <w:tc>
          <w:tcPr>
            <w:tcW w:w="1052" w:type="dxa"/>
            <w:vAlign w:val="center"/>
          </w:tcPr>
          <w:p w14:paraId="69D42F93">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val="en-US" w:eastAsia="zh-CN" w:bidi="ar"/>
              </w:rPr>
              <w:t>100.00%</w:t>
            </w:r>
          </w:p>
        </w:tc>
      </w:tr>
    </w:tbl>
    <w:p w14:paraId="15639D5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17" w:name="_Toc2217"/>
      <w:bookmarkStart w:id="118" w:name="_Toc19587"/>
      <w:bookmarkStart w:id="119" w:name="_Toc11161"/>
      <w:bookmarkStart w:id="120" w:name="_Toc27827"/>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“三公”经费</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为团区委五四活动租车费用）</w:t>
      </w:r>
      <w:r>
        <w:rPr>
          <w:rFonts w:hint="eastAsia" w:ascii="仿宋" w:hAnsi="仿宋" w:eastAsia="仿宋" w:cs="仿宋"/>
          <w:sz w:val="32"/>
          <w:szCs w:val="32"/>
          <w:lang w:bidi="ar"/>
        </w:rPr>
        <w:t>，较2023年增加</w:t>
      </w:r>
      <w:r>
        <w:rPr>
          <w:rFonts w:hint="eastAsia" w:ascii="仿宋" w:hAnsi="仿宋" w:eastAsia="仿宋" w:cs="仿宋"/>
          <w:sz w:val="32"/>
          <w:szCs w:val="32"/>
          <w:lang w:val="en-US" w:eastAsia="zh-CN" w:bidi="ar"/>
        </w:rPr>
        <w:t>0.20</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超支</w:t>
      </w:r>
      <w:r>
        <w:rPr>
          <w:rFonts w:hint="eastAsia" w:ascii="仿宋" w:hAnsi="仿宋" w:eastAsia="仿宋" w:cs="仿宋"/>
          <w:sz w:val="32"/>
          <w:szCs w:val="32"/>
          <w:lang w:val="en-US" w:eastAsia="zh-CN" w:bidi="ar"/>
        </w:rPr>
        <w:t>100</w:t>
      </w:r>
      <w:r>
        <w:rPr>
          <w:rFonts w:hint="eastAsia" w:ascii="仿宋" w:hAnsi="仿宋" w:eastAsia="仿宋" w:cs="仿宋"/>
          <w:sz w:val="32"/>
          <w:szCs w:val="32"/>
          <w:lang w:bidi="ar"/>
        </w:rPr>
        <w:t>%。</w:t>
      </w:r>
      <w:bookmarkEnd w:id="117"/>
      <w:bookmarkEnd w:id="118"/>
      <w:bookmarkEnd w:id="119"/>
      <w:bookmarkEnd w:id="120"/>
    </w:p>
    <w:p w14:paraId="4EA29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会议费情况汇总</w:t>
      </w:r>
    </w:p>
    <w:p w14:paraId="63D5BC9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bidi="ar"/>
        </w:rPr>
      </w:pPr>
      <w:bookmarkStart w:id="121" w:name="_Toc28513"/>
      <w:bookmarkStart w:id="122" w:name="_Toc27526"/>
      <w:bookmarkStart w:id="123" w:name="_Toc28094"/>
      <w:r>
        <w:rPr>
          <w:rFonts w:hint="eastAsia" w:ascii="仿宋" w:hAnsi="仿宋" w:eastAsia="仿宋" w:cs="仿宋"/>
          <w:sz w:val="32"/>
          <w:szCs w:val="32"/>
          <w:lang w:eastAsia="zh-CN" w:bidi="ar"/>
        </w:rPr>
        <w:t>共青团雁峰区委</w:t>
      </w:r>
      <w:r>
        <w:rPr>
          <w:rFonts w:hint="eastAsia" w:ascii="仿宋" w:hAnsi="仿宋" w:eastAsia="仿宋" w:cs="仿宋"/>
          <w:sz w:val="32"/>
          <w:szCs w:val="32"/>
          <w:lang w:bidi="ar"/>
        </w:rPr>
        <w:t>2024年会议费</w:t>
      </w:r>
      <w:bookmarkEnd w:id="121"/>
      <w:bookmarkEnd w:id="122"/>
      <w:bookmarkEnd w:id="123"/>
      <w:r>
        <w:rPr>
          <w:rFonts w:hint="eastAsia" w:ascii="仿宋" w:hAnsi="仿宋" w:eastAsia="仿宋" w:cs="仿宋"/>
          <w:sz w:val="32"/>
          <w:szCs w:val="32"/>
          <w:lang w:val="en-US" w:eastAsia="zh-CN" w:bidi="ar"/>
        </w:rPr>
        <w:t>4.33万元，主要是团代会。具体明细如下：</w:t>
      </w:r>
    </w:p>
    <w:tbl>
      <w:tblPr>
        <w:tblStyle w:val="13"/>
        <w:tblW w:w="88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1350"/>
        <w:gridCol w:w="1300"/>
        <w:gridCol w:w="3850"/>
        <w:gridCol w:w="1384"/>
      </w:tblGrid>
      <w:tr w14:paraId="5CA7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trPr>
        <w:tc>
          <w:tcPr>
            <w:tcW w:w="9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00E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50" w:type="dxa"/>
            <w:tcBorders>
              <w:top w:val="single" w:color="000000" w:sz="8" w:space="0"/>
              <w:left w:val="nil"/>
              <w:bottom w:val="single" w:color="000000" w:sz="8" w:space="0"/>
              <w:right w:val="single" w:color="000000" w:sz="8" w:space="0"/>
            </w:tcBorders>
            <w:shd w:val="clear" w:color="auto" w:fill="DDEBF7"/>
            <w:noWrap/>
            <w:vAlign w:val="center"/>
          </w:tcPr>
          <w:p w14:paraId="0448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凭证日期</w:t>
            </w:r>
          </w:p>
        </w:tc>
        <w:tc>
          <w:tcPr>
            <w:tcW w:w="1300" w:type="dxa"/>
            <w:tcBorders>
              <w:top w:val="single" w:color="000000" w:sz="8" w:space="0"/>
              <w:left w:val="nil"/>
              <w:bottom w:val="single" w:color="000000" w:sz="8" w:space="0"/>
              <w:right w:val="single" w:color="000000" w:sz="8" w:space="0"/>
            </w:tcBorders>
            <w:shd w:val="clear" w:color="auto" w:fill="DDEBF7"/>
            <w:noWrap/>
            <w:vAlign w:val="center"/>
          </w:tcPr>
          <w:p w14:paraId="6CC1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凭证号</w:t>
            </w:r>
          </w:p>
        </w:tc>
        <w:tc>
          <w:tcPr>
            <w:tcW w:w="3850" w:type="dxa"/>
            <w:tcBorders>
              <w:top w:val="single" w:color="000000" w:sz="8" w:space="0"/>
              <w:left w:val="nil"/>
              <w:bottom w:val="single" w:color="000000" w:sz="8" w:space="0"/>
              <w:right w:val="single" w:color="000000" w:sz="8" w:space="0"/>
            </w:tcBorders>
            <w:shd w:val="clear" w:color="auto" w:fill="DDEBF7"/>
            <w:noWrap/>
            <w:vAlign w:val="center"/>
          </w:tcPr>
          <w:p w14:paraId="5CD2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办公经费明细</w:t>
            </w:r>
          </w:p>
        </w:tc>
        <w:tc>
          <w:tcPr>
            <w:tcW w:w="1384" w:type="dxa"/>
            <w:tcBorders>
              <w:top w:val="single" w:color="000000" w:sz="8" w:space="0"/>
              <w:left w:val="nil"/>
              <w:bottom w:val="single" w:color="000000" w:sz="8" w:space="0"/>
              <w:right w:val="single" w:color="000000" w:sz="8" w:space="0"/>
            </w:tcBorders>
            <w:shd w:val="clear" w:color="auto" w:fill="DDEBF7"/>
            <w:noWrap/>
            <w:vAlign w:val="center"/>
          </w:tcPr>
          <w:p w14:paraId="39049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4885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auto"/>
            <w:noWrap/>
            <w:vAlign w:val="center"/>
          </w:tcPr>
          <w:p w14:paraId="49D47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8" w:space="0"/>
              <w:right w:val="single" w:color="000000" w:sz="8" w:space="0"/>
            </w:tcBorders>
            <w:shd w:val="clear" w:color="auto" w:fill="auto"/>
            <w:noWrap/>
            <w:vAlign w:val="center"/>
          </w:tcPr>
          <w:p w14:paraId="3FF6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2024-05-28</w:t>
            </w:r>
          </w:p>
        </w:tc>
        <w:tc>
          <w:tcPr>
            <w:tcW w:w="1300" w:type="dxa"/>
            <w:tcBorders>
              <w:top w:val="nil"/>
              <w:left w:val="nil"/>
              <w:bottom w:val="single" w:color="000000" w:sz="8" w:space="0"/>
              <w:right w:val="single" w:color="000000" w:sz="8" w:space="0"/>
            </w:tcBorders>
            <w:shd w:val="clear" w:color="auto" w:fill="auto"/>
            <w:noWrap/>
            <w:vAlign w:val="center"/>
          </w:tcPr>
          <w:p w14:paraId="5A248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记账-0003</w:t>
            </w:r>
          </w:p>
        </w:tc>
        <w:tc>
          <w:tcPr>
            <w:tcW w:w="3850" w:type="dxa"/>
            <w:tcBorders>
              <w:top w:val="nil"/>
              <w:left w:val="nil"/>
              <w:bottom w:val="single" w:color="000000" w:sz="8" w:space="0"/>
              <w:right w:val="single" w:color="000000" w:sz="8" w:space="0"/>
            </w:tcBorders>
            <w:shd w:val="clear" w:color="auto" w:fill="auto"/>
            <w:noWrap/>
            <w:vAlign w:val="center"/>
          </w:tcPr>
          <w:p w14:paraId="748F5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支付团代会本子费用</w:t>
            </w:r>
          </w:p>
        </w:tc>
        <w:tc>
          <w:tcPr>
            <w:tcW w:w="1384" w:type="dxa"/>
            <w:tcBorders>
              <w:top w:val="nil"/>
              <w:left w:val="nil"/>
              <w:bottom w:val="single" w:color="000000" w:sz="8" w:space="0"/>
              <w:right w:val="single" w:color="000000" w:sz="8" w:space="0"/>
            </w:tcBorders>
            <w:shd w:val="clear" w:color="auto" w:fill="auto"/>
            <w:noWrap/>
            <w:vAlign w:val="center"/>
          </w:tcPr>
          <w:p w14:paraId="464C4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3,015.00</w:t>
            </w:r>
          </w:p>
        </w:tc>
      </w:tr>
      <w:tr w14:paraId="432C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DDEBF7"/>
            <w:noWrap/>
            <w:vAlign w:val="center"/>
          </w:tcPr>
          <w:p w14:paraId="5C530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nil"/>
              <w:left w:val="nil"/>
              <w:bottom w:val="single" w:color="000000" w:sz="8" w:space="0"/>
              <w:right w:val="single" w:color="000000" w:sz="8" w:space="0"/>
            </w:tcBorders>
            <w:shd w:val="clear" w:color="auto" w:fill="DDEBF7"/>
            <w:noWrap/>
            <w:vAlign w:val="center"/>
          </w:tcPr>
          <w:p w14:paraId="26BCC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2024-05-28</w:t>
            </w:r>
          </w:p>
        </w:tc>
        <w:tc>
          <w:tcPr>
            <w:tcW w:w="1300" w:type="dxa"/>
            <w:tcBorders>
              <w:top w:val="nil"/>
              <w:left w:val="nil"/>
              <w:bottom w:val="single" w:color="000000" w:sz="8" w:space="0"/>
              <w:right w:val="single" w:color="000000" w:sz="8" w:space="0"/>
            </w:tcBorders>
            <w:shd w:val="clear" w:color="auto" w:fill="DDEBF7"/>
            <w:noWrap/>
            <w:vAlign w:val="center"/>
          </w:tcPr>
          <w:p w14:paraId="342B4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记账-0006</w:t>
            </w:r>
          </w:p>
        </w:tc>
        <w:tc>
          <w:tcPr>
            <w:tcW w:w="3850" w:type="dxa"/>
            <w:tcBorders>
              <w:top w:val="nil"/>
              <w:left w:val="nil"/>
              <w:bottom w:val="single" w:color="000000" w:sz="8" w:space="0"/>
              <w:right w:val="single" w:color="000000" w:sz="8" w:space="0"/>
            </w:tcBorders>
            <w:shd w:val="clear" w:color="auto" w:fill="DDEBF7"/>
            <w:noWrap/>
            <w:vAlign w:val="center"/>
          </w:tcPr>
          <w:p w14:paraId="3CE55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支付团代会资料打印费</w:t>
            </w:r>
          </w:p>
        </w:tc>
        <w:tc>
          <w:tcPr>
            <w:tcW w:w="1384" w:type="dxa"/>
            <w:tcBorders>
              <w:top w:val="nil"/>
              <w:left w:val="nil"/>
              <w:bottom w:val="single" w:color="000000" w:sz="8" w:space="0"/>
              <w:right w:val="single" w:color="000000" w:sz="8" w:space="0"/>
            </w:tcBorders>
            <w:shd w:val="clear" w:color="auto" w:fill="DDEBF7"/>
            <w:noWrap/>
            <w:vAlign w:val="center"/>
          </w:tcPr>
          <w:p w14:paraId="21E4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7,713.00</w:t>
            </w:r>
          </w:p>
        </w:tc>
      </w:tr>
      <w:tr w14:paraId="4142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auto"/>
            <w:noWrap/>
            <w:vAlign w:val="center"/>
          </w:tcPr>
          <w:p w14:paraId="14DE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nil"/>
              <w:left w:val="nil"/>
              <w:bottom w:val="single" w:color="000000" w:sz="8" w:space="0"/>
              <w:right w:val="single" w:color="000000" w:sz="8" w:space="0"/>
            </w:tcBorders>
            <w:shd w:val="clear" w:color="auto" w:fill="auto"/>
            <w:noWrap/>
            <w:vAlign w:val="center"/>
          </w:tcPr>
          <w:p w14:paraId="5E1E6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2024-05-28</w:t>
            </w:r>
          </w:p>
        </w:tc>
        <w:tc>
          <w:tcPr>
            <w:tcW w:w="1300" w:type="dxa"/>
            <w:tcBorders>
              <w:top w:val="nil"/>
              <w:left w:val="nil"/>
              <w:bottom w:val="single" w:color="000000" w:sz="8" w:space="0"/>
              <w:right w:val="single" w:color="000000" w:sz="8" w:space="0"/>
            </w:tcBorders>
            <w:shd w:val="clear" w:color="auto" w:fill="auto"/>
            <w:noWrap/>
            <w:vAlign w:val="center"/>
          </w:tcPr>
          <w:p w14:paraId="10CF8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记账-0007</w:t>
            </w:r>
          </w:p>
        </w:tc>
        <w:tc>
          <w:tcPr>
            <w:tcW w:w="3850" w:type="dxa"/>
            <w:tcBorders>
              <w:top w:val="nil"/>
              <w:left w:val="nil"/>
              <w:bottom w:val="single" w:color="000000" w:sz="8" w:space="0"/>
              <w:right w:val="single" w:color="000000" w:sz="8" w:space="0"/>
            </w:tcBorders>
            <w:shd w:val="clear" w:color="auto" w:fill="auto"/>
            <w:noWrap/>
            <w:vAlign w:val="center"/>
          </w:tcPr>
          <w:p w14:paraId="5F5E9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支付团代会广告物料、袋子定制等费用</w:t>
            </w:r>
          </w:p>
        </w:tc>
        <w:tc>
          <w:tcPr>
            <w:tcW w:w="1384" w:type="dxa"/>
            <w:tcBorders>
              <w:top w:val="nil"/>
              <w:left w:val="nil"/>
              <w:bottom w:val="single" w:color="000000" w:sz="8" w:space="0"/>
              <w:right w:val="single" w:color="000000" w:sz="8" w:space="0"/>
            </w:tcBorders>
            <w:shd w:val="clear" w:color="auto" w:fill="auto"/>
            <w:noWrap/>
            <w:vAlign w:val="center"/>
          </w:tcPr>
          <w:p w14:paraId="0E6BF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24,553.00</w:t>
            </w:r>
          </w:p>
        </w:tc>
      </w:tr>
      <w:tr w14:paraId="1EB8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DDEBF7"/>
            <w:noWrap/>
            <w:vAlign w:val="center"/>
          </w:tcPr>
          <w:p w14:paraId="7852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nil"/>
              <w:left w:val="nil"/>
              <w:bottom w:val="single" w:color="000000" w:sz="8" w:space="0"/>
              <w:right w:val="single" w:color="000000" w:sz="8" w:space="0"/>
            </w:tcBorders>
            <w:shd w:val="clear" w:color="auto" w:fill="DDEBF7"/>
            <w:noWrap/>
            <w:vAlign w:val="center"/>
          </w:tcPr>
          <w:p w14:paraId="1BCA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2024-05-28</w:t>
            </w:r>
          </w:p>
        </w:tc>
        <w:tc>
          <w:tcPr>
            <w:tcW w:w="1300" w:type="dxa"/>
            <w:tcBorders>
              <w:top w:val="nil"/>
              <w:left w:val="nil"/>
              <w:bottom w:val="single" w:color="000000" w:sz="8" w:space="0"/>
              <w:right w:val="single" w:color="000000" w:sz="8" w:space="0"/>
            </w:tcBorders>
            <w:shd w:val="clear" w:color="auto" w:fill="DDEBF7"/>
            <w:noWrap/>
            <w:vAlign w:val="center"/>
          </w:tcPr>
          <w:p w14:paraId="10C5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记账-0009</w:t>
            </w:r>
          </w:p>
        </w:tc>
        <w:tc>
          <w:tcPr>
            <w:tcW w:w="3850" w:type="dxa"/>
            <w:tcBorders>
              <w:top w:val="nil"/>
              <w:left w:val="nil"/>
              <w:bottom w:val="single" w:color="000000" w:sz="8" w:space="0"/>
              <w:right w:val="single" w:color="000000" w:sz="8" w:space="0"/>
            </w:tcBorders>
            <w:shd w:val="clear" w:color="auto" w:fill="DDEBF7"/>
            <w:noWrap/>
            <w:vAlign w:val="center"/>
          </w:tcPr>
          <w:p w14:paraId="336FF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支付团代会拍摄费用</w:t>
            </w:r>
          </w:p>
        </w:tc>
        <w:tc>
          <w:tcPr>
            <w:tcW w:w="1384" w:type="dxa"/>
            <w:tcBorders>
              <w:top w:val="nil"/>
              <w:left w:val="nil"/>
              <w:bottom w:val="single" w:color="000000" w:sz="8" w:space="0"/>
              <w:right w:val="single" w:color="000000" w:sz="8" w:space="0"/>
            </w:tcBorders>
            <w:shd w:val="clear" w:color="auto" w:fill="DDEBF7"/>
            <w:noWrap/>
            <w:vAlign w:val="center"/>
          </w:tcPr>
          <w:p w14:paraId="4D225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2,145.00</w:t>
            </w:r>
          </w:p>
        </w:tc>
      </w:tr>
      <w:tr w14:paraId="7FAE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auto"/>
            <w:noWrap/>
            <w:vAlign w:val="center"/>
          </w:tcPr>
          <w:p w14:paraId="1C8F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8" w:space="0"/>
              <w:right w:val="single" w:color="000000" w:sz="8" w:space="0"/>
            </w:tcBorders>
            <w:shd w:val="clear" w:color="auto" w:fill="auto"/>
            <w:noWrap/>
            <w:vAlign w:val="center"/>
          </w:tcPr>
          <w:p w14:paraId="71672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2024-06-27</w:t>
            </w:r>
          </w:p>
        </w:tc>
        <w:tc>
          <w:tcPr>
            <w:tcW w:w="1300" w:type="dxa"/>
            <w:tcBorders>
              <w:top w:val="nil"/>
              <w:left w:val="nil"/>
              <w:bottom w:val="single" w:color="000000" w:sz="8" w:space="0"/>
              <w:right w:val="single" w:color="000000" w:sz="8" w:space="0"/>
            </w:tcBorders>
            <w:shd w:val="clear" w:color="auto" w:fill="auto"/>
            <w:noWrap/>
            <w:vAlign w:val="center"/>
          </w:tcPr>
          <w:p w14:paraId="6972E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记账-0003</w:t>
            </w:r>
          </w:p>
        </w:tc>
        <w:tc>
          <w:tcPr>
            <w:tcW w:w="3850" w:type="dxa"/>
            <w:tcBorders>
              <w:top w:val="nil"/>
              <w:left w:val="nil"/>
              <w:bottom w:val="single" w:color="000000" w:sz="8" w:space="0"/>
              <w:right w:val="single" w:color="000000" w:sz="8" w:space="0"/>
            </w:tcBorders>
            <w:shd w:val="clear" w:color="auto" w:fill="auto"/>
            <w:noWrap/>
            <w:vAlign w:val="center"/>
          </w:tcPr>
          <w:p w14:paraId="6AD9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支付团代会购买团徽、团旗等费用</w:t>
            </w:r>
          </w:p>
        </w:tc>
        <w:tc>
          <w:tcPr>
            <w:tcW w:w="1384" w:type="dxa"/>
            <w:tcBorders>
              <w:top w:val="nil"/>
              <w:left w:val="nil"/>
              <w:bottom w:val="single" w:color="000000" w:sz="8" w:space="0"/>
              <w:right w:val="single" w:color="000000" w:sz="8" w:space="0"/>
            </w:tcBorders>
            <w:shd w:val="clear" w:color="auto" w:fill="auto"/>
            <w:noWrap/>
            <w:vAlign w:val="center"/>
          </w:tcPr>
          <w:p w14:paraId="670D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950.00</w:t>
            </w:r>
          </w:p>
        </w:tc>
      </w:tr>
      <w:tr w14:paraId="3274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40" w:type="dxa"/>
            <w:tcBorders>
              <w:top w:val="nil"/>
              <w:left w:val="single" w:color="000000" w:sz="8" w:space="0"/>
              <w:bottom w:val="single" w:color="000000" w:sz="8" w:space="0"/>
              <w:right w:val="single" w:color="000000" w:sz="8" w:space="0"/>
            </w:tcBorders>
            <w:shd w:val="clear" w:color="auto" w:fill="DDEBF7"/>
            <w:noWrap/>
            <w:vAlign w:val="center"/>
          </w:tcPr>
          <w:p w14:paraId="4B54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nil"/>
              <w:left w:val="nil"/>
              <w:bottom w:val="single" w:color="000000" w:sz="8" w:space="0"/>
              <w:right w:val="single" w:color="000000" w:sz="8" w:space="0"/>
            </w:tcBorders>
            <w:shd w:val="clear" w:color="auto" w:fill="DDEBF7"/>
            <w:noWrap/>
            <w:vAlign w:val="center"/>
          </w:tcPr>
          <w:p w14:paraId="0097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2024-12-24</w:t>
            </w:r>
          </w:p>
        </w:tc>
        <w:tc>
          <w:tcPr>
            <w:tcW w:w="1300" w:type="dxa"/>
            <w:tcBorders>
              <w:top w:val="nil"/>
              <w:left w:val="nil"/>
              <w:bottom w:val="single" w:color="000000" w:sz="8" w:space="0"/>
              <w:right w:val="single" w:color="000000" w:sz="8" w:space="0"/>
            </w:tcBorders>
            <w:shd w:val="clear" w:color="auto" w:fill="DDEBF7"/>
            <w:noWrap/>
            <w:vAlign w:val="center"/>
          </w:tcPr>
          <w:p w14:paraId="4D634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记账-0016</w:t>
            </w:r>
          </w:p>
        </w:tc>
        <w:tc>
          <w:tcPr>
            <w:tcW w:w="3850" w:type="dxa"/>
            <w:tcBorders>
              <w:top w:val="nil"/>
              <w:left w:val="nil"/>
              <w:bottom w:val="single" w:color="000000" w:sz="8" w:space="0"/>
              <w:right w:val="single" w:color="000000" w:sz="8" w:space="0"/>
            </w:tcBorders>
            <w:shd w:val="clear" w:color="auto" w:fill="DDEBF7"/>
            <w:noWrap/>
            <w:vAlign w:val="center"/>
          </w:tcPr>
          <w:p w14:paraId="5B788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支付团代会团代表用餐费用</w:t>
            </w:r>
          </w:p>
        </w:tc>
        <w:tc>
          <w:tcPr>
            <w:tcW w:w="1384" w:type="dxa"/>
            <w:tcBorders>
              <w:top w:val="nil"/>
              <w:left w:val="nil"/>
              <w:bottom w:val="single" w:color="000000" w:sz="8" w:space="0"/>
              <w:right w:val="single" w:color="000000" w:sz="8" w:space="0"/>
            </w:tcBorders>
            <w:shd w:val="clear" w:color="auto" w:fill="DDEBF7"/>
            <w:noWrap/>
            <w:vAlign w:val="center"/>
          </w:tcPr>
          <w:p w14:paraId="75E8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4,920.00</w:t>
            </w:r>
          </w:p>
        </w:tc>
      </w:tr>
      <w:tr w14:paraId="5F53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40" w:type="dxa"/>
            <w:tcBorders>
              <w:top w:val="nil"/>
              <w:left w:val="single" w:color="000000" w:sz="8" w:space="0"/>
              <w:bottom w:val="single" w:color="000000" w:sz="8" w:space="0"/>
              <w:right w:val="single" w:color="000000" w:sz="8" w:space="0"/>
            </w:tcBorders>
            <w:shd w:val="clear" w:color="auto" w:fill="auto"/>
            <w:noWrap/>
            <w:vAlign w:val="center"/>
          </w:tcPr>
          <w:p w14:paraId="53D00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00" w:type="dxa"/>
            <w:gridSpan w:val="3"/>
            <w:tcBorders>
              <w:top w:val="nil"/>
              <w:left w:val="nil"/>
              <w:bottom w:val="single" w:color="000000" w:sz="8" w:space="0"/>
              <w:right w:val="single" w:color="000000" w:sz="8" w:space="0"/>
            </w:tcBorders>
            <w:shd w:val="clear" w:color="auto" w:fill="auto"/>
            <w:noWrap/>
            <w:vAlign w:val="center"/>
          </w:tcPr>
          <w:p w14:paraId="7FE3D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384" w:type="dxa"/>
            <w:tcBorders>
              <w:top w:val="nil"/>
              <w:left w:val="nil"/>
              <w:bottom w:val="single" w:color="000000" w:sz="8" w:space="0"/>
              <w:right w:val="single" w:color="000000" w:sz="8" w:space="0"/>
            </w:tcBorders>
            <w:shd w:val="clear" w:color="auto" w:fill="auto"/>
            <w:noWrap/>
            <w:vAlign w:val="center"/>
          </w:tcPr>
          <w:p w14:paraId="1416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43,296.00</w:t>
            </w:r>
          </w:p>
        </w:tc>
      </w:tr>
    </w:tbl>
    <w:p w14:paraId="5495A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根据提供的决算报告，2023年会议费为“0.00元”，2024年会议费较2023年超支100.00%。</w:t>
      </w:r>
    </w:p>
    <w:p w14:paraId="75C50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办公经费情况汇总</w:t>
      </w:r>
    </w:p>
    <w:p w14:paraId="065344F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bidi="ar"/>
        </w:rPr>
      </w:pPr>
      <w:bookmarkStart w:id="124" w:name="_Toc13288"/>
      <w:bookmarkStart w:id="125" w:name="_Toc5339"/>
      <w:bookmarkStart w:id="126" w:name="_Toc27189"/>
      <w:r>
        <w:rPr>
          <w:rFonts w:hint="eastAsia" w:ascii="仿宋" w:hAnsi="仿宋" w:eastAsia="仿宋" w:cs="仿宋"/>
          <w:sz w:val="32"/>
          <w:szCs w:val="32"/>
          <w:lang w:eastAsia="zh-CN" w:bidi="ar"/>
        </w:rPr>
        <w:t>办公经费重分类数在“基本支出”和“项目支出”均有列支，</w:t>
      </w:r>
      <w:r>
        <w:rPr>
          <w:rFonts w:hint="eastAsia" w:ascii="仿宋" w:hAnsi="仿宋" w:eastAsia="仿宋" w:cs="仿宋"/>
          <w:sz w:val="32"/>
          <w:szCs w:val="32"/>
          <w:lang w:bidi="ar"/>
        </w:rPr>
        <w:t>具体明细见下表：</w:t>
      </w:r>
      <w:bookmarkEnd w:id="124"/>
      <w:bookmarkEnd w:id="125"/>
      <w:bookmarkEnd w:id="126"/>
    </w:p>
    <w:tbl>
      <w:tblPr>
        <w:tblStyle w:val="13"/>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2984"/>
        <w:gridCol w:w="2242"/>
        <w:gridCol w:w="2241"/>
      </w:tblGrid>
      <w:tr w14:paraId="2CA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27E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7" w:name="_Toc14135"/>
            <w:r>
              <w:rPr>
                <w:rFonts w:hint="eastAsia" w:ascii="宋体" w:hAnsi="宋体" w:eastAsia="宋体" w:cs="宋体"/>
                <w:i w:val="0"/>
                <w:iCs w:val="0"/>
                <w:color w:val="000000"/>
                <w:kern w:val="0"/>
                <w:sz w:val="22"/>
                <w:szCs w:val="22"/>
                <w:u w:val="none"/>
                <w:lang w:val="en-US" w:eastAsia="zh-CN"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DB4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办公经费明细</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CE6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14AF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597D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291E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46AA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办公经费－办公用品及耗材</w:t>
            </w:r>
          </w:p>
        </w:tc>
        <w:tc>
          <w:tcPr>
            <w:tcW w:w="2242" w:type="dxa"/>
            <w:tcBorders>
              <w:top w:val="nil"/>
              <w:left w:val="nil"/>
              <w:bottom w:val="single" w:color="000000" w:sz="8" w:space="0"/>
              <w:right w:val="single" w:color="000000" w:sz="8" w:space="0"/>
            </w:tcBorders>
            <w:shd w:val="clear" w:color="auto" w:fill="auto"/>
            <w:noWrap/>
            <w:vAlign w:val="center"/>
          </w:tcPr>
          <w:p w14:paraId="1D49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c>
          <w:tcPr>
            <w:tcW w:w="2241" w:type="dxa"/>
            <w:tcBorders>
              <w:top w:val="nil"/>
              <w:left w:val="nil"/>
              <w:bottom w:val="single" w:color="000000" w:sz="8" w:space="0"/>
              <w:right w:val="single" w:color="000000" w:sz="8" w:space="0"/>
            </w:tcBorders>
            <w:shd w:val="clear" w:color="auto" w:fill="auto"/>
            <w:noWrap/>
            <w:vAlign w:val="center"/>
          </w:tcPr>
          <w:p w14:paraId="58AA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r>
      <w:tr w14:paraId="18E3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EA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91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办公经费－报刊杂志</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7CA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241" w:type="dxa"/>
            <w:tcBorders>
              <w:top w:val="nil"/>
              <w:left w:val="nil"/>
              <w:bottom w:val="single" w:color="000000" w:sz="8" w:space="0"/>
              <w:right w:val="single" w:color="000000" w:sz="8" w:space="0"/>
            </w:tcBorders>
            <w:shd w:val="clear" w:color="auto" w:fill="DDEBF7"/>
            <w:noWrap/>
            <w:vAlign w:val="center"/>
          </w:tcPr>
          <w:p w14:paraId="100E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w:t>
            </w:r>
          </w:p>
        </w:tc>
      </w:tr>
      <w:tr w14:paraId="25D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06CC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5127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办公经费－咨询服务费</w:t>
            </w:r>
          </w:p>
        </w:tc>
        <w:tc>
          <w:tcPr>
            <w:tcW w:w="2242" w:type="dxa"/>
            <w:tcBorders>
              <w:top w:val="nil"/>
              <w:left w:val="nil"/>
              <w:bottom w:val="single" w:color="000000" w:sz="8" w:space="0"/>
              <w:right w:val="single" w:color="000000" w:sz="8" w:space="0"/>
            </w:tcBorders>
            <w:shd w:val="clear" w:color="auto" w:fill="auto"/>
            <w:noWrap/>
            <w:vAlign w:val="center"/>
          </w:tcPr>
          <w:p w14:paraId="13BA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241" w:type="dxa"/>
            <w:tcBorders>
              <w:top w:val="nil"/>
              <w:left w:val="nil"/>
              <w:bottom w:val="single" w:color="000000" w:sz="8" w:space="0"/>
              <w:right w:val="single" w:color="000000" w:sz="8" w:space="0"/>
            </w:tcBorders>
            <w:shd w:val="clear" w:color="auto" w:fill="auto"/>
            <w:noWrap/>
            <w:vAlign w:val="center"/>
          </w:tcPr>
          <w:p w14:paraId="084B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41.54%</w:t>
            </w:r>
          </w:p>
        </w:tc>
      </w:tr>
      <w:tr w14:paraId="455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B76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788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办公经费－文宣及打印</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404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41" w:type="dxa"/>
            <w:tcBorders>
              <w:top w:val="nil"/>
              <w:left w:val="nil"/>
              <w:bottom w:val="single" w:color="000000" w:sz="8" w:space="0"/>
              <w:right w:val="single" w:color="000000" w:sz="8" w:space="0"/>
            </w:tcBorders>
            <w:shd w:val="clear" w:color="auto" w:fill="DDEBF7"/>
            <w:noWrap/>
            <w:vAlign w:val="center"/>
          </w:tcPr>
          <w:p w14:paraId="77AA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w:t>
            </w:r>
          </w:p>
        </w:tc>
      </w:tr>
      <w:tr w14:paraId="580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7EA1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201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2242" w:type="dxa"/>
            <w:tcBorders>
              <w:top w:val="nil"/>
              <w:left w:val="nil"/>
              <w:bottom w:val="single" w:color="000000" w:sz="8" w:space="0"/>
              <w:right w:val="single" w:color="000000" w:sz="8" w:space="0"/>
            </w:tcBorders>
            <w:shd w:val="clear" w:color="auto" w:fill="auto"/>
            <w:noWrap/>
            <w:vAlign w:val="center"/>
          </w:tcPr>
          <w:p w14:paraId="0C2E57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0.17</w:t>
            </w:r>
          </w:p>
        </w:tc>
        <w:tc>
          <w:tcPr>
            <w:tcW w:w="2241" w:type="dxa"/>
            <w:tcBorders>
              <w:top w:val="nil"/>
              <w:left w:val="nil"/>
              <w:bottom w:val="single" w:color="000000" w:sz="8" w:space="0"/>
              <w:right w:val="single" w:color="000000" w:sz="8" w:space="0"/>
            </w:tcBorders>
            <w:shd w:val="clear" w:color="auto" w:fill="auto"/>
            <w:noWrap/>
            <w:vAlign w:val="center"/>
          </w:tcPr>
          <w:p w14:paraId="7CBB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1B6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58E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6A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6EF2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241" w:type="dxa"/>
            <w:tcBorders>
              <w:top w:val="nil"/>
              <w:left w:val="nil"/>
              <w:bottom w:val="single" w:color="000000" w:sz="8" w:space="0"/>
              <w:right w:val="single" w:color="000000" w:sz="8" w:space="0"/>
            </w:tcBorders>
            <w:shd w:val="clear" w:color="auto" w:fill="DDEBF7"/>
            <w:noWrap/>
            <w:vAlign w:val="center"/>
          </w:tcPr>
          <w:p w14:paraId="4AEB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bookmarkEnd w:id="127"/>
    </w:tbl>
    <w:p w14:paraId="6EFEE7C9">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基本支出－工会补助明细</w:t>
      </w:r>
    </w:p>
    <w:tbl>
      <w:tblPr>
        <w:tblStyle w:val="13"/>
        <w:tblW w:w="85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372"/>
        <w:gridCol w:w="1388"/>
        <w:gridCol w:w="3769"/>
        <w:gridCol w:w="1425"/>
      </w:tblGrid>
      <w:tr w14:paraId="3452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2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4402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28" w:name="_Toc20106"/>
            <w:bookmarkStart w:id="129" w:name="_Toc4748"/>
            <w:r>
              <w:rPr>
                <w:rFonts w:hint="eastAsia" w:ascii="宋体" w:hAnsi="宋体" w:eastAsia="宋体" w:cs="宋体"/>
                <w:i w:val="0"/>
                <w:iCs w:val="0"/>
                <w:color w:val="000000"/>
                <w:kern w:val="0"/>
                <w:sz w:val="22"/>
                <w:szCs w:val="22"/>
                <w:u w:val="none"/>
                <w:lang w:val="en-US" w:eastAsia="zh-CN" w:bidi="ar"/>
              </w:rPr>
              <w:t>序号</w:t>
            </w:r>
          </w:p>
        </w:tc>
        <w:tc>
          <w:tcPr>
            <w:tcW w:w="1372" w:type="dxa"/>
            <w:tcBorders>
              <w:top w:val="single" w:color="000000" w:sz="8" w:space="0"/>
              <w:left w:val="nil"/>
              <w:bottom w:val="single" w:color="000000" w:sz="8" w:space="0"/>
              <w:right w:val="single" w:color="000000" w:sz="8" w:space="0"/>
            </w:tcBorders>
            <w:shd w:val="clear" w:color="auto" w:fill="DDEBF7"/>
            <w:noWrap/>
            <w:vAlign w:val="center"/>
          </w:tcPr>
          <w:p w14:paraId="1EE8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凭证日期</w:t>
            </w:r>
          </w:p>
        </w:tc>
        <w:tc>
          <w:tcPr>
            <w:tcW w:w="1388" w:type="dxa"/>
            <w:tcBorders>
              <w:top w:val="single" w:color="000000" w:sz="8" w:space="0"/>
              <w:left w:val="nil"/>
              <w:bottom w:val="single" w:color="000000" w:sz="8" w:space="0"/>
              <w:right w:val="single" w:color="000000" w:sz="8" w:space="0"/>
            </w:tcBorders>
            <w:shd w:val="clear" w:color="auto" w:fill="DDEBF7"/>
            <w:noWrap/>
            <w:vAlign w:val="center"/>
          </w:tcPr>
          <w:p w14:paraId="5A0A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凭证号</w:t>
            </w:r>
          </w:p>
        </w:tc>
        <w:tc>
          <w:tcPr>
            <w:tcW w:w="3769" w:type="dxa"/>
            <w:tcBorders>
              <w:top w:val="single" w:color="000000" w:sz="8" w:space="0"/>
              <w:left w:val="nil"/>
              <w:bottom w:val="single" w:color="000000" w:sz="8" w:space="0"/>
              <w:right w:val="single" w:color="000000" w:sz="8" w:space="0"/>
            </w:tcBorders>
            <w:shd w:val="clear" w:color="auto" w:fill="DDEBF7"/>
            <w:noWrap/>
            <w:vAlign w:val="center"/>
          </w:tcPr>
          <w:p w14:paraId="66A24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摘要</w:t>
            </w:r>
          </w:p>
        </w:tc>
        <w:tc>
          <w:tcPr>
            <w:tcW w:w="1425" w:type="dxa"/>
            <w:tcBorders>
              <w:top w:val="single" w:color="000000" w:sz="8" w:space="0"/>
              <w:left w:val="nil"/>
              <w:bottom w:val="single" w:color="000000" w:sz="8" w:space="0"/>
              <w:right w:val="single" w:color="000000" w:sz="8" w:space="0"/>
            </w:tcBorders>
            <w:shd w:val="clear" w:color="auto" w:fill="DDEBF7"/>
            <w:noWrap/>
            <w:vAlign w:val="center"/>
          </w:tcPr>
          <w:p w14:paraId="3798B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E6F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14:paraId="4D048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2" w:type="dxa"/>
            <w:tcBorders>
              <w:top w:val="nil"/>
              <w:left w:val="nil"/>
              <w:bottom w:val="single" w:color="000000" w:sz="8" w:space="0"/>
              <w:right w:val="single" w:color="000000" w:sz="8" w:space="0"/>
            </w:tcBorders>
            <w:shd w:val="clear" w:color="auto" w:fill="auto"/>
            <w:noWrap/>
            <w:vAlign w:val="center"/>
          </w:tcPr>
          <w:p w14:paraId="72170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2024-08-29</w:t>
            </w:r>
          </w:p>
        </w:tc>
        <w:tc>
          <w:tcPr>
            <w:tcW w:w="1388" w:type="dxa"/>
            <w:tcBorders>
              <w:top w:val="nil"/>
              <w:left w:val="nil"/>
              <w:bottom w:val="single" w:color="000000" w:sz="8" w:space="0"/>
              <w:right w:val="single" w:color="000000" w:sz="8" w:space="0"/>
            </w:tcBorders>
            <w:shd w:val="clear" w:color="auto" w:fill="auto"/>
            <w:noWrap/>
            <w:vAlign w:val="center"/>
          </w:tcPr>
          <w:p w14:paraId="2B149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记账-0008</w:t>
            </w:r>
          </w:p>
        </w:tc>
        <w:tc>
          <w:tcPr>
            <w:tcW w:w="3769" w:type="dxa"/>
            <w:tcBorders>
              <w:top w:val="nil"/>
              <w:left w:val="nil"/>
              <w:bottom w:val="single" w:color="000000" w:sz="8" w:space="0"/>
              <w:right w:val="single" w:color="000000" w:sz="8" w:space="0"/>
            </w:tcBorders>
            <w:shd w:val="clear" w:color="auto" w:fill="auto"/>
            <w:noWrap/>
            <w:vAlign w:val="center"/>
          </w:tcPr>
          <w:p w14:paraId="484B0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支付联合工会做账费用</w:t>
            </w:r>
          </w:p>
        </w:tc>
        <w:tc>
          <w:tcPr>
            <w:tcW w:w="1425" w:type="dxa"/>
            <w:tcBorders>
              <w:top w:val="nil"/>
              <w:left w:val="nil"/>
              <w:bottom w:val="single" w:color="000000" w:sz="8" w:space="0"/>
              <w:right w:val="single" w:color="000000" w:sz="8" w:space="0"/>
            </w:tcBorders>
            <w:shd w:val="clear" w:color="auto" w:fill="auto"/>
            <w:noWrap/>
            <w:vAlign w:val="center"/>
          </w:tcPr>
          <w:p w14:paraId="054DA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1,440.00</w:t>
            </w:r>
          </w:p>
        </w:tc>
      </w:tr>
      <w:tr w14:paraId="7B75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27" w:type="dxa"/>
            <w:tcBorders>
              <w:top w:val="nil"/>
              <w:left w:val="single" w:color="000000" w:sz="8" w:space="0"/>
              <w:bottom w:val="single" w:color="000000" w:sz="8" w:space="0"/>
              <w:right w:val="single" w:color="000000" w:sz="8" w:space="0"/>
            </w:tcBorders>
            <w:shd w:val="clear" w:color="auto" w:fill="DDEBF7"/>
            <w:noWrap/>
            <w:vAlign w:val="center"/>
          </w:tcPr>
          <w:p w14:paraId="21090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2" w:type="dxa"/>
            <w:tcBorders>
              <w:top w:val="nil"/>
              <w:left w:val="nil"/>
              <w:bottom w:val="single" w:color="000000" w:sz="8" w:space="0"/>
              <w:right w:val="single" w:color="000000" w:sz="8" w:space="0"/>
            </w:tcBorders>
            <w:shd w:val="clear" w:color="auto" w:fill="DDEBF7"/>
            <w:noWrap/>
            <w:vAlign w:val="center"/>
          </w:tcPr>
          <w:p w14:paraId="28A4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2024-12-13</w:t>
            </w:r>
          </w:p>
        </w:tc>
        <w:tc>
          <w:tcPr>
            <w:tcW w:w="1388" w:type="dxa"/>
            <w:tcBorders>
              <w:top w:val="nil"/>
              <w:left w:val="nil"/>
              <w:bottom w:val="single" w:color="000000" w:sz="8" w:space="0"/>
              <w:right w:val="single" w:color="000000" w:sz="8" w:space="0"/>
            </w:tcBorders>
            <w:shd w:val="clear" w:color="auto" w:fill="DDEBF7"/>
            <w:noWrap/>
            <w:vAlign w:val="center"/>
          </w:tcPr>
          <w:p w14:paraId="52ECE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记账-0007</w:t>
            </w:r>
          </w:p>
        </w:tc>
        <w:tc>
          <w:tcPr>
            <w:tcW w:w="3769" w:type="dxa"/>
            <w:tcBorders>
              <w:top w:val="nil"/>
              <w:left w:val="nil"/>
              <w:bottom w:val="single" w:color="000000" w:sz="8" w:space="0"/>
              <w:right w:val="single" w:color="000000" w:sz="8" w:space="0"/>
            </w:tcBorders>
            <w:shd w:val="clear" w:color="auto" w:fill="DDEBF7"/>
            <w:noWrap/>
            <w:vAlign w:val="center"/>
          </w:tcPr>
          <w:p w14:paraId="3B06E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支付2025年工会行政费用</w:t>
            </w:r>
          </w:p>
        </w:tc>
        <w:tc>
          <w:tcPr>
            <w:tcW w:w="1425" w:type="dxa"/>
            <w:tcBorders>
              <w:top w:val="nil"/>
              <w:left w:val="nil"/>
              <w:bottom w:val="single" w:color="000000" w:sz="8" w:space="0"/>
              <w:right w:val="single" w:color="000000" w:sz="8" w:space="0"/>
            </w:tcBorders>
            <w:shd w:val="clear" w:color="auto" w:fill="DDEBF7"/>
            <w:noWrap/>
            <w:vAlign w:val="center"/>
          </w:tcPr>
          <w:p w14:paraId="629D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15,800.00</w:t>
            </w:r>
          </w:p>
        </w:tc>
      </w:tr>
      <w:tr w14:paraId="38C2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27" w:type="dxa"/>
            <w:tcBorders>
              <w:top w:val="nil"/>
              <w:left w:val="single" w:color="000000" w:sz="8" w:space="0"/>
              <w:bottom w:val="single" w:color="000000" w:sz="8" w:space="0"/>
              <w:right w:val="single" w:color="000000" w:sz="8" w:space="0"/>
            </w:tcBorders>
            <w:shd w:val="clear" w:color="auto" w:fill="auto"/>
            <w:noWrap/>
            <w:vAlign w:val="center"/>
          </w:tcPr>
          <w:p w14:paraId="517E5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2" w:type="dxa"/>
            <w:tcBorders>
              <w:top w:val="nil"/>
              <w:left w:val="nil"/>
              <w:bottom w:val="single" w:color="000000" w:sz="8" w:space="0"/>
              <w:right w:val="single" w:color="000000" w:sz="8" w:space="0"/>
            </w:tcBorders>
            <w:shd w:val="clear" w:color="auto" w:fill="auto"/>
            <w:noWrap/>
            <w:vAlign w:val="center"/>
          </w:tcPr>
          <w:p w14:paraId="7A0F1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2024-01-31</w:t>
            </w:r>
          </w:p>
        </w:tc>
        <w:tc>
          <w:tcPr>
            <w:tcW w:w="1388" w:type="dxa"/>
            <w:tcBorders>
              <w:top w:val="nil"/>
              <w:left w:val="nil"/>
              <w:bottom w:val="single" w:color="000000" w:sz="8" w:space="0"/>
              <w:right w:val="single" w:color="000000" w:sz="8" w:space="0"/>
            </w:tcBorders>
            <w:shd w:val="clear" w:color="auto" w:fill="auto"/>
            <w:noWrap/>
            <w:vAlign w:val="center"/>
          </w:tcPr>
          <w:p w14:paraId="2E91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记账-0003</w:t>
            </w:r>
          </w:p>
        </w:tc>
        <w:tc>
          <w:tcPr>
            <w:tcW w:w="3769" w:type="dxa"/>
            <w:tcBorders>
              <w:top w:val="nil"/>
              <w:left w:val="nil"/>
              <w:bottom w:val="single" w:color="000000" w:sz="8" w:space="0"/>
              <w:right w:val="single" w:color="000000" w:sz="8" w:space="0"/>
            </w:tcBorders>
            <w:shd w:val="clear" w:color="auto" w:fill="auto"/>
            <w:noWrap/>
            <w:vAlign w:val="center"/>
          </w:tcPr>
          <w:p w14:paraId="7085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拨付团区委2024年度工会行政补助</w:t>
            </w:r>
          </w:p>
        </w:tc>
        <w:tc>
          <w:tcPr>
            <w:tcW w:w="1425" w:type="dxa"/>
            <w:tcBorders>
              <w:top w:val="nil"/>
              <w:left w:val="nil"/>
              <w:bottom w:val="single" w:color="000000" w:sz="8" w:space="0"/>
              <w:right w:val="single" w:color="000000" w:sz="8" w:space="0"/>
            </w:tcBorders>
            <w:shd w:val="clear" w:color="auto" w:fill="auto"/>
            <w:noWrap/>
            <w:vAlign w:val="center"/>
          </w:tcPr>
          <w:p w14:paraId="18275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15,700.00</w:t>
            </w:r>
          </w:p>
        </w:tc>
      </w:tr>
      <w:tr w14:paraId="2D63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7" w:type="dxa"/>
            <w:tcBorders>
              <w:top w:val="nil"/>
              <w:left w:val="single" w:color="000000" w:sz="8" w:space="0"/>
              <w:bottom w:val="single" w:color="000000" w:sz="8" w:space="0"/>
              <w:right w:val="single" w:color="000000" w:sz="8" w:space="0"/>
            </w:tcBorders>
            <w:shd w:val="clear" w:color="auto" w:fill="DDEBF7"/>
            <w:noWrap/>
            <w:vAlign w:val="center"/>
          </w:tcPr>
          <w:p w14:paraId="76672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29" w:type="dxa"/>
            <w:gridSpan w:val="3"/>
            <w:tcBorders>
              <w:top w:val="nil"/>
              <w:left w:val="nil"/>
              <w:bottom w:val="single" w:color="000000" w:sz="8" w:space="0"/>
              <w:right w:val="single" w:color="000000" w:sz="8" w:space="0"/>
            </w:tcBorders>
            <w:shd w:val="clear" w:color="auto" w:fill="DDEBF7"/>
            <w:noWrap/>
            <w:vAlign w:val="center"/>
          </w:tcPr>
          <w:p w14:paraId="19F58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425" w:type="dxa"/>
            <w:tcBorders>
              <w:top w:val="nil"/>
              <w:left w:val="nil"/>
              <w:bottom w:val="single" w:color="000000" w:sz="8" w:space="0"/>
              <w:right w:val="single" w:color="000000" w:sz="8" w:space="0"/>
            </w:tcBorders>
            <w:shd w:val="clear" w:color="auto" w:fill="DDEBF7"/>
            <w:noWrap/>
            <w:vAlign w:val="center"/>
          </w:tcPr>
          <w:p w14:paraId="01AE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32,940.00</w:t>
            </w:r>
          </w:p>
        </w:tc>
      </w:tr>
    </w:tbl>
    <w:p w14:paraId="7D1D42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w:t>
      </w:r>
      <w:r>
        <w:rPr>
          <w:rFonts w:hint="eastAsia" w:ascii="仿宋" w:hAnsi="仿宋" w:eastAsia="仿宋" w:cs="仿宋"/>
          <w:sz w:val="32"/>
          <w:szCs w:val="32"/>
          <w:lang w:eastAsia="zh-CN" w:bidi="ar"/>
        </w:rPr>
        <w:t>共青团雁峰区委的工会账务，由联合工会代为处理。</w:t>
      </w:r>
    </w:p>
    <w:p w14:paraId="71862B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8.新增财政性支出情况汇总</w:t>
      </w:r>
    </w:p>
    <w:p w14:paraId="1B35AD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无新增财政性支出。</w:t>
      </w:r>
    </w:p>
    <w:p w14:paraId="0E4A72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0" w:name="_Toc31580"/>
      <w:bookmarkStart w:id="131" w:name="_Toc4678"/>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）预算管理情况及分析</w:t>
      </w:r>
      <w:bookmarkEnd w:id="128"/>
      <w:bookmarkEnd w:id="129"/>
      <w:bookmarkEnd w:id="130"/>
      <w:bookmarkEnd w:id="131"/>
    </w:p>
    <w:p w14:paraId="59148B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1.预算管理情况</w:t>
      </w:r>
    </w:p>
    <w:p w14:paraId="043B67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（1）部门在预算管理方面建立的制度</w:t>
      </w:r>
    </w:p>
    <w:p w14:paraId="009DC5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提供了财务管理制度，其中结构包括管理方式，部门公共经费管理，部门</w:t>
      </w:r>
      <w:r>
        <w:rPr>
          <w:rFonts w:hint="eastAsia" w:ascii="仿宋" w:hAnsi="仿宋" w:eastAsia="仿宋" w:cs="仿宋"/>
          <w:sz w:val="32"/>
          <w:szCs w:val="32"/>
          <w:lang w:eastAsia="zh-CN"/>
        </w:rPr>
        <w:t>巡察</w:t>
      </w:r>
      <w:r>
        <w:rPr>
          <w:rFonts w:hint="eastAsia" w:ascii="仿宋" w:hAnsi="仿宋" w:eastAsia="仿宋" w:cs="仿宋"/>
          <w:sz w:val="32"/>
          <w:szCs w:val="32"/>
        </w:rPr>
        <w:t>经费管理及监督检查；内容包括资金审批权限、报销流程等。未提供其他管理制度。如：预算管理制度，内部控制制度，政府采购管理制度，国有资产管理制度，合同管理制度，专项资金管理办法，绩效管理制度，信息化管理制度，决算与财务报告制度，监督与审计制度等。</w:t>
      </w:r>
    </w:p>
    <w:p w14:paraId="4463D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预算执行监控的频率、方式和内容，提供的财务管理制度摘选内容列示如下：</w:t>
      </w:r>
      <w:r>
        <w:rPr>
          <w:rFonts w:hint="eastAsia" w:ascii="仿宋" w:hAnsi="仿宋" w:eastAsia="仿宋" w:cs="仿宋"/>
          <w:sz w:val="32"/>
          <w:szCs w:val="32"/>
        </w:rPr>
        <w:t>经费报销严格执行资金支付审批制度。一切费用支出、款项划拨必须先由经办人签字并注明事由及用途，经财务审核，报主要领导审批后方可支付。</w:t>
      </w:r>
    </w:p>
    <w:p w14:paraId="140EA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经费报销的程序是</w:t>
      </w:r>
      <w:r>
        <w:rPr>
          <w:rFonts w:hint="eastAsia" w:ascii="仿宋" w:hAnsi="仿宋" w:eastAsia="仿宋" w:cs="仿宋"/>
          <w:sz w:val="32"/>
          <w:szCs w:val="32"/>
          <w:lang w:eastAsia="zh-CN"/>
        </w:rPr>
        <w:t>，</w:t>
      </w:r>
      <w:r>
        <w:rPr>
          <w:rFonts w:hint="eastAsia" w:ascii="仿宋" w:hAnsi="仿宋" w:eastAsia="仿宋" w:cs="仿宋"/>
          <w:sz w:val="32"/>
          <w:szCs w:val="32"/>
        </w:rPr>
        <w:t>①所有报帐要有税务部门正式发票，日常用品购置要附清单。②购置固定资产要办理政府采购手续。③超5000元资金，应按要求进行转帐支付</w:t>
      </w:r>
      <w:r>
        <w:rPr>
          <w:rFonts w:hint="eastAsia" w:ascii="仿宋" w:hAnsi="仿宋" w:eastAsia="仿宋" w:cs="仿宋"/>
          <w:sz w:val="32"/>
          <w:szCs w:val="32"/>
          <w:lang w:eastAsia="zh-CN"/>
        </w:rPr>
        <w:t>。四是</w:t>
      </w:r>
      <w:r>
        <w:rPr>
          <w:rFonts w:hint="eastAsia" w:ascii="仿宋" w:hAnsi="仿宋" w:eastAsia="仿宋" w:cs="仿宋"/>
          <w:sz w:val="32"/>
          <w:szCs w:val="32"/>
        </w:rPr>
        <w:t>经费支付方面：主管财务领导审批后经主要负责人同意后支付。</w:t>
      </w:r>
      <w:r>
        <w:rPr>
          <w:rFonts w:hint="eastAsia" w:ascii="仿宋" w:hAnsi="仿宋" w:eastAsia="仿宋" w:cs="仿宋"/>
          <w:sz w:val="32"/>
          <w:szCs w:val="32"/>
          <w:lang w:eastAsia="zh-CN"/>
        </w:rPr>
        <w:t>五是</w:t>
      </w:r>
      <w:r>
        <w:rPr>
          <w:rFonts w:hint="eastAsia" w:ascii="仿宋" w:hAnsi="仿宋" w:eastAsia="仿宋" w:cs="仿宋"/>
          <w:sz w:val="32"/>
          <w:szCs w:val="32"/>
        </w:rPr>
        <w:t>对于合理性支出，每月集中一次进行审签。</w:t>
      </w:r>
    </w:p>
    <w:p w14:paraId="6B6C2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经费报销的措施是</w:t>
      </w:r>
      <w:r>
        <w:rPr>
          <w:rFonts w:hint="eastAsia" w:ascii="仿宋" w:hAnsi="仿宋" w:eastAsia="仿宋" w:cs="仿宋"/>
          <w:sz w:val="32"/>
          <w:szCs w:val="32"/>
          <w:lang w:eastAsia="zh-CN"/>
        </w:rPr>
        <w:t>，</w:t>
      </w:r>
      <w:r>
        <w:rPr>
          <w:rFonts w:hint="eastAsia" w:ascii="仿宋" w:hAnsi="仿宋" w:eastAsia="仿宋" w:cs="仿宋"/>
          <w:sz w:val="32"/>
          <w:szCs w:val="32"/>
        </w:rPr>
        <w:t>①日常办公用品、接待用品由专人负责统一购置。②对于本单位无法制作的版面、横幅、奖牌等需外出制作的物品，由经办人报财务分管领导审批后，到指定地点打印，并由专人签字。结帐时财务室凭凭证及清单进行核算。不按上述程序办理的不予报销。③外出参加会议、培训、出差等事宜，须经主要领导批准后参加。按文件规定报销来回车票，给予出差补助。由上级组织或单位委派的培训、学习等活动单位予以报销，其他属于个人行为的，单位不予报销。</w:t>
      </w:r>
    </w:p>
    <w:p w14:paraId="00347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（3）预算管理相关的信息化工具</w:t>
      </w:r>
    </w:p>
    <w:p w14:paraId="5B4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使用财政预算一体化信息系统及金蝶核算云系统。</w:t>
      </w:r>
    </w:p>
    <w:p w14:paraId="6511D0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（4）预算信息公开情况</w:t>
      </w:r>
    </w:p>
    <w:p w14:paraId="2E0EC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在衡阳政府网上可以查到共青团雁峰区委的2024年预算公开信息。</w:t>
      </w:r>
    </w:p>
    <w:p w14:paraId="2E6B8F9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2.预算管理分析</w:t>
      </w:r>
    </w:p>
    <w:p w14:paraId="6F6F75D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（1）制度健全性</w:t>
      </w:r>
      <w:r>
        <w:rPr>
          <w:rFonts w:hint="eastAsia" w:ascii="仿宋" w:hAnsi="仿宋" w:eastAsia="仿宋" w:cs="仿宋"/>
          <w:sz w:val="32"/>
          <w:szCs w:val="32"/>
        </w:rPr>
        <w:t>：</w:t>
      </w:r>
    </w:p>
    <w:p w14:paraId="220843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财务管理制度未覆盖核算等关键环节，部分制度缺失。</w:t>
      </w:r>
    </w:p>
    <w:p w14:paraId="3204C97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（2）执行有效性：</w:t>
      </w:r>
    </w:p>
    <w:p w14:paraId="731AE3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FF"/>
          <w:sz w:val="32"/>
          <w:szCs w:val="32"/>
          <w:lang w:eastAsia="zh-CN"/>
        </w:rPr>
      </w:pPr>
      <w:r>
        <w:rPr>
          <w:rFonts w:hint="eastAsia" w:ascii="仿宋" w:hAnsi="仿宋" w:eastAsia="仿宋" w:cs="仿宋"/>
          <w:color w:val="auto"/>
          <w:sz w:val="32"/>
          <w:szCs w:val="32"/>
        </w:rPr>
        <w:t>基本事项按照财务管理制度有效执行。</w:t>
      </w:r>
      <w:r>
        <w:rPr>
          <w:rFonts w:hint="eastAsia" w:ascii="仿宋" w:hAnsi="仿宋" w:eastAsia="仿宋" w:cs="仿宋"/>
          <w:color w:val="auto"/>
          <w:sz w:val="32"/>
          <w:szCs w:val="32"/>
          <w:lang w:eastAsia="zh-CN"/>
        </w:rPr>
        <w:t>但</w:t>
      </w:r>
      <w:r>
        <w:rPr>
          <w:rFonts w:hint="eastAsia" w:ascii="仿宋" w:hAnsi="仿宋" w:eastAsia="仿宋" w:cs="仿宋"/>
          <w:color w:val="auto"/>
          <w:sz w:val="32"/>
          <w:szCs w:val="32"/>
        </w:rPr>
        <w:t>预算编制不够精细、准确，对全年</w:t>
      </w: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rPr>
        <w:t>需求的预测存在偏差。</w:t>
      </w:r>
      <w:r>
        <w:rPr>
          <w:rFonts w:hint="eastAsia" w:ascii="仿宋" w:hAnsi="仿宋" w:eastAsia="仿宋" w:cs="仿宋"/>
          <w:color w:val="auto"/>
          <w:sz w:val="32"/>
          <w:szCs w:val="32"/>
          <w:lang w:eastAsia="zh-CN"/>
        </w:rPr>
        <w:t>如：</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人员经费科目有</w:t>
      </w:r>
      <w:r>
        <w:rPr>
          <w:rFonts w:hint="eastAsia" w:ascii="仿宋" w:hAnsi="仿宋" w:eastAsia="仿宋" w:cs="仿宋"/>
          <w:color w:val="auto"/>
          <w:sz w:val="32"/>
          <w:szCs w:val="32"/>
          <w:lang w:val="en-US" w:eastAsia="zh-CN"/>
        </w:rPr>
        <w:t>73,392.77</w:t>
      </w:r>
      <w:r>
        <w:rPr>
          <w:rFonts w:hint="eastAsia" w:ascii="仿宋" w:hAnsi="仿宋" w:eastAsia="仿宋" w:cs="仿宋"/>
          <w:color w:val="auto"/>
          <w:sz w:val="32"/>
          <w:szCs w:val="32"/>
        </w:rPr>
        <w:t>元的实际支出</w:t>
      </w:r>
      <w:r>
        <w:rPr>
          <w:rFonts w:hint="eastAsia" w:ascii="仿宋" w:hAnsi="仿宋" w:eastAsia="仿宋" w:cs="仿宋"/>
          <w:color w:val="auto"/>
          <w:sz w:val="32"/>
          <w:szCs w:val="32"/>
          <w:lang w:eastAsia="zh-CN"/>
        </w:rPr>
        <w:t>列支在“基本支出－</w:t>
      </w:r>
      <w:r>
        <w:rPr>
          <w:rFonts w:hint="eastAsia" w:ascii="仿宋" w:hAnsi="仿宋" w:eastAsia="仿宋" w:cs="仿宋"/>
          <w:color w:val="auto"/>
          <w:sz w:val="32"/>
          <w:szCs w:val="32"/>
          <w:lang w:val="en-US" w:eastAsia="zh-CN"/>
        </w:rPr>
        <w:t>公用经费</w:t>
      </w:r>
      <w:r>
        <w:rPr>
          <w:rFonts w:hint="eastAsia" w:ascii="仿宋" w:hAnsi="仿宋" w:eastAsia="仿宋" w:cs="仿宋"/>
          <w:color w:val="auto"/>
          <w:sz w:val="32"/>
          <w:szCs w:val="32"/>
          <w:lang w:eastAsia="zh-CN"/>
        </w:rPr>
        <w:t>”和“项目支出”中。</w:t>
      </w:r>
    </w:p>
    <w:p w14:paraId="572C4C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监控预警能力：</w:t>
      </w:r>
    </w:p>
    <w:p w14:paraId="0E2E86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政府会计系统通过“指标</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eastAsia="zh-CN"/>
        </w:rPr>
        <w:t>－</w:t>
      </w:r>
      <w:r>
        <w:rPr>
          <w:rFonts w:hint="eastAsia" w:ascii="仿宋" w:hAnsi="仿宋" w:eastAsia="仿宋" w:cs="仿宋"/>
          <w:sz w:val="32"/>
          <w:szCs w:val="32"/>
        </w:rPr>
        <w:t>核算”一体化管理，实现了预算执行全流程监控。</w:t>
      </w:r>
    </w:p>
    <w:p w14:paraId="1B878D1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（4）信息化支撑：</w:t>
      </w:r>
    </w:p>
    <w:p w14:paraId="3A3C56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实现预算编制、执行、核算、决算全流程线上化</w:t>
      </w:r>
      <w:r>
        <w:rPr>
          <w:rFonts w:hint="eastAsia" w:ascii="仿宋" w:hAnsi="仿宋" w:eastAsia="仿宋" w:cs="仿宋"/>
          <w:sz w:val="32"/>
          <w:szCs w:val="32"/>
          <w:lang w:eastAsia="zh-CN"/>
        </w:rPr>
        <w:t>，</w:t>
      </w:r>
      <w:r>
        <w:rPr>
          <w:rFonts w:hint="eastAsia" w:ascii="仿宋" w:hAnsi="仿宋" w:eastAsia="仿宋" w:cs="仿宋"/>
          <w:sz w:val="32"/>
          <w:szCs w:val="32"/>
        </w:rPr>
        <w:t>有效支撑了预算管理和监控。</w:t>
      </w:r>
    </w:p>
    <w:p w14:paraId="37D5912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（5）管理规范性：</w:t>
      </w:r>
    </w:p>
    <w:p w14:paraId="618257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部分会计核</w:t>
      </w:r>
      <w:r>
        <w:rPr>
          <w:rFonts w:hint="eastAsia" w:ascii="仿宋" w:hAnsi="仿宋" w:eastAsia="仿宋" w:cs="仿宋"/>
          <w:color w:val="auto"/>
          <w:sz w:val="32"/>
          <w:szCs w:val="32"/>
          <w:lang w:eastAsia="zh-CN"/>
        </w:rPr>
        <w:t>算附件填列不完整，审批流程不严谨，未严格按照《共青团雁峰区委财务管理制度》执行</w:t>
      </w:r>
      <w:r>
        <w:rPr>
          <w:rFonts w:hint="eastAsia" w:ascii="仿宋" w:hAnsi="仿宋" w:eastAsia="仿宋" w:cs="仿宋"/>
          <w:color w:val="auto"/>
          <w:sz w:val="32"/>
          <w:szCs w:val="32"/>
        </w:rPr>
        <w:t>。详见</w:t>
      </w:r>
      <w:r>
        <w:rPr>
          <w:rFonts w:hint="eastAsia" w:ascii="仿宋" w:hAnsi="仿宋" w:eastAsia="仿宋" w:cs="仿宋"/>
          <w:color w:val="auto"/>
          <w:sz w:val="32"/>
          <w:szCs w:val="32"/>
          <w:lang w:eastAsia="zh-CN"/>
        </w:rPr>
        <w:t>后附</w:t>
      </w:r>
      <w:r>
        <w:rPr>
          <w:rFonts w:hint="eastAsia" w:ascii="仿宋" w:hAnsi="仿宋" w:eastAsia="仿宋" w:cs="仿宋"/>
          <w:color w:val="auto"/>
          <w:sz w:val="32"/>
          <w:szCs w:val="32"/>
        </w:rPr>
        <w:t>项目支出管理情况汇总及分析。</w:t>
      </w:r>
    </w:p>
    <w:p w14:paraId="6069BA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2" w:name="_Toc14560"/>
      <w:bookmarkStart w:id="133" w:name="_Toc2248"/>
      <w:bookmarkStart w:id="134" w:name="_Toc16977"/>
      <w:bookmarkStart w:id="135" w:name="_Toc7579"/>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w:t>
      </w:r>
      <w:r>
        <w:rPr>
          <w:rFonts w:hint="eastAsia" w:ascii="楷体" w:hAnsi="楷体" w:eastAsia="楷体" w:cs="楷体"/>
          <w:b/>
          <w:bCs/>
          <w:sz w:val="32"/>
          <w:szCs w:val="32"/>
          <w:lang w:eastAsia="zh-CN"/>
        </w:rPr>
        <w:t>工资经费</w:t>
      </w:r>
      <w:r>
        <w:rPr>
          <w:rFonts w:hint="eastAsia" w:ascii="楷体" w:hAnsi="楷体" w:eastAsia="楷体" w:cs="楷体"/>
          <w:b/>
          <w:bCs/>
          <w:sz w:val="32"/>
          <w:szCs w:val="32"/>
        </w:rPr>
        <w:t>管理情况及分析</w:t>
      </w:r>
      <w:bookmarkEnd w:id="132"/>
      <w:bookmarkEnd w:id="133"/>
      <w:bookmarkEnd w:id="134"/>
      <w:bookmarkEnd w:id="135"/>
    </w:p>
    <w:p w14:paraId="13D18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bookmarkStart w:id="136" w:name="_Toc10154"/>
      <w:bookmarkStart w:id="137" w:name="_Toc12176"/>
      <w:bookmarkStart w:id="138" w:name="_Toc26548"/>
      <w:r>
        <w:rPr>
          <w:rFonts w:hint="eastAsia" w:ascii="仿宋" w:hAnsi="仿宋" w:eastAsia="仿宋" w:cs="仿宋"/>
          <w:b/>
          <w:bCs/>
          <w:sz w:val="32"/>
          <w:szCs w:val="32"/>
          <w:lang w:val="en-US" w:eastAsia="zh-CN"/>
        </w:rPr>
        <w:t>1.未提供相关文件：</w:t>
      </w:r>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199A1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2.检查凭证过程中，发现存在以下情况：</w:t>
      </w:r>
    </w:p>
    <w:p w14:paraId="7D01D02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发放工资的依据缺少经审批的工资明细表，缺少银行代发明细回单，仅凭国库支付凭证，工资发放业务在财务核算和内部控制上是不完整、不合规的。它使得资金支付的“最后一公里”脱离了监督。二是支付医疗保险、工伤保险、职业年金后仅附国库支付单，银行端查询缴税凭证，未附人员名单、缴费基数确认表、明确的计算依据、审批流程、银行付款回单等。详见10月9号凭证。三是发放人员经费性质的交通补贴缺乏人力资源或组织部门的审核盖章。</w:t>
      </w:r>
    </w:p>
    <w:p w14:paraId="4254E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rPr>
      </w:pPr>
      <w:bookmarkStart w:id="139" w:name="_Toc16816"/>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）项目支出管理情况及分析</w:t>
      </w:r>
      <w:bookmarkEnd w:id="136"/>
      <w:bookmarkEnd w:id="137"/>
      <w:bookmarkEnd w:id="138"/>
      <w:bookmarkEnd w:id="139"/>
    </w:p>
    <w:p w14:paraId="5E8748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共青团雁峰区委</w:t>
      </w:r>
      <w:r>
        <w:rPr>
          <w:rFonts w:hint="eastAsia" w:ascii="仿宋" w:hAnsi="仿宋" w:eastAsia="仿宋" w:cs="仿宋"/>
          <w:sz w:val="32"/>
          <w:szCs w:val="32"/>
        </w:rPr>
        <w:t>2024年</w:t>
      </w:r>
      <w:r>
        <w:rPr>
          <w:rFonts w:hint="eastAsia" w:ascii="仿宋" w:hAnsi="仿宋" w:eastAsia="仿宋" w:cs="仿宋"/>
          <w:sz w:val="32"/>
          <w:szCs w:val="32"/>
          <w:lang w:eastAsia="zh-CN"/>
        </w:rPr>
        <w:t>主要</w:t>
      </w:r>
      <w:r>
        <w:rPr>
          <w:rFonts w:hint="eastAsia" w:ascii="仿宋" w:hAnsi="仿宋" w:eastAsia="仿宋" w:cs="仿宋"/>
          <w:color w:val="auto"/>
          <w:sz w:val="32"/>
          <w:szCs w:val="32"/>
          <w:lang w:eastAsia="zh-CN"/>
        </w:rPr>
        <w:t>围绕区委、区政府和团市委年度中心工作与重点任务部署，</w:t>
      </w:r>
      <w:r>
        <w:rPr>
          <w:rFonts w:hint="eastAsia" w:ascii="仿宋" w:hAnsi="仿宋" w:eastAsia="仿宋" w:cs="仿宋"/>
          <w:sz w:val="32"/>
          <w:szCs w:val="32"/>
          <w:lang w:eastAsia="zh-CN"/>
        </w:rPr>
        <w:t>全面履职尽责，各项工作计划总体执行率较高，基本保障了机关的高效运转与相关工作的顺利推进。在整体工作稳步推进的同时，我们也关注到部分管理环节有待进一步规范与完善。例如，在经费执行过程中，存在项目经费与基本支出边界不够清晰、个别情况下项目经费弥补基本支出的现象。此外，内部管理制度建设方面，项目管理制度、政府采购管理制度等尚未系统成文并提供；在采购实务中，相关的询价环节资料亦有缺失。受保密规定限制，未提供涉及工作产出的具体量化效益数据。</w:t>
      </w:r>
    </w:p>
    <w:p w14:paraId="0B2D96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40" w:name="_Toc29994"/>
      <w:bookmarkStart w:id="141" w:name="_Toc21510"/>
      <w:bookmarkStart w:id="142" w:name="_Toc2979"/>
      <w:bookmarkStart w:id="143" w:name="_Toc18141"/>
      <w:r>
        <w:rPr>
          <w:rFonts w:hint="eastAsia" w:ascii="楷体" w:hAnsi="楷体" w:eastAsia="楷体" w:cs="楷体"/>
          <w:b/>
          <w:bCs/>
          <w:sz w:val="32"/>
          <w:szCs w:val="32"/>
        </w:rPr>
        <w:t>（</w:t>
      </w:r>
      <w:r>
        <w:rPr>
          <w:rFonts w:hint="eastAsia" w:ascii="楷体" w:hAnsi="楷体" w:eastAsia="楷体" w:cs="楷体"/>
          <w:b/>
          <w:bCs/>
          <w:sz w:val="32"/>
          <w:szCs w:val="32"/>
          <w:lang w:eastAsia="zh-CN"/>
        </w:rPr>
        <w:t>七</w:t>
      </w:r>
      <w:r>
        <w:rPr>
          <w:rFonts w:hint="eastAsia" w:ascii="楷体" w:hAnsi="楷体" w:eastAsia="楷体" w:cs="楷体"/>
          <w:b/>
          <w:bCs/>
          <w:sz w:val="32"/>
          <w:szCs w:val="32"/>
        </w:rPr>
        <w:t>）固定资产管理情况及分析</w:t>
      </w:r>
      <w:bookmarkEnd w:id="140"/>
      <w:bookmarkEnd w:id="141"/>
      <w:bookmarkEnd w:id="142"/>
      <w:bookmarkEnd w:id="143"/>
    </w:p>
    <w:p w14:paraId="10F155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rPr>
      </w:pPr>
      <w:bookmarkStart w:id="144" w:name="_Toc19213"/>
      <w:r>
        <w:rPr>
          <w:rFonts w:hint="eastAsia" w:ascii="仿宋" w:hAnsi="仿宋" w:eastAsia="仿宋" w:cs="仿宋"/>
          <w:b/>
          <w:bCs/>
          <w:sz w:val="32"/>
          <w:szCs w:val="32"/>
        </w:rPr>
        <w:t>1.固定资产增减变动明细，单位：万元</w:t>
      </w:r>
      <w:bookmarkEnd w:id="144"/>
    </w:p>
    <w:tbl>
      <w:tblPr>
        <w:tblStyle w:val="13"/>
        <w:tblW w:w="8740" w:type="dxa"/>
        <w:tblInd w:w="93" w:type="dxa"/>
        <w:tblLayout w:type="fixed"/>
        <w:tblCellMar>
          <w:top w:w="0" w:type="dxa"/>
          <w:left w:w="108" w:type="dxa"/>
          <w:bottom w:w="0" w:type="dxa"/>
          <w:right w:w="108" w:type="dxa"/>
        </w:tblCellMar>
      </w:tblPr>
      <w:tblGrid>
        <w:gridCol w:w="1860"/>
        <w:gridCol w:w="1730"/>
        <w:gridCol w:w="1733"/>
        <w:gridCol w:w="1783"/>
        <w:gridCol w:w="1634"/>
      </w:tblGrid>
      <w:tr w14:paraId="612E0018">
        <w:tblPrEx>
          <w:tblCellMar>
            <w:top w:w="0" w:type="dxa"/>
            <w:left w:w="108" w:type="dxa"/>
            <w:bottom w:w="0" w:type="dxa"/>
            <w:right w:w="108" w:type="dxa"/>
          </w:tblCellMar>
        </w:tblPrEx>
        <w:trPr>
          <w:trHeight w:val="600" w:hRule="atLeast"/>
          <w:tblHeader/>
        </w:trPr>
        <w:tc>
          <w:tcPr>
            <w:tcW w:w="1860" w:type="dxa"/>
            <w:tcBorders>
              <w:top w:val="single" w:color="000000" w:sz="4" w:space="0"/>
              <w:left w:val="single" w:color="000000" w:sz="4" w:space="0"/>
              <w:bottom w:val="single" w:color="000000" w:sz="4" w:space="0"/>
              <w:right w:val="single" w:color="000000" w:sz="4" w:space="0"/>
            </w:tcBorders>
            <w:noWrap/>
            <w:vAlign w:val="center"/>
          </w:tcPr>
          <w:p w14:paraId="15677DD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项目名称</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E532D8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期初余额</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8070D2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2024年增加额</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19175D3">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2024年减少额</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46210D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期末余额</w:t>
            </w:r>
          </w:p>
        </w:tc>
      </w:tr>
      <w:tr w14:paraId="7A1246BF">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3CC684B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固定资产原值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6DD4A53">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792BB2">
            <w:pPr>
              <w:jc w:val="center"/>
              <w:rPr>
                <w:rFonts w:hint="eastAsia" w:ascii="宋体" w:hAnsi="宋体" w:eastAsia="宋体" w:cs="宋体"/>
                <w:color w:val="000000"/>
                <w:sz w:val="22"/>
                <w:szCs w:val="22"/>
              </w:rPr>
            </w:pP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4D8E017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BDAF5B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1.98</w:t>
            </w:r>
          </w:p>
        </w:tc>
      </w:tr>
      <w:tr w14:paraId="0D03452C">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A310D9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累计折旧</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6E32B9A">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0.72</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440C934E">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0.24</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317BE17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884782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0.96</w:t>
            </w:r>
          </w:p>
        </w:tc>
      </w:tr>
      <w:tr w14:paraId="38522B17">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51814EF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固定资产净值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68BF83D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1.26</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630CF35">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-0.24</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989D568">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7CCD69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1.02</w:t>
            </w:r>
          </w:p>
        </w:tc>
      </w:tr>
    </w:tbl>
    <w:p w14:paraId="434BD3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b/>
          <w:bCs/>
          <w:sz w:val="32"/>
          <w:szCs w:val="32"/>
        </w:rPr>
        <w:t>2.固定资产管理情况</w:t>
      </w:r>
    </w:p>
    <w:p w14:paraId="41E1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纳入湖南省资产管理系统，未标识使用状态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存放地点</w:t>
      </w:r>
      <w:r>
        <w:rPr>
          <w:rFonts w:hint="eastAsia" w:ascii="仿宋" w:hAnsi="仿宋" w:eastAsia="仿宋" w:cs="仿宋"/>
          <w:b w:val="0"/>
          <w:bCs w:val="0"/>
          <w:color w:val="auto"/>
          <w:sz w:val="32"/>
          <w:szCs w:val="32"/>
          <w:lang w:eastAsia="zh-CN"/>
        </w:rPr>
        <w:t>及</w:t>
      </w:r>
      <w:r>
        <w:rPr>
          <w:rFonts w:hint="eastAsia" w:ascii="仿宋" w:hAnsi="仿宋" w:eastAsia="仿宋" w:cs="仿宋"/>
          <w:b w:val="0"/>
          <w:bCs w:val="0"/>
          <w:color w:val="auto"/>
          <w:sz w:val="32"/>
          <w:szCs w:val="32"/>
        </w:rPr>
        <w:t>使用人</w:t>
      </w:r>
      <w:r>
        <w:rPr>
          <w:rFonts w:hint="eastAsia" w:ascii="仿宋" w:hAnsi="仿宋" w:eastAsia="仿宋" w:cs="仿宋"/>
          <w:b w:val="0"/>
          <w:bCs w:val="0"/>
          <w:color w:val="auto"/>
          <w:sz w:val="32"/>
          <w:szCs w:val="32"/>
          <w:lang w:eastAsia="zh-CN"/>
        </w:rPr>
        <w:t>，部分</w:t>
      </w:r>
      <w:r>
        <w:rPr>
          <w:rFonts w:hint="eastAsia" w:ascii="仿宋" w:hAnsi="仿宋" w:eastAsia="仿宋" w:cs="仿宋"/>
          <w:b w:val="0"/>
          <w:bCs w:val="0"/>
          <w:color w:val="auto"/>
          <w:sz w:val="32"/>
          <w:szCs w:val="32"/>
        </w:rPr>
        <w:t>未标识使用部门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资产要</w:t>
      </w:r>
      <w:r>
        <w:rPr>
          <w:rFonts w:hint="eastAsia" w:ascii="仿宋" w:hAnsi="仿宋" w:eastAsia="仿宋" w:cs="仿宋"/>
          <w:b w:val="0"/>
          <w:bCs w:val="0"/>
          <w:color w:val="auto"/>
          <w:sz w:val="32"/>
          <w:szCs w:val="32"/>
          <w:lang w:eastAsia="zh-CN"/>
        </w:rPr>
        <w:t>素有</w:t>
      </w:r>
      <w:r>
        <w:rPr>
          <w:rFonts w:hint="eastAsia" w:ascii="仿宋" w:hAnsi="仿宋" w:eastAsia="仿宋" w:cs="仿宋"/>
          <w:b w:val="0"/>
          <w:bCs w:val="0"/>
          <w:color w:val="auto"/>
          <w:sz w:val="32"/>
          <w:szCs w:val="32"/>
        </w:rPr>
        <w:t>待完善。</w:t>
      </w:r>
      <w:r>
        <w:rPr>
          <w:rFonts w:hint="eastAsia" w:ascii="仿宋" w:hAnsi="仿宋" w:eastAsia="仿宋" w:cs="仿宋"/>
          <w:b w:val="0"/>
          <w:bCs w:val="0"/>
          <w:color w:val="auto"/>
          <w:sz w:val="32"/>
          <w:szCs w:val="32"/>
          <w:lang w:eastAsia="zh-CN"/>
        </w:rPr>
        <w:t>固定资产明细如下：</w:t>
      </w:r>
      <w:bookmarkStart w:id="145" w:name="_Toc9679"/>
      <w:bookmarkStart w:id="146" w:name="_Toc24976"/>
    </w:p>
    <w:tbl>
      <w:tblPr>
        <w:tblStyle w:val="13"/>
        <w:tblW w:w="8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701"/>
        <w:gridCol w:w="1669"/>
        <w:gridCol w:w="1519"/>
        <w:gridCol w:w="1799"/>
      </w:tblGrid>
      <w:tr w14:paraId="6BA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54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14:paraId="1EC3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资产类别</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68CB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期初原值（万元）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58DF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本年新增（万元）</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208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期末原值（万元）</w:t>
            </w:r>
          </w:p>
        </w:tc>
      </w:tr>
      <w:tr w14:paraId="682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A6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14:paraId="3D12B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家具和用具</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3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46F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w:t>
            </w:r>
          </w:p>
        </w:tc>
      </w:tr>
      <w:tr w14:paraId="1EA5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BD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14:paraId="4C0D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A43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0.90</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FC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3B5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0.90</w:t>
            </w:r>
          </w:p>
        </w:tc>
      </w:tr>
      <w:tr w14:paraId="4304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726C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14:paraId="0430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9A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0.26</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69954">
            <w:pPr>
              <w:jc w:val="center"/>
              <w:rPr>
                <w:rFonts w:hint="eastAsia" w:ascii="宋体" w:hAnsi="宋体" w:eastAsia="宋体" w:cs="宋体"/>
                <w:i w:val="0"/>
                <w:iCs w:val="0"/>
                <w:color w:val="000000"/>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DC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0DD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E81D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14:paraId="442C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7C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bl>
    <w:p w14:paraId="241DE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147" w:name="_Toc31488"/>
      <w:bookmarkStart w:id="148" w:name="_Toc17042"/>
      <w:r>
        <w:rPr>
          <w:rFonts w:hint="eastAsia" w:ascii="楷体" w:hAnsi="楷体" w:eastAsia="楷体" w:cs="楷体"/>
          <w:b/>
          <w:bCs/>
          <w:color w:val="auto"/>
          <w:sz w:val="32"/>
          <w:szCs w:val="32"/>
          <w:lang w:val="en-US" w:eastAsia="zh-CN" w:bidi="ar-SA"/>
        </w:rPr>
        <w:t>（八）</w:t>
      </w:r>
      <w:r>
        <w:rPr>
          <w:rFonts w:hint="eastAsia" w:ascii="楷体" w:hAnsi="楷体" w:eastAsia="楷体" w:cs="楷体"/>
          <w:b/>
          <w:bCs/>
          <w:color w:val="auto"/>
          <w:sz w:val="32"/>
          <w:szCs w:val="32"/>
        </w:rPr>
        <w:t>厉行节约保障措施的执行情况及其政策效果</w:t>
      </w:r>
      <w:bookmarkEnd w:id="145"/>
      <w:bookmarkEnd w:id="146"/>
      <w:bookmarkEnd w:id="147"/>
      <w:bookmarkEnd w:id="148"/>
    </w:p>
    <w:p w14:paraId="6B20D0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color w:val="auto"/>
          <w:sz w:val="32"/>
          <w:szCs w:val="32"/>
          <w:lang w:eastAsia="zh-CN"/>
        </w:rPr>
      </w:pPr>
      <w:bookmarkStart w:id="149" w:name="_Toc17043"/>
      <w:bookmarkStart w:id="150" w:name="_Toc20272"/>
      <w:bookmarkStart w:id="151" w:name="_Toc5278"/>
      <w:r>
        <w:rPr>
          <w:rFonts w:hint="eastAsia" w:ascii="仿宋" w:hAnsi="仿宋" w:eastAsia="仿宋" w:cs="仿宋"/>
          <w:b w:val="0"/>
          <w:bCs w:val="0"/>
          <w:color w:val="auto"/>
          <w:sz w:val="32"/>
          <w:szCs w:val="32"/>
          <w:lang w:eastAsia="zh-CN"/>
        </w:rPr>
        <w:t>为建设节约型单位，进一步节省三公经费，努力降低行政成本，全体工作人员要树立勤俭节约意识，从自己做起、从身边点滴小事做起，自觉养成节约每一度电、每一杯水、每一张纸、每一滴油的良好习惯。人人自觉遵守制度、互相监督，努力在全会营造“以节约为荣、以浪费为耻”的浓厚氛围。具体做到，一是节约用电、用水。各办公室根据实际需要合理使用空调。空调设定温度制冷不得低于26摄氏度，制热不得超过20摄氏度，并注意关闭门窗。根据需要开启照明灯，尽量采用自然光照，工作人员离开办公室，应切断空调、电脑、电灯等电源。珍惜水资源，做到人人节约用水。二是加强公务用车管理。严格遵照执行公务用车管理制度。严禁公车私用。三是规范办公用品采购。属于招标集中采购的物品，必须按规定进行集中采购。其它物品采购应本着公开原则，坚持货比三家，选择质优价廉的商家，履行相关审批程序后进行采购。四是节约办公耗材。公文一律采用双面打印。提倡用电子文本修改文稿，减少重复打印和复印次数。打、复印纸张的厚度、纸质以适用为标准，严格控制采用高价高品质的纸张。打印机、复印机的油墨、墨粉用完后要重新灌装，再次使用。单位普通文书材料的打字、排版、复印原则上在本单位进行，因特殊需要，经主要领导批准，方可在外打印。五是节约电话费开支。办公用电话提倡简明、扼要、讲短话，不得聊天长谈。控制使用长途电话，不得因私使用长途电话。六是控制旅差费用。公务出差应注意节约，从严控制搭乘飞机，尽量减少各项差旅费用开支。住宿、交通等差旅费用标准，必须严格遵守区政府有关规定。七是从严控制公务接待经费。认真执行招待费管理的有关规定，严格实行“定点接待、定期公布”制度，严禁假借公务名义相互宴请。八是严格控制会议费支出。严格执行有关会议费用管理规定，精简会议，从严控制会期、人员和规模，提倡少开会、开短会。各种会议不得发放纪念品。不准假借会议名义组织高消费活动和各种形式的旅游。</w:t>
      </w:r>
    </w:p>
    <w:p w14:paraId="53A82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rPr>
      </w:pPr>
      <w:bookmarkStart w:id="152" w:name="_Toc19039"/>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、部门绩效目标</w:t>
      </w:r>
      <w:bookmarkEnd w:id="149"/>
      <w:bookmarkEnd w:id="150"/>
      <w:bookmarkEnd w:id="151"/>
      <w:bookmarkEnd w:id="152"/>
    </w:p>
    <w:p w14:paraId="747C1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53" w:name="_Toc30383"/>
      <w:bookmarkStart w:id="154" w:name="_Toc27923"/>
      <w:bookmarkStart w:id="155" w:name="_Toc6475"/>
      <w:bookmarkStart w:id="156" w:name="_Toc13453"/>
      <w:r>
        <w:rPr>
          <w:rFonts w:hint="eastAsia" w:ascii="楷体" w:hAnsi="楷体" w:eastAsia="楷体" w:cs="楷体"/>
          <w:b/>
          <w:bCs/>
          <w:sz w:val="32"/>
          <w:szCs w:val="32"/>
        </w:rPr>
        <w:t>（一）总体目标</w:t>
      </w:r>
      <w:bookmarkEnd w:id="153"/>
      <w:bookmarkEnd w:id="154"/>
      <w:bookmarkEnd w:id="155"/>
      <w:bookmarkEnd w:id="156"/>
    </w:p>
    <w:p w14:paraId="37A418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lang w:eastAsia="zh-CN"/>
        </w:rPr>
      </w:pPr>
      <w:bookmarkStart w:id="157" w:name="_Toc7797"/>
      <w:bookmarkStart w:id="158" w:name="_Toc1467"/>
      <w:bookmarkStart w:id="159" w:name="_Toc4270"/>
      <w:r>
        <w:rPr>
          <w:rFonts w:hint="eastAsia" w:ascii="仿宋" w:hAnsi="仿宋" w:eastAsia="仿宋" w:cs="仿宋"/>
          <w:sz w:val="32"/>
          <w:szCs w:val="32"/>
          <w:lang w:eastAsia="zh-CN"/>
        </w:rPr>
        <w:t>以习近平新时代中国特色社会主义思想为指导，深入贯彻落实习近平总书记关于青年工作的重要思想，紧紧围绕区委、区政府中心工作和上级团组织部署，切实保持和增强政治性、先进性、群众性，着力提升组织力、引领力、服务力和大局贡献度。团结带领全区广大团员青年为雁峰区高质量发展、现代化建设贡献青春力量，努力推动雁峰区共青团工作走在全市前列。</w:t>
      </w:r>
    </w:p>
    <w:p w14:paraId="1FEED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60" w:name="_Toc15444"/>
      <w:r>
        <w:rPr>
          <w:rFonts w:hint="eastAsia" w:ascii="楷体" w:hAnsi="楷体" w:eastAsia="楷体" w:cs="楷体"/>
          <w:b/>
          <w:bCs/>
          <w:sz w:val="32"/>
          <w:szCs w:val="32"/>
        </w:rPr>
        <w:t>（二）细化绩效指标</w:t>
      </w:r>
      <w:bookmarkEnd w:id="157"/>
      <w:bookmarkEnd w:id="158"/>
      <w:bookmarkEnd w:id="159"/>
      <w:bookmarkEnd w:id="160"/>
    </w:p>
    <w:p w14:paraId="260B510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1.青年理论武装覆盖率与实效性</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开展专题学习/宣讲/主题团日≥</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组织青年围绕重要寄语/精神开展学习热议不少于2次/年。</w:t>
      </w:r>
    </w:p>
    <w:p w14:paraId="4B0B89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2.核心价值观践行深度</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组织大型主题实践活动≥3场（如“五四”系列活动、清明祭英烈、国家公祭日等）。获得区级及以上媒体正面报道≥10篇（展现雁峰青年风貌）。</w:t>
      </w:r>
    </w:p>
    <w:p w14:paraId="354EED3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3.理论宣传宣讲</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开展“青年讲师团”“红领巾讲解员”等线下宣讲活动不少于20场次/年。线上理论宣传产品（文章、视频等）覆盖青少年人次年增长率不低于5%</w:t>
      </w:r>
      <w:r>
        <w:rPr>
          <w:rFonts w:hint="eastAsia" w:ascii="仿宋" w:hAnsi="仿宋" w:eastAsia="仿宋" w:cs="仿宋"/>
          <w:b w:val="0"/>
          <w:bCs w:val="0"/>
          <w:sz w:val="32"/>
          <w:szCs w:val="32"/>
          <w:lang w:eastAsia="zh-CN"/>
        </w:rPr>
        <w:t>。</w:t>
      </w:r>
    </w:p>
    <w:p w14:paraId="7C94E52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4.青年建功立业参与度：</w:t>
      </w:r>
      <w:r>
        <w:rPr>
          <w:rFonts w:hint="eastAsia" w:ascii="仿宋" w:hAnsi="仿宋" w:eastAsia="仿宋" w:cs="仿宋"/>
          <w:b w:val="0"/>
          <w:bCs w:val="0"/>
          <w:sz w:val="32"/>
          <w:szCs w:val="32"/>
          <w:lang w:val="en-US" w:eastAsia="zh-CN"/>
        </w:rPr>
        <w:t>希望工程”“微心愿”等助学项目筹集资金年度增长率力争达5%，资助困难学生不少于40名/年。组织或参与青年招聘会，提供就业岗位不少于6800个/年。举办青年联谊交友活动不少于2次/年，参与青年满意度不低于85%。服务新兴青年群体主题活动覆盖不少于100人次/年。</w:t>
      </w:r>
    </w:p>
    <w:p w14:paraId="52FBBF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5.主题教育活动：</w:t>
      </w:r>
      <w:r>
        <w:rPr>
          <w:rFonts w:hint="eastAsia" w:ascii="仿宋" w:hAnsi="仿宋" w:eastAsia="仿宋" w:cs="仿宋"/>
          <w:b w:val="0"/>
          <w:bCs w:val="0"/>
          <w:sz w:val="32"/>
          <w:szCs w:val="32"/>
          <w:lang w:val="en-US" w:eastAsia="zh-CN"/>
        </w:rPr>
        <w:t>在重要时间节点（五四、学雷锋纪念日、清明等）组织开展各类主题教育活动不少于20次/年。组织校地合作、爱国主义教育等实践活动不少于3次/年。</w:t>
      </w:r>
    </w:p>
    <w:p w14:paraId="28826C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6.服务青年实际需求精准度：</w:t>
      </w:r>
      <w:r>
        <w:rPr>
          <w:rFonts w:hint="eastAsia" w:ascii="仿宋" w:hAnsi="仿宋" w:eastAsia="仿宋" w:cs="仿宋"/>
          <w:b w:val="0"/>
          <w:bCs w:val="0"/>
          <w:sz w:val="32"/>
          <w:szCs w:val="32"/>
          <w:lang w:val="en-US" w:eastAsia="zh-CN"/>
        </w:rPr>
        <w:t>实施“青年民生实事”项目≥3项（如“青年联谊”、“四点半课堂”、“权益维护”）。直接受益青年≥1500人次。服务对象满意度≥85%。</w:t>
      </w:r>
    </w:p>
    <w:p w14:paraId="1CF1A1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7.“青年之家”阵地效能：</w:t>
      </w:r>
      <w:r>
        <w:rPr>
          <w:rFonts w:hint="eastAsia" w:ascii="仿宋" w:hAnsi="仿宋" w:eastAsia="仿宋" w:cs="仿宋"/>
          <w:b w:val="0"/>
          <w:bCs w:val="0"/>
          <w:sz w:val="32"/>
          <w:szCs w:val="32"/>
          <w:lang w:val="en-US" w:eastAsia="zh-CN"/>
        </w:rPr>
        <w:t>全区“青年之家”总活动数≥100场（统筹各站点活动）。“青年之家”总服务青年人次≥6000人次。阵地规范化运营达标率100%（确保基础功能）。</w:t>
      </w:r>
    </w:p>
    <w:p w14:paraId="6A97D42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8.青少年权益维护与预防犯罪工作：</w:t>
      </w:r>
      <w:r>
        <w:rPr>
          <w:rFonts w:hint="eastAsia" w:ascii="仿宋" w:hAnsi="仿宋" w:eastAsia="仿宋" w:cs="仿宋"/>
          <w:b w:val="0"/>
          <w:bCs w:val="0"/>
          <w:sz w:val="32"/>
          <w:szCs w:val="32"/>
          <w:lang w:val="en-US" w:eastAsia="zh-CN"/>
        </w:rPr>
        <w:t>开展法治宣传/自护教育进校园/社区≥20场。联动专业力量提供心理咨询或个案服务≥30例。结对帮扶重点青少年（如闲散、困难青少年）≥50名。</w:t>
      </w:r>
    </w:p>
    <w:p w14:paraId="19F9B2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9.团的组织有效覆盖：</w:t>
      </w:r>
      <w:r>
        <w:rPr>
          <w:rFonts w:hint="eastAsia" w:ascii="仿宋" w:hAnsi="仿宋" w:eastAsia="仿宋" w:cs="仿宋"/>
          <w:b w:val="0"/>
          <w:bCs w:val="0"/>
          <w:sz w:val="32"/>
          <w:szCs w:val="32"/>
          <w:lang w:val="en-US" w:eastAsia="zh-CN"/>
        </w:rPr>
        <w:t>规范发展新团员数，按市教育局和上级团委计划100%完成。新建社会领域团组织（重点在非公企业、社会组织）≥15个。完成全区社区（村）团组织换届选举100%完成。</w:t>
      </w:r>
    </w:p>
    <w:p w14:paraId="5EFC8BD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10.团干部队伍建设：</w:t>
      </w:r>
      <w:r>
        <w:rPr>
          <w:rFonts w:hint="eastAsia" w:ascii="仿宋" w:hAnsi="仿宋" w:eastAsia="仿宋" w:cs="仿宋"/>
          <w:b w:val="0"/>
          <w:bCs w:val="0"/>
          <w:sz w:val="32"/>
          <w:szCs w:val="32"/>
          <w:lang w:val="en-US" w:eastAsia="zh-CN"/>
        </w:rPr>
        <w:t>举办全区各级团干部培训班≥2期。培训团干部≥200人次。基层团组织书记述职评议考核覆盖率100%。</w:t>
      </w:r>
    </w:p>
    <w:p w14:paraId="213D0E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11.“智慧团建”系统应用水平：</w:t>
      </w:r>
      <w:r>
        <w:rPr>
          <w:rFonts w:hint="eastAsia" w:ascii="仿宋" w:hAnsi="仿宋" w:eastAsia="仿宋" w:cs="仿宋"/>
          <w:b w:val="0"/>
          <w:bCs w:val="0"/>
          <w:sz w:val="32"/>
          <w:szCs w:val="32"/>
          <w:lang w:val="en-US" w:eastAsia="zh-CN"/>
        </w:rPr>
        <w:t>学社衔接率≥95%（确保毕业生团员关系顺利转接）。业务响应及时率，上级下达任务在规定时间内100%响应并反馈。团费收缴率≥90%。</w:t>
      </w:r>
    </w:p>
    <w:p w14:paraId="5467D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b w:val="0"/>
          <w:bCs w:val="0"/>
          <w:sz w:val="32"/>
          <w:szCs w:val="32"/>
        </w:rPr>
      </w:pPr>
      <w:bookmarkStart w:id="161" w:name="_Toc29770"/>
      <w:bookmarkStart w:id="162" w:name="_Toc9338"/>
      <w:bookmarkStart w:id="163" w:name="_Toc24329"/>
      <w:bookmarkStart w:id="164" w:name="_Toc20278"/>
      <w:bookmarkStart w:id="165" w:name="_Toc6424"/>
      <w:bookmarkStart w:id="166" w:name="_Toc27704"/>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、部门绩效考评情况</w:t>
      </w:r>
      <w:bookmarkEnd w:id="161"/>
      <w:bookmarkEnd w:id="162"/>
      <w:bookmarkEnd w:id="163"/>
      <w:bookmarkEnd w:id="164"/>
      <w:bookmarkEnd w:id="165"/>
      <w:bookmarkEnd w:id="166"/>
    </w:p>
    <w:p w14:paraId="2E5905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67" w:name="_Toc31782"/>
      <w:bookmarkStart w:id="168" w:name="_Toc10865"/>
      <w:bookmarkStart w:id="169" w:name="_Toc13897"/>
      <w:bookmarkStart w:id="170" w:name="_Toc31895"/>
      <w:bookmarkStart w:id="171" w:name="_Toc8508"/>
      <w:bookmarkStart w:id="172" w:name="_Toc18463"/>
      <w:r>
        <w:rPr>
          <w:rFonts w:hint="eastAsia" w:ascii="楷体" w:hAnsi="楷体" w:eastAsia="楷体" w:cs="楷体"/>
          <w:b/>
          <w:bCs/>
          <w:sz w:val="32"/>
          <w:szCs w:val="32"/>
        </w:rPr>
        <w:t>（一）评价框架</w:t>
      </w:r>
      <w:bookmarkEnd w:id="167"/>
      <w:bookmarkEnd w:id="168"/>
      <w:bookmarkEnd w:id="169"/>
      <w:bookmarkEnd w:id="170"/>
      <w:bookmarkEnd w:id="171"/>
      <w:bookmarkEnd w:id="172"/>
    </w:p>
    <w:p w14:paraId="2831B18A">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依据财政部《项目支出绩效评价管理办法》（财预〔2020〕10号），结合一般债券资金管理要求</w:t>
      </w:r>
      <w:r>
        <w:rPr>
          <w:rFonts w:hint="eastAsia" w:ascii="仿宋" w:hAnsi="仿宋" w:eastAsia="仿宋" w:cs="仿宋"/>
          <w:color w:val="000000"/>
          <w:sz w:val="32"/>
          <w:szCs w:val="32"/>
          <w:shd w:val="clear" w:color="auto" w:fill="FFFFFF"/>
          <w:lang w:eastAsia="zh-CN"/>
        </w:rPr>
        <w:t>。</w:t>
      </w:r>
    </w:p>
    <w:p w14:paraId="1574C28B">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1.投入指标20分：目标设定、预算配置。</w:t>
      </w:r>
    </w:p>
    <w:p w14:paraId="3B5805F2">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2.过程指标30分：预算执行、部门管理、资产管理。</w:t>
      </w:r>
    </w:p>
    <w:p w14:paraId="3AE8D84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3.产出指标30分：职能工作完成率、重点工作办结率。</w:t>
      </w:r>
    </w:p>
    <w:p w14:paraId="11BDDA9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4.效益指标20分：社会效益、相关人员满意度。</w:t>
      </w:r>
    </w:p>
    <w:p w14:paraId="3B77683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sectPr>
          <w:footerReference r:id="rId5" w:type="default"/>
          <w:pgSz w:w="11906" w:h="16838"/>
          <w:pgMar w:top="1440" w:right="1803" w:bottom="1440" w:left="1803" w:header="851" w:footer="992" w:gutter="0"/>
          <w:pgNumType w:start="1"/>
          <w:cols w:space="0" w:num="1"/>
          <w:docGrid w:type="lines" w:linePitch="332" w:charSpace="0"/>
        </w:sectPr>
      </w:pPr>
    </w:p>
    <w:p w14:paraId="6EE5B0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73" w:name="_Toc21722"/>
      <w:bookmarkStart w:id="174" w:name="_Toc25462"/>
      <w:bookmarkStart w:id="175" w:name="_Toc7412"/>
      <w:bookmarkStart w:id="176" w:name="_Toc16490"/>
      <w:bookmarkStart w:id="177" w:name="_Toc30702"/>
      <w:bookmarkStart w:id="178" w:name="_Toc2057"/>
      <w:bookmarkStart w:id="203" w:name="_GoBack"/>
      <w:bookmarkEnd w:id="203"/>
      <w:r>
        <w:rPr>
          <w:rFonts w:hint="eastAsia" w:ascii="楷体" w:hAnsi="楷体" w:eastAsia="楷体" w:cs="楷体"/>
          <w:b/>
          <w:bCs/>
          <w:sz w:val="32"/>
          <w:szCs w:val="32"/>
        </w:rPr>
        <w:t>（二）评价分析</w:t>
      </w:r>
      <w:bookmarkEnd w:id="173"/>
      <w:bookmarkEnd w:id="174"/>
      <w:bookmarkEnd w:id="175"/>
      <w:bookmarkEnd w:id="176"/>
      <w:bookmarkEnd w:id="177"/>
      <w:bookmarkEnd w:id="178"/>
    </w:p>
    <w:p w14:paraId="7CB27E90">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1.总分100分，得分</w:t>
      </w:r>
      <w:r>
        <w:rPr>
          <w:rFonts w:hint="eastAsia" w:ascii="仿宋" w:hAnsi="仿宋" w:eastAsia="仿宋" w:cs="仿宋"/>
          <w:b/>
          <w:bCs/>
          <w:color w:val="000000"/>
          <w:sz w:val="32"/>
          <w:szCs w:val="32"/>
          <w:shd w:val="clear" w:color="auto" w:fill="FFFFFF"/>
          <w:lang w:val="en-US" w:eastAsia="zh-CN"/>
        </w:rPr>
        <w:t>84</w:t>
      </w:r>
      <w:r>
        <w:rPr>
          <w:rFonts w:hint="eastAsia" w:ascii="仿宋" w:hAnsi="仿宋" w:eastAsia="仿宋" w:cs="仿宋"/>
          <w:b/>
          <w:bCs/>
          <w:color w:val="000000"/>
          <w:sz w:val="32"/>
          <w:szCs w:val="32"/>
          <w:shd w:val="clear" w:color="auto" w:fill="FFFFFF"/>
        </w:rPr>
        <w:t>分，扣分</w:t>
      </w:r>
      <w:r>
        <w:rPr>
          <w:rFonts w:hint="eastAsia" w:ascii="仿宋" w:hAnsi="仿宋" w:eastAsia="仿宋" w:cs="仿宋"/>
          <w:b/>
          <w:bCs/>
          <w:color w:val="000000"/>
          <w:sz w:val="32"/>
          <w:szCs w:val="32"/>
          <w:shd w:val="clear" w:color="auto" w:fill="FFFFFF"/>
          <w:lang w:val="en-US" w:eastAsia="zh-CN"/>
        </w:rPr>
        <w:t>16</w:t>
      </w:r>
      <w:r>
        <w:rPr>
          <w:rFonts w:hint="eastAsia" w:ascii="仿宋" w:hAnsi="仿宋" w:eastAsia="仿宋" w:cs="仿宋"/>
          <w:b/>
          <w:bCs/>
          <w:color w:val="000000"/>
          <w:sz w:val="32"/>
          <w:szCs w:val="32"/>
          <w:shd w:val="clear" w:color="auto" w:fill="FFFFFF"/>
        </w:rPr>
        <w:t>分，详见后述绩效评价得分扣分表</w:t>
      </w:r>
    </w:p>
    <w:tbl>
      <w:tblPr>
        <w:tblStyle w:val="13"/>
        <w:tblW w:w="5000" w:type="pct"/>
        <w:tblInd w:w="0" w:type="dxa"/>
        <w:tblLayout w:type="fixed"/>
        <w:tblCellMar>
          <w:top w:w="0" w:type="dxa"/>
          <w:left w:w="108" w:type="dxa"/>
          <w:bottom w:w="0" w:type="dxa"/>
          <w:right w:w="108" w:type="dxa"/>
        </w:tblCellMar>
      </w:tblPr>
      <w:tblGrid>
        <w:gridCol w:w="772"/>
        <w:gridCol w:w="1075"/>
        <w:gridCol w:w="1821"/>
        <w:gridCol w:w="748"/>
        <w:gridCol w:w="734"/>
        <w:gridCol w:w="763"/>
        <w:gridCol w:w="2325"/>
        <w:gridCol w:w="5936"/>
      </w:tblGrid>
      <w:tr w14:paraId="52EC9DD0">
        <w:tblPrEx>
          <w:tblCellMar>
            <w:top w:w="0" w:type="dxa"/>
            <w:left w:w="108" w:type="dxa"/>
            <w:bottom w:w="0" w:type="dxa"/>
            <w:right w:w="108" w:type="dxa"/>
          </w:tblCellMar>
        </w:tblPrEx>
        <w:trPr>
          <w:trHeight w:val="560" w:hRule="atLeast"/>
          <w:tblHeader/>
        </w:trPr>
        <w:tc>
          <w:tcPr>
            <w:tcW w:w="272" w:type="pct"/>
            <w:tcBorders>
              <w:top w:val="single" w:color="000000" w:sz="4" w:space="0"/>
              <w:left w:val="single" w:color="000000" w:sz="4" w:space="0"/>
              <w:bottom w:val="single" w:color="000000" w:sz="4" w:space="0"/>
              <w:right w:val="single" w:color="000000" w:sz="4" w:space="0"/>
            </w:tcBorders>
            <w:noWrap/>
            <w:vAlign w:val="center"/>
          </w:tcPr>
          <w:p w14:paraId="66AE51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一级指标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885DA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二级指标</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23F71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三级指标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8CA328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分值</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0209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得分</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394137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5F85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扣分说明</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7226BB4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评价要点</w:t>
            </w:r>
          </w:p>
        </w:tc>
      </w:tr>
      <w:tr w14:paraId="7D17E665">
        <w:tblPrEx>
          <w:tblCellMar>
            <w:top w:w="0" w:type="dxa"/>
            <w:left w:w="108" w:type="dxa"/>
            <w:bottom w:w="0" w:type="dxa"/>
            <w:right w:w="108" w:type="dxa"/>
          </w:tblCellMar>
        </w:tblPrEx>
        <w:trPr>
          <w:trHeight w:val="10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A6F25C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投入（20分）</w:t>
            </w: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75092E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目标设定（10分）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C52F4A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绩效目标合理性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57FBA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6033DCD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40ACC2E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3EBF0A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编制预算时未按要求编制绩效目标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42060C6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①是否符合国家法律法规、国民经济和社会发展总体规划；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②是否符合部门“三定”方案确定的职责；</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③是否符合部门制定的发展实施规划和年度主要工作计划；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④所属部门（单位）编报预算时是否按要求编制绩效目标。</w:t>
            </w:r>
          </w:p>
        </w:tc>
      </w:tr>
      <w:tr w14:paraId="53E4372B">
        <w:tblPrEx>
          <w:tblCellMar>
            <w:top w:w="0" w:type="dxa"/>
            <w:left w:w="108" w:type="dxa"/>
            <w:bottom w:w="0" w:type="dxa"/>
            <w:right w:w="108" w:type="dxa"/>
          </w:tblCellMar>
        </w:tblPrEx>
        <w:trPr>
          <w:trHeight w:val="135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18EEBC5C">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19BCDF14">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DC6CAF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绩效指标明确性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E64871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019F943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6204C19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82A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未提供细化绩效指标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0D46101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①是否将部门整体的绩效目标细化分解为具体的工作任务；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②是否通过清晰、可衡量的指标值予以体现；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③是否将项目绩效目标与部门年度的任务数或计划数相对应：</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④是否与本年度部门预算资金相匹配，是否对下属部门（单位）预算编报的绩效目标进行审核。</w:t>
            </w:r>
          </w:p>
        </w:tc>
      </w:tr>
      <w:tr w14:paraId="7B101464">
        <w:tblPrEx>
          <w:tblCellMar>
            <w:top w:w="0" w:type="dxa"/>
            <w:left w:w="108" w:type="dxa"/>
            <w:bottom w:w="0" w:type="dxa"/>
            <w:right w:w="108" w:type="dxa"/>
          </w:tblCellMar>
        </w:tblPrEx>
        <w:trPr>
          <w:trHeight w:val="825"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5254D47">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331282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预算编制与配置（10分）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682FA1A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6592E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64F478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5</w:t>
            </w:r>
          </w:p>
        </w:tc>
        <w:tc>
          <w:tcPr>
            <w:tcW w:w="269" w:type="pct"/>
            <w:tcBorders>
              <w:top w:val="single" w:color="000000" w:sz="4" w:space="0"/>
              <w:left w:val="single" w:color="000000" w:sz="4" w:space="0"/>
              <w:bottom w:val="single" w:color="000000" w:sz="4" w:space="0"/>
              <w:right w:val="single" w:color="000000" w:sz="4" w:space="0"/>
            </w:tcBorders>
            <w:vAlign w:val="center"/>
          </w:tcPr>
          <w:p w14:paraId="4A76F0EF">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5005EF3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0EB619F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在职人员控制率=（在职人员数/编制数）×100%。聘用人员控制率</w:t>
            </w:r>
            <w:r>
              <w:rPr>
                <w:rFonts w:ascii="Arial" w:hAnsi="Arial" w:eastAsia="宋体" w:cs="Arial"/>
                <w:color w:val="000000"/>
                <w:sz w:val="22"/>
                <w:szCs w:val="22"/>
                <w:lang w:bidi="ar"/>
              </w:rPr>
              <w:t>≤</w:t>
            </w:r>
            <w:r>
              <w:rPr>
                <w:rFonts w:hint="eastAsia" w:ascii="宋体" w:hAnsi="宋体" w:eastAsia="宋体" w:cs="宋体"/>
                <w:color w:val="000000"/>
                <w:sz w:val="22"/>
                <w:szCs w:val="22"/>
                <w:lang w:bidi="ar"/>
              </w:rPr>
              <w:t>人社和编办共同批复的人数；在职人员数：部门（单位）实际在职人数，以财政部门确定的部门决算编制口径为准。编制数：机构编制部门核定批复的部门（单位）的人员编制数。</w:t>
            </w:r>
          </w:p>
        </w:tc>
      </w:tr>
      <w:tr w14:paraId="0430BBDC">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2EB287B">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27CBCB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61987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预算编制科学性与配置合理性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92400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5455F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717478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1C518502">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bidi="ar"/>
              </w:rPr>
              <w:t>未提供预算调整批复。</w:t>
            </w:r>
          </w:p>
        </w:tc>
        <w:tc>
          <w:tcPr>
            <w:tcW w:w="2093" w:type="pct"/>
            <w:tcBorders>
              <w:top w:val="single" w:color="000000" w:sz="4" w:space="0"/>
              <w:left w:val="single" w:color="000000" w:sz="4" w:space="0"/>
              <w:bottom w:val="single" w:color="000000" w:sz="4" w:space="0"/>
              <w:right w:val="single" w:color="000000" w:sz="4" w:space="0"/>
            </w:tcBorders>
            <w:vAlign w:val="center"/>
          </w:tcPr>
          <w:p w14:paraId="7E68592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预算编制科学性，预算与政策目标的匹配度与预算标准合理性。</w:t>
            </w:r>
          </w:p>
        </w:tc>
      </w:tr>
      <w:tr w14:paraId="58A6AFAF">
        <w:tblPrEx>
          <w:tblCellMar>
            <w:top w:w="0" w:type="dxa"/>
            <w:left w:w="108" w:type="dxa"/>
            <w:bottom w:w="0" w:type="dxa"/>
            <w:right w:w="108" w:type="dxa"/>
          </w:tblCellMar>
        </w:tblPrEx>
        <w:trPr>
          <w:trHeight w:val="150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CA38B1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过程（30分）</w:t>
            </w:r>
          </w:p>
        </w:tc>
        <w:tc>
          <w:tcPr>
            <w:tcW w:w="379" w:type="pct"/>
            <w:vMerge w:val="restart"/>
            <w:tcBorders>
              <w:top w:val="single" w:color="000000" w:sz="4" w:space="0"/>
              <w:left w:val="single" w:color="000000" w:sz="4" w:space="0"/>
              <w:right w:val="single" w:color="000000" w:sz="4" w:space="0"/>
            </w:tcBorders>
            <w:noWrap/>
            <w:vAlign w:val="center"/>
          </w:tcPr>
          <w:p w14:paraId="091CA7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预算执行（10分）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2B43B34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F41063A">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vAlign w:val="center"/>
          </w:tcPr>
          <w:p w14:paraId="5C98C6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69" w:type="pct"/>
            <w:tcBorders>
              <w:top w:val="single" w:color="000000" w:sz="4" w:space="0"/>
              <w:left w:val="single" w:color="000000" w:sz="4" w:space="0"/>
              <w:bottom w:val="single" w:color="000000" w:sz="4" w:space="0"/>
              <w:right w:val="single" w:color="000000" w:sz="4" w:space="0"/>
            </w:tcBorders>
            <w:vAlign w:val="center"/>
          </w:tcPr>
          <w:p w14:paraId="6C0B7C85">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0FB4DCB3">
            <w:pPr>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lang w:bidi="ar"/>
              </w:rPr>
              <w:t>存在人员经费、</w:t>
            </w:r>
            <w:r>
              <w:rPr>
                <w:rFonts w:hint="eastAsia" w:ascii="宋体" w:hAnsi="宋体" w:eastAsia="宋体" w:cs="宋体"/>
                <w:color w:val="auto"/>
                <w:sz w:val="22"/>
                <w:szCs w:val="22"/>
                <w:lang w:eastAsia="zh-CN" w:bidi="ar"/>
              </w:rPr>
              <w:t>公务用车</w:t>
            </w:r>
            <w:r>
              <w:rPr>
                <w:rFonts w:hint="eastAsia" w:ascii="宋体" w:hAnsi="宋体" w:eastAsia="宋体" w:cs="宋体"/>
                <w:color w:val="auto"/>
                <w:sz w:val="22"/>
                <w:szCs w:val="22"/>
                <w:lang w:bidi="ar"/>
              </w:rPr>
              <w:t>经费超出预算情况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288385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预算约束：支出是否严格遵循人大批准的预算，有无超预算、无预算开支的现象。</w:t>
            </w:r>
          </w:p>
        </w:tc>
      </w:tr>
      <w:tr w14:paraId="58C8044E">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DAEC164">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043DD3A0">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EC60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14814A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554DAE13">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201BF37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57A033">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基本支出挤占项目支出的情况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1BA9B66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7BB1471">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C5A1196">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76615485">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EF478E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3CE7EF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33EAD10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vAlign w:val="center"/>
          </w:tcPr>
          <w:p w14:paraId="5261016F">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E80D2A4">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未支付工会经费，混淆了工会经费和对工会补助的界限。</w:t>
            </w:r>
          </w:p>
        </w:tc>
        <w:tc>
          <w:tcPr>
            <w:tcW w:w="2093" w:type="pct"/>
            <w:tcBorders>
              <w:top w:val="single" w:color="000000" w:sz="4" w:space="0"/>
              <w:left w:val="single" w:color="000000" w:sz="4" w:space="0"/>
              <w:bottom w:val="single" w:color="000000" w:sz="4" w:space="0"/>
              <w:right w:val="single" w:color="000000" w:sz="4" w:space="0"/>
            </w:tcBorders>
            <w:vAlign w:val="center"/>
          </w:tcPr>
          <w:p w14:paraId="5F1DDD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程序合规：政府采购、国库集中支付、资产管理等环节是否符合法律法规和制度规定。</w:t>
            </w:r>
          </w:p>
        </w:tc>
      </w:tr>
      <w:tr w14:paraId="76FA89CE">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412AB9E6">
            <w:pPr>
              <w:jc w:val="center"/>
              <w:rPr>
                <w:rFonts w:hint="eastAsia" w:ascii="宋体" w:hAnsi="宋体" w:eastAsia="宋体" w:cs="宋体"/>
                <w:color w:val="000000"/>
                <w:sz w:val="22"/>
                <w:szCs w:val="22"/>
              </w:rPr>
            </w:pPr>
          </w:p>
        </w:tc>
        <w:tc>
          <w:tcPr>
            <w:tcW w:w="379" w:type="pct"/>
            <w:vMerge w:val="continue"/>
            <w:tcBorders>
              <w:left w:val="single" w:color="000000" w:sz="4" w:space="0"/>
              <w:bottom w:val="single" w:color="000000" w:sz="4" w:space="0"/>
              <w:right w:val="single" w:color="000000" w:sz="4" w:space="0"/>
            </w:tcBorders>
            <w:noWrap/>
            <w:vAlign w:val="center"/>
          </w:tcPr>
          <w:p w14:paraId="3C6BC3F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9BADB8">
            <w:pP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进度匹配度</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3910D3A7">
            <w:pPr>
              <w:jc w:val="center"/>
              <w:textAlignment w:val="center"/>
              <w:rPr>
                <w:rFonts w:hint="eastAsia"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12339492">
            <w:pPr>
              <w:jc w:val="center"/>
              <w:textAlignment w:val="center"/>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6517A86F">
            <w:pPr>
              <w:jc w:val="center"/>
              <w:textAlignment w:val="center"/>
              <w:rPr>
                <w:rFonts w:hint="eastAsia" w:ascii="宋体" w:hAnsi="宋体" w:eastAsia="宋体" w:cs="宋体"/>
                <w:color w:val="000000"/>
                <w:sz w:val="22"/>
                <w:szCs w:val="22"/>
                <w:lang w:val="en-US"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60BD7358">
            <w:pPr>
              <w:jc w:val="left"/>
              <w:rPr>
                <w:rFonts w:hint="eastAsia" w:ascii="宋体" w:hAnsi="宋体" w:eastAsia="宋体" w:cs="宋体"/>
                <w:color w:val="000000"/>
                <w:sz w:val="22"/>
                <w:szCs w:val="22"/>
                <w:lang w:eastAsia="zh-CN"/>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01912927">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支出总量进度：部门总支出完成了年度预算的百分之多少？是否与时间进度相匹配？是否存在“前期慢、后期突击花钱”或“支出进度严重滞后”的问题。</w:t>
            </w:r>
          </w:p>
          <w:p w14:paraId="0C1A2C8F">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分项支出进度：基本支出（人员工资、办公经费）和项目支出（专项业务、事业发展项目）各自的执行进度如何。</w:t>
            </w:r>
          </w:p>
        </w:tc>
      </w:tr>
      <w:tr w14:paraId="4580BE5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92097B0">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06C2B8C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部门管理（15分）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7376C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管理制度健全性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2442C72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30DEDC57">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70B7BFC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544555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未提供其他管理制度。如：预算管理制度，内部控制制度，政府采购管理制度，国有资产管理制度，合同管理制度，专项资金管理办法，绩效管理制度，信息化管理制度，决算与财务报告制度，监督与审计制度</w:t>
            </w:r>
            <w:r>
              <w:rPr>
                <w:rFonts w:hint="eastAsia" w:ascii="宋体" w:hAnsi="宋体" w:eastAsia="宋体" w:cs="宋体"/>
                <w:color w:val="000000"/>
                <w:sz w:val="22"/>
                <w:szCs w:val="22"/>
                <w:lang w:eastAsia="zh-CN" w:bidi="ar"/>
              </w:rPr>
              <w:t>、工会管理制度</w:t>
            </w:r>
            <w:r>
              <w:rPr>
                <w:rFonts w:hint="eastAsia" w:ascii="宋体" w:hAnsi="宋体" w:eastAsia="宋体" w:cs="宋体"/>
                <w:color w:val="000000"/>
                <w:sz w:val="22"/>
                <w:szCs w:val="22"/>
                <w:lang w:bidi="ar"/>
              </w:rPr>
              <w:t>等。</w:t>
            </w:r>
          </w:p>
        </w:tc>
        <w:tc>
          <w:tcPr>
            <w:tcW w:w="2093" w:type="pct"/>
            <w:tcBorders>
              <w:top w:val="single" w:color="000000" w:sz="4" w:space="0"/>
              <w:left w:val="single" w:color="000000" w:sz="4" w:space="0"/>
              <w:bottom w:val="single" w:color="000000" w:sz="4" w:space="0"/>
              <w:right w:val="single" w:color="000000" w:sz="4" w:space="0"/>
            </w:tcBorders>
            <w:vAlign w:val="center"/>
          </w:tcPr>
          <w:p w14:paraId="02DF245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①部门（单位）内控制度、内部财务管理制度和会计核算制度是否健全；</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②相关管理制度是否合法、合规、完整、有效；</w:t>
            </w:r>
          </w:p>
        </w:tc>
      </w:tr>
      <w:tr w14:paraId="3DC44AC9">
        <w:tblPrEx>
          <w:tblCellMar>
            <w:top w:w="0" w:type="dxa"/>
            <w:left w:w="108" w:type="dxa"/>
            <w:bottom w:w="0" w:type="dxa"/>
            <w:right w:w="108" w:type="dxa"/>
          </w:tblCellMar>
        </w:tblPrEx>
        <w:trPr>
          <w:trHeight w:val="84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7121E8A">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D2A814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2AF59D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制度执行有效性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C16520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4F5627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373CA3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C54E5C2">
            <w:pPr>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auto"/>
                <w:sz w:val="22"/>
                <w:szCs w:val="22"/>
                <w:lang w:val="en-US" w:eastAsia="zh-CN" w:bidi="ar"/>
              </w:rPr>
              <w:t>1.部分支出附件</w:t>
            </w:r>
            <w:r>
              <w:rPr>
                <w:rFonts w:hint="eastAsia" w:ascii="宋体" w:hAnsi="宋体" w:eastAsia="宋体" w:cs="宋体"/>
                <w:color w:val="auto"/>
                <w:sz w:val="22"/>
                <w:szCs w:val="22"/>
                <w:lang w:eastAsia="zh-CN" w:bidi="ar"/>
              </w:rPr>
              <w:t>手续不全。</w:t>
            </w:r>
            <w:r>
              <w:rPr>
                <w:rFonts w:hint="eastAsia" w:ascii="宋体" w:hAnsi="宋体" w:eastAsia="宋体" w:cs="宋体"/>
                <w:color w:val="auto"/>
                <w:sz w:val="22"/>
                <w:szCs w:val="22"/>
                <w:lang w:val="en-US" w:eastAsia="zh-CN" w:bidi="ar"/>
              </w:rPr>
              <w:t>2.不相容职责未分离</w:t>
            </w:r>
          </w:p>
        </w:tc>
        <w:tc>
          <w:tcPr>
            <w:tcW w:w="2093" w:type="pct"/>
            <w:tcBorders>
              <w:top w:val="single" w:color="000000" w:sz="4" w:space="0"/>
              <w:left w:val="single" w:color="000000" w:sz="4" w:space="0"/>
              <w:bottom w:val="single" w:color="000000" w:sz="4" w:space="0"/>
              <w:right w:val="single" w:color="000000" w:sz="4" w:space="0"/>
            </w:tcBorders>
            <w:vAlign w:val="center"/>
          </w:tcPr>
          <w:p w14:paraId="4FFF005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①相关管理制度是否得到有效执行；</w:t>
            </w:r>
          </w:p>
          <w:p w14:paraId="04BC102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②是否存在整改情况；</w:t>
            </w:r>
          </w:p>
        </w:tc>
      </w:tr>
      <w:tr w14:paraId="21103897">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E75D7B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9E14106">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188703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预决算信息公开化</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A45397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4CBA0AAE">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183892A6">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D5EB130">
            <w:pPr>
              <w:jc w:val="left"/>
              <w:textAlignment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44C051D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①无涉密情况的预算单位按规定及时、准确、完整地公开预决算和绩效管理信息；</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②基础数据信息和会计信息资料真实、准确、完整；</w:t>
            </w:r>
          </w:p>
        </w:tc>
      </w:tr>
      <w:tr w14:paraId="6BA14155">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657B50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6DC87B8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F3897EE">
            <w:pP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92958D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000000" w:sz="4" w:space="0"/>
              <w:right w:val="single" w:color="000000" w:sz="4" w:space="0"/>
            </w:tcBorders>
            <w:vAlign w:val="center"/>
          </w:tcPr>
          <w:p w14:paraId="4242A9C4">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9</w:t>
            </w:r>
          </w:p>
        </w:tc>
        <w:tc>
          <w:tcPr>
            <w:tcW w:w="269" w:type="pct"/>
            <w:tcBorders>
              <w:top w:val="single" w:color="000000" w:sz="4" w:space="0"/>
              <w:left w:val="single" w:color="000000" w:sz="4" w:space="0"/>
              <w:bottom w:val="single" w:color="000000" w:sz="4" w:space="0"/>
              <w:right w:val="single" w:color="000000" w:sz="4" w:space="0"/>
            </w:tcBorders>
            <w:vAlign w:val="center"/>
          </w:tcPr>
          <w:p w14:paraId="1277A6B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13444EAB">
            <w:pPr>
              <w:jc w:val="left"/>
              <w:textAlignment w:val="center"/>
              <w:rPr>
                <w:rFonts w:hint="eastAsia" w:ascii="宋体" w:hAnsi="宋体" w:eastAsia="宋体" w:cs="宋体"/>
                <w:color w:val="0070C0"/>
                <w:sz w:val="22"/>
                <w:szCs w:val="22"/>
                <w:lang w:eastAsia="zh-CN"/>
              </w:rPr>
            </w:pPr>
            <w:r>
              <w:rPr>
                <w:rFonts w:hint="eastAsia" w:ascii="宋体" w:hAnsi="宋体" w:eastAsia="宋体" w:cs="宋体"/>
                <w:color w:val="auto"/>
                <w:sz w:val="22"/>
                <w:szCs w:val="22"/>
                <w:lang w:val="en-US" w:eastAsia="zh-CN" w:bidi="ar"/>
              </w:rPr>
              <w:t>1.发放工资的依据缺少经审批的工资明细表，缺少银行代发明细回单。2.支付医疗保险、工伤保险、职业年金后仅附国库支付单，银行端查询缴税凭证，未附人员名单、缴费基数确认表、明确的计算依据、审批流程、银行付款回单等。3.发放人员经费性质的车补缺乏人力资源或组织部门的审核盖章。</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3E8ABDD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资金分配及时性（转移支付下达时效，资金保障有效性；是否接受检查，受过处罚或上缴财政资金情况</w:t>
            </w:r>
          </w:p>
        </w:tc>
      </w:tr>
      <w:tr w14:paraId="3FA3EB7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auto" w:sz="4" w:space="0"/>
              <w:right w:val="single" w:color="000000" w:sz="4" w:space="0"/>
            </w:tcBorders>
            <w:noWrap/>
            <w:vAlign w:val="center"/>
          </w:tcPr>
          <w:p w14:paraId="2454597C">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auto" w:sz="4" w:space="0"/>
              <w:right w:val="single" w:color="000000" w:sz="4" w:space="0"/>
            </w:tcBorders>
            <w:noWrap/>
            <w:vAlign w:val="center"/>
          </w:tcPr>
          <w:p w14:paraId="52F9AA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4F0B591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1664E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4CD5E21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vAlign w:val="center"/>
          </w:tcPr>
          <w:p w14:paraId="444F8691">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39EA316F">
            <w:pPr>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部分资产要素有待完善。</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未定期盘点</w:t>
            </w:r>
          </w:p>
        </w:tc>
        <w:tc>
          <w:tcPr>
            <w:tcW w:w="2093" w:type="pct"/>
            <w:tcBorders>
              <w:top w:val="single" w:color="000000" w:sz="4" w:space="0"/>
              <w:left w:val="single" w:color="000000" w:sz="4" w:space="0"/>
              <w:bottom w:val="single" w:color="000000" w:sz="4" w:space="0"/>
              <w:right w:val="single" w:color="000000" w:sz="4" w:space="0"/>
            </w:tcBorders>
            <w:vAlign w:val="center"/>
          </w:tcPr>
          <w:p w14:paraId="6877311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①资产保存是否完整并有台账；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②资产配置是否合理，是否有闲置现象；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③资产处置是否规范；</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④资产账务管理是否合规，是否账实相符；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⑤是否完成国有“三资”盘活工作，资产是否有偿使用或处置收入及时足额上缴；</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⑥相关资产购置是否履行政府采购手续，外租资产是否走合规程序；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⑦资产是否定期进行盘点并有记录。</w:t>
            </w:r>
          </w:p>
        </w:tc>
      </w:tr>
      <w:tr w14:paraId="7AA6C524">
        <w:tblPrEx>
          <w:tblCellMar>
            <w:top w:w="0" w:type="dxa"/>
            <w:left w:w="108" w:type="dxa"/>
            <w:bottom w:w="0" w:type="dxa"/>
            <w:right w:w="108" w:type="dxa"/>
          </w:tblCellMar>
        </w:tblPrEx>
        <w:trPr>
          <w:trHeight w:val="4227" w:hRule="atLeast"/>
        </w:trPr>
        <w:tc>
          <w:tcPr>
            <w:tcW w:w="272" w:type="pct"/>
            <w:vMerge w:val="restart"/>
            <w:tcBorders>
              <w:top w:val="single" w:color="auto" w:sz="4" w:space="0"/>
              <w:left w:val="single" w:color="auto" w:sz="4" w:space="0"/>
              <w:bottom w:val="single" w:color="auto" w:sz="4" w:space="0"/>
              <w:right w:val="single" w:color="000000" w:sz="4" w:space="0"/>
            </w:tcBorders>
            <w:noWrap/>
            <w:vAlign w:val="center"/>
          </w:tcPr>
          <w:p w14:paraId="0E8C39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产出（20分）</w:t>
            </w:r>
          </w:p>
        </w:tc>
        <w:tc>
          <w:tcPr>
            <w:tcW w:w="379" w:type="pct"/>
            <w:tcBorders>
              <w:top w:val="single" w:color="auto" w:sz="4" w:space="0"/>
              <w:left w:val="single" w:color="000000" w:sz="4" w:space="0"/>
              <w:bottom w:val="single" w:color="auto" w:sz="4" w:space="0"/>
              <w:right w:val="single" w:color="auto" w:sz="4" w:space="0"/>
            </w:tcBorders>
            <w:noWrap/>
            <w:vAlign w:val="center"/>
          </w:tcPr>
          <w:p w14:paraId="3497E85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职能工作完成率（10分）</w:t>
            </w:r>
          </w:p>
        </w:tc>
        <w:tc>
          <w:tcPr>
            <w:tcW w:w="642" w:type="pct"/>
            <w:tcBorders>
              <w:top w:val="single" w:color="000000" w:sz="4" w:space="0"/>
              <w:left w:val="single" w:color="auto" w:sz="4" w:space="0"/>
              <w:bottom w:val="single" w:color="auto" w:sz="4" w:space="0"/>
              <w:right w:val="single" w:color="000000" w:sz="4" w:space="0"/>
            </w:tcBorders>
            <w:vAlign w:val="center"/>
          </w:tcPr>
          <w:p w14:paraId="70B85BC4">
            <w:pPr>
              <w:jc w:val="both"/>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①青年理论武装覆盖率与实效性</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②核心价值观践行深度。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③理论宣传讲</w:t>
            </w:r>
            <w:r>
              <w:rPr>
                <w:rFonts w:hint="eastAsia" w:ascii="宋体" w:hAnsi="宋体" w:eastAsia="宋体" w:cs="宋体"/>
                <w:color w:val="000000"/>
                <w:sz w:val="22"/>
                <w:szCs w:val="22"/>
                <w:lang w:eastAsia="zh-CN" w:bidi="ar"/>
              </w:rPr>
              <w:t>。</w:t>
            </w:r>
          </w:p>
          <w:p w14:paraId="0CC7D08E">
            <w:pPr>
              <w:jc w:val="both"/>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④青年建功立业参与度</w:t>
            </w:r>
            <w:r>
              <w:rPr>
                <w:rFonts w:hint="eastAsia" w:ascii="宋体" w:hAnsi="宋体" w:eastAsia="宋体" w:cs="宋体"/>
                <w:color w:val="000000"/>
                <w:sz w:val="22"/>
                <w:szCs w:val="22"/>
                <w:lang w:eastAsia="zh-CN" w:bidi="ar"/>
              </w:rPr>
              <w:t>。</w:t>
            </w:r>
          </w:p>
          <w:p w14:paraId="68CEE6B3">
            <w:pPr>
              <w:jc w:val="both"/>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⑤主题教育</w:t>
            </w:r>
            <w:r>
              <w:rPr>
                <w:rFonts w:hint="eastAsia" w:ascii="宋体" w:hAnsi="宋体" w:eastAsia="宋体" w:cs="宋体"/>
                <w:color w:val="000000"/>
                <w:sz w:val="22"/>
                <w:szCs w:val="22"/>
                <w:lang w:eastAsia="zh-CN" w:bidi="ar"/>
              </w:rPr>
              <w:t>活</w:t>
            </w:r>
            <w:r>
              <w:rPr>
                <w:rFonts w:hint="eastAsia" w:ascii="宋体" w:hAnsi="宋体" w:eastAsia="宋体" w:cs="宋体"/>
                <w:color w:val="000000"/>
                <w:sz w:val="22"/>
                <w:szCs w:val="22"/>
                <w:lang w:bidi="ar"/>
              </w:rPr>
              <w:t>动</w:t>
            </w:r>
            <w:r>
              <w:rPr>
                <w:rFonts w:hint="eastAsia" w:ascii="宋体" w:hAnsi="宋体" w:eastAsia="宋体" w:cs="宋体"/>
                <w:color w:val="000000"/>
                <w:sz w:val="22"/>
                <w:szCs w:val="22"/>
                <w:lang w:eastAsia="zh-CN" w:bidi="ar"/>
              </w:rPr>
              <w:t>。</w:t>
            </w:r>
          </w:p>
          <w:p w14:paraId="0EBACAA2">
            <w:pPr>
              <w:jc w:val="both"/>
              <w:textAlignment w:val="center"/>
              <w:rPr>
                <w:rFonts w:hint="eastAsia" w:ascii="宋体" w:hAnsi="宋体" w:eastAsia="宋体" w:cs="宋体"/>
                <w:color w:val="000000"/>
                <w:sz w:val="22"/>
                <w:szCs w:val="22"/>
                <w:lang w:eastAsia="zh-CN" w:bidi="ar"/>
              </w:rPr>
            </w:pPr>
          </w:p>
        </w:tc>
        <w:tc>
          <w:tcPr>
            <w:tcW w:w="263" w:type="pct"/>
            <w:tcBorders>
              <w:top w:val="single" w:color="000000" w:sz="4" w:space="0"/>
              <w:left w:val="single" w:color="000000" w:sz="4" w:space="0"/>
              <w:bottom w:val="single" w:color="auto" w:sz="4" w:space="0"/>
              <w:right w:val="single" w:color="000000" w:sz="4" w:space="0"/>
            </w:tcBorders>
            <w:noWrap/>
            <w:vAlign w:val="center"/>
          </w:tcPr>
          <w:p w14:paraId="6BA54F8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auto" w:sz="4" w:space="0"/>
              <w:right w:val="single" w:color="000000" w:sz="4" w:space="0"/>
            </w:tcBorders>
            <w:vAlign w:val="center"/>
          </w:tcPr>
          <w:p w14:paraId="3FE912D0">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10</w:t>
            </w:r>
          </w:p>
        </w:tc>
        <w:tc>
          <w:tcPr>
            <w:tcW w:w="269" w:type="pct"/>
            <w:tcBorders>
              <w:top w:val="single" w:color="000000" w:sz="4" w:space="0"/>
              <w:left w:val="single" w:color="000000" w:sz="4" w:space="0"/>
              <w:bottom w:val="single" w:color="auto" w:sz="4" w:space="0"/>
              <w:right w:val="single" w:color="000000" w:sz="4" w:space="0"/>
            </w:tcBorders>
            <w:vAlign w:val="center"/>
          </w:tcPr>
          <w:p w14:paraId="6B837985">
            <w:pPr>
              <w:jc w:val="center"/>
              <w:textAlignment w:val="center"/>
              <w:rPr>
                <w:rFonts w:hint="default" w:ascii="宋体" w:hAnsi="宋体" w:eastAsia="宋体" w:cs="宋体"/>
                <w:color w:val="000000"/>
                <w:sz w:val="22"/>
                <w:szCs w:val="22"/>
                <w:lang w:val="en-US" w:eastAsia="zh-CN"/>
              </w:rPr>
            </w:pPr>
          </w:p>
        </w:tc>
        <w:tc>
          <w:tcPr>
            <w:tcW w:w="820" w:type="pct"/>
            <w:tcBorders>
              <w:top w:val="single" w:color="000000" w:sz="4" w:space="0"/>
              <w:left w:val="single" w:color="000000" w:sz="4" w:space="0"/>
              <w:bottom w:val="single" w:color="auto" w:sz="4" w:space="0"/>
              <w:right w:val="single" w:color="000000" w:sz="4" w:space="0"/>
            </w:tcBorders>
            <w:vAlign w:val="center"/>
          </w:tcPr>
          <w:p w14:paraId="2DD9D9DB">
            <w:pPr>
              <w:jc w:val="center"/>
              <w:rPr>
                <w:rFonts w:hint="eastAsia" w:ascii="宋体" w:hAnsi="宋体" w:eastAsia="宋体" w:cs="宋体"/>
                <w:color w:val="000000"/>
                <w:sz w:val="22"/>
                <w:szCs w:val="22"/>
                <w:lang w:eastAsia="zh-CN"/>
              </w:rPr>
            </w:pPr>
          </w:p>
        </w:tc>
        <w:tc>
          <w:tcPr>
            <w:tcW w:w="2093" w:type="pct"/>
            <w:tcBorders>
              <w:top w:val="single" w:color="000000" w:sz="4" w:space="0"/>
              <w:left w:val="single" w:color="000000" w:sz="4" w:space="0"/>
              <w:bottom w:val="single" w:color="auto" w:sz="4" w:space="0"/>
              <w:right w:val="single" w:color="000000" w:sz="4" w:space="0"/>
            </w:tcBorders>
            <w:vAlign w:val="center"/>
          </w:tcPr>
          <w:p w14:paraId="38A2D2F4">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①开展专题学习/宣讲/主题团日≥</w:t>
            </w: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0场。组织青年围绕重要寄语/精神开展学习热议不少于2次/年。</w:t>
            </w:r>
          </w:p>
          <w:p w14:paraId="5DA8064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②组织大型主题实践活动≥3场（如“五四”系列活动、清明祭英烈、国家公祭日等）。获得区级及以上媒体正面报道≥10篇（展现雁峰青年风貌）。</w:t>
            </w:r>
          </w:p>
          <w:p w14:paraId="004FA466">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③理论宣传宣讲：开展“青年讲师团”“红领巾讲解员”等线下宣讲活动不少于20场次/年。线上理论宣传产品（文章、视频等）覆盖青少年人次年增长率不低于5%</w:t>
            </w:r>
            <w:r>
              <w:rPr>
                <w:rFonts w:hint="eastAsia" w:ascii="宋体" w:hAnsi="宋体" w:eastAsia="宋体" w:cs="宋体"/>
                <w:color w:val="000000"/>
                <w:sz w:val="22"/>
                <w:szCs w:val="22"/>
                <w:lang w:eastAsia="zh-CN" w:bidi="ar"/>
              </w:rPr>
              <w:t>。</w:t>
            </w:r>
          </w:p>
          <w:p w14:paraId="620A23CE">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④青年建功立业参与度:希望工程”“微心愿”等助学项目筹集资金年度增长率力争达5%，资助困难学生不少于40名/年。组织或参与青年招聘会，提供就业岗位不少于6800个/年。举办青年联谊交友活动不少于2次/年，参与青年满意度不低于85%。服务新兴青年群体主题活动覆盖不少于100人次/年。⑤主题教育活动：在重要时间节点（五四、学雷锋纪念日、清明等）组织开展各类主题教育活动不少于20次/年。组织校地合作、爱国主义教育等实践活动不少于3次/年。</w:t>
            </w:r>
          </w:p>
          <w:p w14:paraId="11117A4D">
            <w:pPr>
              <w:textAlignment w:val="center"/>
              <w:rPr>
                <w:rFonts w:hint="eastAsia" w:ascii="宋体" w:hAnsi="宋体" w:eastAsia="宋体" w:cs="宋体"/>
                <w:color w:val="000000"/>
                <w:sz w:val="22"/>
                <w:szCs w:val="22"/>
              </w:rPr>
            </w:pPr>
          </w:p>
        </w:tc>
      </w:tr>
      <w:tr w14:paraId="6D8B8B4C">
        <w:tblPrEx>
          <w:tblCellMar>
            <w:top w:w="0" w:type="dxa"/>
            <w:left w:w="108" w:type="dxa"/>
            <w:bottom w:w="0" w:type="dxa"/>
            <w:right w:w="108" w:type="dxa"/>
          </w:tblCellMar>
        </w:tblPrEx>
        <w:trPr>
          <w:trHeight w:val="2838" w:hRule="atLeast"/>
        </w:trPr>
        <w:tc>
          <w:tcPr>
            <w:tcW w:w="272" w:type="pct"/>
            <w:vMerge w:val="continue"/>
            <w:tcBorders>
              <w:top w:val="single" w:color="auto" w:sz="4" w:space="0"/>
              <w:left w:val="single" w:color="auto" w:sz="4" w:space="0"/>
              <w:bottom w:val="nil"/>
              <w:right w:val="single" w:color="000000" w:sz="4" w:space="0"/>
            </w:tcBorders>
            <w:noWrap/>
            <w:vAlign w:val="center"/>
          </w:tcPr>
          <w:p w14:paraId="6AE5FED2">
            <w:pPr>
              <w:jc w:val="center"/>
              <w:rPr>
                <w:rFonts w:hint="eastAsia" w:ascii="宋体" w:hAnsi="宋体" w:eastAsia="宋体" w:cs="宋体"/>
                <w:color w:val="000000"/>
                <w:sz w:val="22"/>
                <w:szCs w:val="22"/>
              </w:rPr>
            </w:pPr>
          </w:p>
        </w:tc>
        <w:tc>
          <w:tcPr>
            <w:tcW w:w="379" w:type="pct"/>
            <w:tcBorders>
              <w:top w:val="single" w:color="auto" w:sz="4" w:space="0"/>
              <w:left w:val="single" w:color="000000" w:sz="4" w:space="0"/>
              <w:bottom w:val="single" w:color="auto" w:sz="4" w:space="0"/>
              <w:right w:val="single" w:color="auto" w:sz="4" w:space="0"/>
            </w:tcBorders>
            <w:noWrap/>
            <w:vAlign w:val="center"/>
          </w:tcPr>
          <w:p w14:paraId="146DAB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重点工作办结率（10分）</w:t>
            </w:r>
          </w:p>
        </w:tc>
        <w:tc>
          <w:tcPr>
            <w:tcW w:w="642" w:type="pct"/>
            <w:tcBorders>
              <w:top w:val="single" w:color="auto" w:sz="4" w:space="0"/>
              <w:left w:val="single" w:color="auto" w:sz="4" w:space="0"/>
              <w:bottom w:val="single" w:color="auto" w:sz="4" w:space="0"/>
              <w:right w:val="single" w:color="auto" w:sz="4" w:space="0"/>
            </w:tcBorders>
            <w:vAlign w:val="center"/>
          </w:tcPr>
          <w:p w14:paraId="7E5BF9A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①服务青年实际需求精准度</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②“青年之家”阵地效能。</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③青少年权益维护与预防犯罪工作。</w:t>
            </w:r>
            <w:r>
              <w:rPr>
                <w:rFonts w:hint="eastAsia" w:ascii="宋体" w:hAnsi="宋体" w:eastAsia="宋体" w:cs="宋体"/>
                <w:color w:val="000000"/>
                <w:sz w:val="22"/>
                <w:szCs w:val="22"/>
                <w:lang w:bidi="ar"/>
              </w:rPr>
              <w:br w:type="textWrapping"/>
            </w:r>
          </w:p>
        </w:tc>
        <w:tc>
          <w:tcPr>
            <w:tcW w:w="263" w:type="pct"/>
            <w:tcBorders>
              <w:top w:val="single" w:color="auto" w:sz="4" w:space="0"/>
              <w:left w:val="single" w:color="auto" w:sz="4" w:space="0"/>
              <w:bottom w:val="single" w:color="auto" w:sz="4" w:space="0"/>
              <w:right w:val="single" w:color="auto" w:sz="4" w:space="0"/>
            </w:tcBorders>
            <w:noWrap/>
            <w:vAlign w:val="center"/>
          </w:tcPr>
          <w:p w14:paraId="2984C8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auto" w:sz="4" w:space="0"/>
              <w:left w:val="single" w:color="auto" w:sz="4" w:space="0"/>
              <w:bottom w:val="single" w:color="auto" w:sz="4" w:space="0"/>
              <w:right w:val="single" w:color="auto" w:sz="4" w:space="0"/>
            </w:tcBorders>
            <w:vAlign w:val="center"/>
          </w:tcPr>
          <w:p w14:paraId="660F414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69" w:type="pct"/>
            <w:tcBorders>
              <w:top w:val="single" w:color="auto" w:sz="4" w:space="0"/>
              <w:left w:val="single" w:color="auto" w:sz="4" w:space="0"/>
              <w:bottom w:val="single" w:color="auto" w:sz="4" w:space="0"/>
              <w:right w:val="single" w:color="auto" w:sz="4" w:space="0"/>
            </w:tcBorders>
            <w:vAlign w:val="center"/>
          </w:tcPr>
          <w:p w14:paraId="72495D58">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auto" w:sz="4" w:space="0"/>
              <w:bottom w:val="single" w:color="auto" w:sz="4" w:space="0"/>
              <w:right w:val="single" w:color="auto" w:sz="4" w:space="0"/>
            </w:tcBorders>
            <w:vAlign w:val="center"/>
          </w:tcPr>
          <w:p w14:paraId="038EFD85">
            <w:pPr>
              <w:jc w:val="center"/>
              <w:rPr>
                <w:rFonts w:hint="eastAsia" w:ascii="宋体" w:hAnsi="宋体" w:eastAsia="宋体" w:cs="宋体"/>
                <w:color w:val="000000"/>
                <w:sz w:val="22"/>
                <w:szCs w:val="22"/>
              </w:rPr>
            </w:pPr>
          </w:p>
        </w:tc>
        <w:tc>
          <w:tcPr>
            <w:tcW w:w="2093" w:type="pct"/>
            <w:tcBorders>
              <w:top w:val="single" w:color="auto" w:sz="4" w:space="0"/>
              <w:left w:val="single" w:color="auto" w:sz="4" w:space="0"/>
              <w:bottom w:val="single" w:color="auto" w:sz="4" w:space="0"/>
              <w:right w:val="single" w:color="auto" w:sz="4" w:space="0"/>
            </w:tcBorders>
            <w:vAlign w:val="center"/>
          </w:tcPr>
          <w:p w14:paraId="71389F13">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①实施“青年民生实事”项目≥3项（如“青年联谊”、“四点半课堂”、“权益维护”）。直接受益青年≥1500人次。服务对象满意度≥85%。</w:t>
            </w:r>
          </w:p>
          <w:p w14:paraId="3A0D6A46">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②全区“青年之家”总活动数≥100场（统筹各站点活动）。“青年之家”总服务青年人次≥6000人次。阵地规范化运营达标率100%（确保基础功能）。</w:t>
            </w:r>
          </w:p>
          <w:p w14:paraId="6556C125">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③青少年权益维护与预防犯罪工作：开展法治宣传/自护教育进校园/社区≥20场。联动专业力量提供心理咨询或个案服务≥30例。结对帮扶重点青少年（如闲散、困难青少年）≥50名。</w:t>
            </w:r>
          </w:p>
          <w:p w14:paraId="1C31DDF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br w:type="textWrapping"/>
            </w:r>
          </w:p>
        </w:tc>
      </w:tr>
      <w:tr w14:paraId="4578893F">
        <w:tblPrEx>
          <w:tblCellMar>
            <w:top w:w="0" w:type="dxa"/>
            <w:left w:w="108" w:type="dxa"/>
            <w:bottom w:w="0" w:type="dxa"/>
            <w:right w:w="108" w:type="dxa"/>
          </w:tblCellMar>
        </w:tblPrEx>
        <w:trPr>
          <w:trHeight w:val="3639" w:hRule="atLeast"/>
        </w:trPr>
        <w:tc>
          <w:tcPr>
            <w:tcW w:w="272" w:type="pct"/>
            <w:vMerge w:val="restart"/>
            <w:tcBorders>
              <w:top w:val="single" w:color="000000" w:sz="4" w:space="0"/>
              <w:left w:val="single" w:color="000000" w:sz="4" w:space="0"/>
              <w:bottom w:val="single" w:color="000000" w:sz="4" w:space="0"/>
              <w:right w:val="single" w:color="auto" w:sz="4" w:space="0"/>
            </w:tcBorders>
            <w:noWrap/>
            <w:vAlign w:val="center"/>
          </w:tcPr>
          <w:p w14:paraId="1D6BD2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效益（30分）</w:t>
            </w:r>
          </w:p>
        </w:tc>
        <w:tc>
          <w:tcPr>
            <w:tcW w:w="379" w:type="pct"/>
            <w:tcBorders>
              <w:top w:val="single" w:color="auto" w:sz="4" w:space="0"/>
              <w:left w:val="single" w:color="auto" w:sz="4" w:space="0"/>
              <w:bottom w:val="single" w:color="auto" w:sz="4" w:space="0"/>
              <w:right w:val="single" w:color="000000" w:sz="4" w:space="0"/>
            </w:tcBorders>
            <w:vAlign w:val="center"/>
          </w:tcPr>
          <w:p w14:paraId="4C7953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社会效益（15分）</w:t>
            </w:r>
          </w:p>
        </w:tc>
        <w:tc>
          <w:tcPr>
            <w:tcW w:w="642" w:type="pct"/>
            <w:tcBorders>
              <w:top w:val="single" w:color="auto" w:sz="4" w:space="0"/>
              <w:left w:val="single" w:color="000000" w:sz="4" w:space="0"/>
              <w:bottom w:val="single" w:color="auto" w:sz="4" w:space="0"/>
              <w:right w:val="single" w:color="000000" w:sz="4" w:space="0"/>
            </w:tcBorders>
            <w:vAlign w:val="center"/>
          </w:tcPr>
          <w:p w14:paraId="65832FA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①团的组织有效覆盖。</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②团干部队伍建设。</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③“智慧团建”系统应用水平。</w:t>
            </w:r>
          </w:p>
          <w:p w14:paraId="74C80171">
            <w:pPr>
              <w:textAlignment w:val="center"/>
              <w:rPr>
                <w:rFonts w:hint="eastAsia" w:ascii="宋体" w:hAnsi="宋体" w:eastAsia="宋体" w:cs="宋体"/>
                <w:color w:val="000000"/>
                <w:sz w:val="22"/>
                <w:szCs w:val="22"/>
              </w:rPr>
            </w:pPr>
          </w:p>
        </w:tc>
        <w:tc>
          <w:tcPr>
            <w:tcW w:w="263" w:type="pct"/>
            <w:tcBorders>
              <w:top w:val="single" w:color="auto" w:sz="4" w:space="0"/>
              <w:left w:val="single" w:color="000000" w:sz="4" w:space="0"/>
              <w:bottom w:val="single" w:color="auto" w:sz="4" w:space="0"/>
              <w:right w:val="nil"/>
            </w:tcBorders>
            <w:vAlign w:val="center"/>
          </w:tcPr>
          <w:p w14:paraId="37EC3B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single" w:color="auto" w:sz="4" w:space="0"/>
              <w:right w:val="nil"/>
            </w:tcBorders>
            <w:vAlign w:val="center"/>
          </w:tcPr>
          <w:p w14:paraId="7CC0A79B">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1</w:t>
            </w:r>
            <w:r>
              <w:rPr>
                <w:rFonts w:hint="eastAsia" w:ascii="宋体" w:hAnsi="宋体" w:eastAsia="宋体" w:cs="宋体"/>
                <w:color w:val="000000"/>
                <w:sz w:val="22"/>
                <w:szCs w:val="22"/>
                <w:lang w:val="en-US" w:eastAsia="zh-CN" w:bidi="ar"/>
              </w:rPr>
              <w:t>5</w:t>
            </w:r>
          </w:p>
        </w:tc>
        <w:tc>
          <w:tcPr>
            <w:tcW w:w="269" w:type="pct"/>
            <w:tcBorders>
              <w:top w:val="single" w:color="auto" w:sz="4" w:space="0"/>
              <w:left w:val="single" w:color="000000" w:sz="4" w:space="0"/>
              <w:bottom w:val="single" w:color="auto" w:sz="4" w:space="0"/>
              <w:right w:val="nil"/>
            </w:tcBorders>
            <w:vAlign w:val="center"/>
          </w:tcPr>
          <w:p w14:paraId="05EAD2DC">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single" w:color="auto" w:sz="4" w:space="0"/>
              <w:right w:val="nil"/>
            </w:tcBorders>
            <w:vAlign w:val="center"/>
          </w:tcPr>
          <w:p w14:paraId="1CA7E49E">
            <w:pPr>
              <w:jc w:val="center"/>
              <w:textAlignment w:val="center"/>
              <w:rPr>
                <w:rFonts w:hint="eastAsia" w:ascii="宋体" w:hAnsi="宋体" w:eastAsia="宋体" w:cs="宋体"/>
                <w:color w:val="000000"/>
                <w:sz w:val="22"/>
                <w:szCs w:val="22"/>
                <w:lang w:eastAsia="zh-CN"/>
              </w:rPr>
            </w:pPr>
          </w:p>
        </w:tc>
        <w:tc>
          <w:tcPr>
            <w:tcW w:w="2093" w:type="pct"/>
            <w:tcBorders>
              <w:top w:val="single" w:color="auto" w:sz="4" w:space="0"/>
              <w:left w:val="single" w:color="000000" w:sz="4" w:space="0"/>
              <w:bottom w:val="single" w:color="auto" w:sz="4" w:space="0"/>
              <w:right w:val="single" w:color="auto" w:sz="4" w:space="0"/>
            </w:tcBorders>
            <w:vAlign w:val="center"/>
          </w:tcPr>
          <w:p w14:paraId="304E7B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①团的组织有效覆盖：规范发展新团员数，按市教育局和上级团委计划100%完成。新建社会领域团组织（重点在非公企业、社会组织）≥15个。完成全区社区（村）团组织换届选举100%完成</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②举办全区各级团干部培训班≥2期。培训团干部≥200人次。基层团组织书记述职评议考核覆盖率100%。</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③学社衔接率≥95%（确保毕业生团员关系顺利转接）。业务响应及时率，上级下达任务在规定时间内100%响应并反馈。团费收缴率≥90%。</w:t>
            </w:r>
          </w:p>
          <w:p w14:paraId="0C46519A">
            <w:pPr>
              <w:textAlignment w:val="center"/>
              <w:rPr>
                <w:rFonts w:hint="eastAsia" w:ascii="宋体" w:hAnsi="宋体" w:eastAsia="宋体" w:cs="宋体"/>
                <w:color w:val="000000"/>
                <w:sz w:val="22"/>
                <w:szCs w:val="22"/>
                <w:lang w:bidi="ar"/>
              </w:rPr>
            </w:pPr>
          </w:p>
          <w:p w14:paraId="78F2F218">
            <w:pPr>
              <w:textAlignment w:val="center"/>
              <w:rPr>
                <w:rFonts w:hint="eastAsia" w:ascii="宋体" w:hAnsi="宋体" w:eastAsia="宋体" w:cs="宋体"/>
                <w:color w:val="000000"/>
                <w:sz w:val="22"/>
                <w:szCs w:val="22"/>
                <w:lang w:eastAsia="zh-CN" w:bidi="ar"/>
              </w:rPr>
            </w:pPr>
          </w:p>
        </w:tc>
      </w:tr>
      <w:tr w14:paraId="5E92BD47">
        <w:tblPrEx>
          <w:tblCellMar>
            <w:top w:w="0" w:type="dxa"/>
            <w:left w:w="108" w:type="dxa"/>
            <w:bottom w:w="0" w:type="dxa"/>
            <w:right w:w="108" w:type="dxa"/>
          </w:tblCellMar>
        </w:tblPrEx>
        <w:trPr>
          <w:trHeight w:val="157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C361E43">
            <w:pPr>
              <w:jc w:val="center"/>
              <w:rPr>
                <w:rFonts w:hint="eastAsia" w:ascii="宋体" w:hAnsi="宋体" w:eastAsia="宋体" w:cs="宋体"/>
                <w:color w:val="000000"/>
                <w:sz w:val="22"/>
                <w:szCs w:val="22"/>
              </w:rPr>
            </w:pPr>
          </w:p>
        </w:tc>
        <w:tc>
          <w:tcPr>
            <w:tcW w:w="379" w:type="pct"/>
            <w:tcBorders>
              <w:top w:val="single" w:color="auto" w:sz="4" w:space="0"/>
              <w:left w:val="single" w:color="000000" w:sz="4" w:space="0"/>
              <w:bottom w:val="single" w:color="000000" w:sz="4" w:space="0"/>
              <w:right w:val="single" w:color="000000" w:sz="4" w:space="0"/>
            </w:tcBorders>
            <w:noWrap/>
            <w:vAlign w:val="center"/>
          </w:tcPr>
          <w:p w14:paraId="0333CB2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相关人员满意度（15分）</w:t>
            </w:r>
          </w:p>
        </w:tc>
        <w:tc>
          <w:tcPr>
            <w:tcW w:w="642" w:type="pct"/>
            <w:tcBorders>
              <w:top w:val="single" w:color="auto" w:sz="4" w:space="0"/>
              <w:left w:val="single" w:color="000000" w:sz="4" w:space="0"/>
              <w:bottom w:val="single" w:color="000000" w:sz="4" w:space="0"/>
              <w:right w:val="single" w:color="000000" w:sz="4" w:space="0"/>
            </w:tcBorders>
            <w:noWrap/>
            <w:vAlign w:val="center"/>
          </w:tcPr>
          <w:p w14:paraId="750576B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w:t>
            </w:r>
            <w:r>
              <w:rPr>
                <w:rFonts w:hint="eastAsia" w:ascii="宋体" w:hAnsi="宋体" w:eastAsia="宋体" w:cs="宋体"/>
                <w:color w:val="000000"/>
                <w:sz w:val="22"/>
                <w:szCs w:val="22"/>
                <w:lang w:eastAsia="zh-CN" w:bidi="ar"/>
              </w:rPr>
              <w:t>团队活动</w:t>
            </w:r>
            <w:r>
              <w:rPr>
                <w:rFonts w:hint="eastAsia" w:ascii="宋体" w:hAnsi="宋体" w:eastAsia="宋体" w:cs="宋体"/>
                <w:color w:val="000000"/>
                <w:sz w:val="22"/>
                <w:szCs w:val="22"/>
                <w:lang w:bidi="ar"/>
              </w:rPr>
              <w:t>办理满意度。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②社会公众满意度。</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6DA7A1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single" w:color="000000" w:sz="4" w:space="0"/>
              <w:right w:val="single" w:color="000000" w:sz="4" w:space="0"/>
            </w:tcBorders>
            <w:vAlign w:val="center"/>
          </w:tcPr>
          <w:p w14:paraId="52EE483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69" w:type="pct"/>
            <w:tcBorders>
              <w:top w:val="single" w:color="auto" w:sz="4" w:space="0"/>
              <w:left w:val="single" w:color="000000" w:sz="4" w:space="0"/>
              <w:bottom w:val="single" w:color="000000" w:sz="4" w:space="0"/>
              <w:right w:val="single" w:color="000000" w:sz="4" w:space="0"/>
            </w:tcBorders>
            <w:vAlign w:val="center"/>
          </w:tcPr>
          <w:p w14:paraId="1A55284B">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single" w:color="000000" w:sz="4" w:space="0"/>
              <w:right w:val="single" w:color="000000" w:sz="4" w:space="0"/>
            </w:tcBorders>
            <w:vAlign w:val="center"/>
          </w:tcPr>
          <w:p w14:paraId="4FF79592">
            <w:pPr>
              <w:jc w:val="center"/>
              <w:rPr>
                <w:rFonts w:hint="eastAsia" w:ascii="宋体" w:hAnsi="宋体" w:eastAsia="宋体" w:cs="宋体"/>
                <w:color w:val="000000"/>
                <w:sz w:val="22"/>
                <w:szCs w:val="22"/>
              </w:rPr>
            </w:pPr>
          </w:p>
        </w:tc>
        <w:tc>
          <w:tcPr>
            <w:tcW w:w="2093" w:type="pct"/>
            <w:tcBorders>
              <w:top w:val="single" w:color="auto" w:sz="4" w:space="0"/>
              <w:left w:val="single" w:color="000000" w:sz="4" w:space="0"/>
              <w:bottom w:val="single" w:color="000000" w:sz="4" w:space="0"/>
              <w:right w:val="single" w:color="000000" w:sz="4" w:space="0"/>
            </w:tcBorders>
            <w:vAlign w:val="center"/>
          </w:tcPr>
          <w:p w14:paraId="6831D11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w:t>
            </w:r>
            <w:r>
              <w:rPr>
                <w:rFonts w:hint="eastAsia" w:ascii="宋体" w:hAnsi="宋体" w:eastAsia="宋体" w:cs="宋体"/>
                <w:color w:val="000000"/>
                <w:sz w:val="22"/>
                <w:szCs w:val="22"/>
                <w:lang w:eastAsia="zh-CN" w:bidi="ar"/>
              </w:rPr>
              <w:t>团队活动</w:t>
            </w:r>
            <w:r>
              <w:rPr>
                <w:rFonts w:hint="eastAsia" w:ascii="宋体" w:hAnsi="宋体" w:eastAsia="宋体" w:cs="宋体"/>
                <w:color w:val="000000"/>
                <w:sz w:val="22"/>
                <w:szCs w:val="22"/>
                <w:lang w:bidi="ar"/>
              </w:rPr>
              <w:t>办理满意度=100%。</w:t>
            </w:r>
          </w:p>
          <w:p w14:paraId="5A2F2B0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②社会公众满意度≥95%。</w:t>
            </w:r>
          </w:p>
        </w:tc>
      </w:tr>
      <w:tr w14:paraId="71CC4514">
        <w:tblPrEx>
          <w:tblCellMar>
            <w:top w:w="0" w:type="dxa"/>
            <w:left w:w="108" w:type="dxa"/>
            <w:bottom w:w="0" w:type="dxa"/>
            <w:right w:w="108" w:type="dxa"/>
          </w:tblCellMar>
        </w:tblPrEx>
        <w:trPr>
          <w:trHeight w:val="560" w:hRule="atLeast"/>
        </w:trPr>
        <w:tc>
          <w:tcPr>
            <w:tcW w:w="1293" w:type="pct"/>
            <w:gridSpan w:val="3"/>
            <w:tcBorders>
              <w:top w:val="single" w:color="000000" w:sz="4" w:space="0"/>
              <w:left w:val="single" w:color="000000" w:sz="4" w:space="0"/>
              <w:bottom w:val="single" w:color="000000" w:sz="4" w:space="0"/>
              <w:right w:val="single" w:color="000000" w:sz="4" w:space="0"/>
            </w:tcBorders>
            <w:noWrap/>
            <w:vAlign w:val="center"/>
          </w:tcPr>
          <w:p w14:paraId="3E7431C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合计</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AA7334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B661DC7">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84</w:t>
            </w:r>
          </w:p>
        </w:tc>
        <w:tc>
          <w:tcPr>
            <w:tcW w:w="269" w:type="pct"/>
            <w:tcBorders>
              <w:top w:val="single" w:color="000000" w:sz="4" w:space="0"/>
              <w:left w:val="single" w:color="000000" w:sz="4" w:space="0"/>
              <w:bottom w:val="single" w:color="000000" w:sz="4" w:space="0"/>
              <w:right w:val="single" w:color="000000" w:sz="4" w:space="0"/>
            </w:tcBorders>
            <w:vAlign w:val="center"/>
          </w:tcPr>
          <w:p w14:paraId="27913AFA">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16</w:t>
            </w:r>
          </w:p>
        </w:tc>
        <w:tc>
          <w:tcPr>
            <w:tcW w:w="820" w:type="pct"/>
            <w:tcBorders>
              <w:top w:val="single" w:color="000000" w:sz="4" w:space="0"/>
              <w:left w:val="single" w:color="000000" w:sz="4" w:space="0"/>
              <w:bottom w:val="single" w:color="000000" w:sz="4" w:space="0"/>
              <w:right w:val="single" w:color="000000" w:sz="4" w:space="0"/>
            </w:tcBorders>
            <w:vAlign w:val="center"/>
          </w:tcPr>
          <w:p w14:paraId="099060F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02E3A20B">
            <w:pPr>
              <w:rPr>
                <w:rFonts w:hint="eastAsia" w:ascii="宋体" w:hAnsi="宋体" w:eastAsia="宋体" w:cs="宋体"/>
                <w:color w:val="000000"/>
                <w:sz w:val="22"/>
                <w:szCs w:val="22"/>
              </w:rPr>
            </w:pPr>
          </w:p>
        </w:tc>
      </w:tr>
    </w:tbl>
    <w:p w14:paraId="58DA7E19">
      <w:pPr>
        <w:pStyle w:val="11"/>
        <w:shd w:val="clear" w:color="auto" w:fill="FFFFFF"/>
        <w:spacing w:beforeAutospacing="0" w:afterAutospacing="0" w:line="450" w:lineRule="atLeast"/>
        <w:rPr>
          <w:rFonts w:hint="eastAsia" w:ascii="仿宋" w:hAnsi="仿宋" w:eastAsia="仿宋" w:cs="仿宋"/>
          <w:color w:val="000000"/>
          <w:sz w:val="32"/>
          <w:szCs w:val="32"/>
          <w:shd w:val="clear" w:color="auto" w:fill="FFFFFF"/>
        </w:rPr>
        <w:sectPr>
          <w:pgSz w:w="16838" w:h="11906" w:orient="landscape"/>
          <w:pgMar w:top="1803" w:right="1440" w:bottom="1803" w:left="1440" w:header="851" w:footer="992" w:gutter="0"/>
          <w:cols w:space="0" w:num="1"/>
          <w:docGrid w:type="lines" w:linePitch="332" w:charSpace="0"/>
        </w:sectPr>
      </w:pPr>
    </w:p>
    <w:p w14:paraId="70139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79" w:name="_Toc18787"/>
      <w:bookmarkStart w:id="180" w:name="_Toc31438"/>
      <w:bookmarkStart w:id="181" w:name="_Toc26985"/>
      <w:bookmarkStart w:id="182" w:name="_Toc31802"/>
      <w:bookmarkStart w:id="183" w:name="_Toc2929"/>
      <w:bookmarkStart w:id="184" w:name="_Toc5327"/>
      <w:r>
        <w:rPr>
          <w:rFonts w:hint="eastAsia" w:ascii="楷体" w:hAnsi="楷体" w:eastAsia="楷体" w:cs="楷体"/>
          <w:b/>
          <w:bCs/>
          <w:sz w:val="32"/>
          <w:szCs w:val="32"/>
        </w:rPr>
        <w:t>（三）评价结果</w:t>
      </w:r>
      <w:bookmarkEnd w:id="179"/>
      <w:bookmarkEnd w:id="180"/>
      <w:bookmarkEnd w:id="181"/>
      <w:bookmarkEnd w:id="182"/>
      <w:bookmarkEnd w:id="183"/>
      <w:bookmarkEnd w:id="184"/>
    </w:p>
    <w:p w14:paraId="3A9BDC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1.绩效评价结果定级</w:t>
      </w:r>
    </w:p>
    <w:p w14:paraId="0876B3C9">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本次绩效评价结果采用综合评分定级的方法，根据项目收集相关资料、项目访谈以及相关的规定与标准，总分值为100分，评价等级</w:t>
      </w:r>
      <w:r>
        <w:rPr>
          <w:rFonts w:hint="eastAsia" w:ascii="仿宋" w:hAnsi="仿宋" w:eastAsia="仿宋" w:cs="仿宋"/>
          <w:color w:val="000000"/>
          <w:sz w:val="32"/>
          <w:szCs w:val="32"/>
          <w:shd w:val="clear" w:color="auto" w:fill="FFFFFF"/>
          <w:lang w:eastAsia="zh-CN"/>
        </w:rPr>
        <w:t>分为</w:t>
      </w:r>
      <w:r>
        <w:rPr>
          <w:rFonts w:hint="eastAsia" w:ascii="仿宋" w:hAnsi="仿宋" w:eastAsia="仿宋" w:cs="仿宋"/>
          <w:color w:val="000000"/>
          <w:sz w:val="32"/>
          <w:szCs w:val="32"/>
          <w:shd w:val="clear" w:color="auto" w:fill="FFFFFF"/>
        </w:rPr>
        <w:t>优秀、良好、中等、较差四档。评价得分高于或等于90分评价为优秀；得分在高于或等于80分小于90分评价为良好；得分高于或等于60分低于80分评价为中等；得分在60分以下评价为较差。</w:t>
      </w:r>
    </w:p>
    <w:p w14:paraId="4CDBD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2.绩效评价结论</w:t>
      </w:r>
    </w:p>
    <w:p w14:paraId="2C06DB11">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部门整体支出绩效评价综合得分</w:t>
      </w:r>
      <w:r>
        <w:rPr>
          <w:rFonts w:hint="eastAsia" w:ascii="仿宋" w:hAnsi="仿宋" w:eastAsia="仿宋" w:cs="仿宋"/>
          <w:color w:val="000000"/>
          <w:sz w:val="32"/>
          <w:szCs w:val="32"/>
          <w:shd w:val="clear" w:color="auto" w:fill="FFFFFF"/>
          <w:lang w:val="en-US" w:eastAsia="zh-CN"/>
        </w:rPr>
        <w:t>84</w:t>
      </w:r>
      <w:r>
        <w:rPr>
          <w:rFonts w:hint="eastAsia" w:ascii="仿宋" w:hAnsi="仿宋" w:eastAsia="仿宋" w:cs="仿宋"/>
          <w:color w:val="000000"/>
          <w:sz w:val="32"/>
          <w:szCs w:val="32"/>
          <w:shd w:val="clear" w:color="auto" w:fill="FFFFFF"/>
        </w:rPr>
        <w:t>分，等级为“</w:t>
      </w:r>
      <w:r>
        <w:rPr>
          <w:rFonts w:hint="eastAsia" w:ascii="仿宋" w:hAnsi="仿宋" w:eastAsia="仿宋" w:cs="仿宋"/>
          <w:color w:val="000000"/>
          <w:sz w:val="32"/>
          <w:szCs w:val="32"/>
          <w:shd w:val="clear" w:color="auto" w:fill="FFFFFF"/>
          <w:lang w:eastAsia="zh-CN"/>
        </w:rPr>
        <w:t>良好</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2024年共青团雁峰区委</w:t>
      </w:r>
      <w:r>
        <w:rPr>
          <w:rFonts w:hint="eastAsia" w:ascii="仿宋" w:hAnsi="仿宋" w:eastAsia="仿宋" w:cs="仿宋"/>
          <w:b/>
          <w:bCs/>
          <w:color w:val="000000"/>
          <w:sz w:val="32"/>
          <w:szCs w:val="32"/>
          <w:shd w:val="clear" w:color="auto" w:fill="FFFFFF"/>
        </w:rPr>
        <w:t>预算调整率</w:t>
      </w:r>
      <w:r>
        <w:rPr>
          <w:rFonts w:hint="eastAsia" w:ascii="仿宋" w:hAnsi="仿宋" w:eastAsia="仿宋" w:cs="仿宋"/>
          <w:b/>
          <w:bCs/>
          <w:color w:val="000000"/>
          <w:sz w:val="32"/>
          <w:szCs w:val="32"/>
          <w:shd w:val="clear" w:color="auto" w:fill="FFFFFF"/>
          <w:lang w:val="en-US" w:eastAsia="zh-CN"/>
        </w:rPr>
        <w:t>60.50%%,预算执行率</w:t>
      </w:r>
      <w:r>
        <w:rPr>
          <w:rFonts w:hint="eastAsia" w:ascii="仿宋" w:hAnsi="仿宋" w:eastAsia="仿宋" w:cs="仿宋"/>
          <w:b/>
          <w:bCs/>
          <w:sz w:val="32"/>
          <w:szCs w:val="32"/>
        </w:rPr>
        <w:t>88.26%</w:t>
      </w:r>
      <w:r>
        <w:rPr>
          <w:rFonts w:hint="eastAsia" w:ascii="仿宋" w:hAnsi="仿宋" w:eastAsia="仿宋" w:cs="仿宋"/>
          <w:b/>
          <w:bCs/>
          <w:color w:val="000000"/>
          <w:sz w:val="32"/>
          <w:szCs w:val="32"/>
          <w:shd w:val="clear" w:color="auto" w:fill="FFFFFF"/>
          <w:lang w:val="en-US" w:eastAsia="zh-CN"/>
        </w:rPr>
        <w:t>,人员控制率</w:t>
      </w:r>
      <w:r>
        <w:rPr>
          <w:rFonts w:hint="eastAsia" w:ascii="仿宋" w:hAnsi="仿宋" w:eastAsia="仿宋" w:cs="仿宋"/>
          <w:b/>
          <w:bCs/>
          <w:sz w:val="32"/>
          <w:szCs w:val="32"/>
          <w:lang w:val="en-US" w:eastAsia="zh-CN"/>
        </w:rPr>
        <w:t>100.00%</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color w:val="000000"/>
          <w:sz w:val="32"/>
          <w:szCs w:val="32"/>
          <w:shd w:val="clear" w:color="auto" w:fill="FFFFFF"/>
        </w:rPr>
        <w:t>在决策、过程、产出和效益四个维度上整体表现良好，资金使用和项目管理取得了预期成效，尤其是在产出成果和效益方面实现了高标准目标。然而，在预算管理、制度执行等过程环节仍存在一些规范性问题，需在后续工作中予以重点关注和改进。</w:t>
      </w:r>
    </w:p>
    <w:p w14:paraId="11B15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85" w:name="_Toc907"/>
      <w:bookmarkStart w:id="186" w:name="_Toc11444"/>
      <w:bookmarkStart w:id="187" w:name="_Toc31727"/>
      <w:bookmarkStart w:id="188" w:name="_Toc18970"/>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bookmarkEnd w:id="185"/>
      <w:bookmarkEnd w:id="186"/>
      <w:bookmarkEnd w:id="187"/>
      <w:bookmarkEnd w:id="188"/>
    </w:p>
    <w:p w14:paraId="3A5E3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89" w:name="_Toc19237"/>
      <w:bookmarkStart w:id="190" w:name="_Toc5624"/>
      <w:bookmarkStart w:id="191" w:name="_Toc17959"/>
      <w:bookmarkStart w:id="192" w:name="_Toc3539"/>
      <w:r>
        <w:rPr>
          <w:rFonts w:hint="eastAsia" w:ascii="楷体" w:hAnsi="楷体" w:eastAsia="楷体" w:cs="楷体"/>
          <w:b/>
          <w:bCs/>
          <w:sz w:val="32"/>
          <w:szCs w:val="32"/>
        </w:rPr>
        <w:t>（一）</w:t>
      </w:r>
      <w:bookmarkEnd w:id="189"/>
      <w:bookmarkEnd w:id="190"/>
      <w:bookmarkStart w:id="193" w:name="_Toc22325"/>
      <w:bookmarkStart w:id="194" w:name="_Toc19103"/>
      <w:bookmarkStart w:id="195" w:name="_Toc13504"/>
      <w:bookmarkStart w:id="196" w:name="_Toc5697"/>
      <w:r>
        <w:rPr>
          <w:rFonts w:hint="eastAsia" w:ascii="楷体" w:hAnsi="楷体" w:eastAsia="楷体" w:cs="楷体"/>
          <w:b/>
          <w:bCs/>
          <w:sz w:val="32"/>
          <w:szCs w:val="32"/>
        </w:rPr>
        <w:t>预算配置与执行方面存在的问题及建议</w:t>
      </w:r>
      <w:bookmarkEnd w:id="191"/>
    </w:p>
    <w:bookmarkEnd w:id="192"/>
    <w:p w14:paraId="11DCB424">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1.未提供</w:t>
      </w:r>
      <w:r>
        <w:rPr>
          <w:rFonts w:hint="eastAsia" w:ascii="仿宋" w:hAnsi="仿宋" w:eastAsia="仿宋" w:cs="仿宋"/>
          <w:b/>
          <w:bCs/>
          <w:sz w:val="32"/>
          <w:szCs w:val="32"/>
        </w:rPr>
        <w:t>绩效目标</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共青团雁峰区委</w:t>
      </w:r>
      <w:r>
        <w:rPr>
          <w:rFonts w:hint="eastAsia" w:ascii="仿宋" w:hAnsi="仿宋" w:eastAsia="仿宋" w:cs="仿宋"/>
          <w:sz w:val="32"/>
          <w:szCs w:val="32"/>
        </w:rPr>
        <w:t>未提供整体绩效目标、整体绩效自评基础数据表</w:t>
      </w:r>
      <w:r>
        <w:rPr>
          <w:rFonts w:hint="eastAsia" w:ascii="仿宋" w:hAnsi="仿宋" w:eastAsia="仿宋" w:cs="仿宋"/>
          <w:sz w:val="32"/>
          <w:szCs w:val="32"/>
          <w:lang w:eastAsia="zh-CN"/>
        </w:rPr>
        <w:t>。</w:t>
      </w:r>
    </w:p>
    <w:p w14:paraId="218696F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违反了《中共中央 国务院关于全面实施预算绩效管理的意见》第七条“强化绩效目标管理。各地区各部门编制预算时要贯彻落实党中央、国务院各项决策部署，分解细化各项工作要求，结合本地区本部门实际情况，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w:t>
      </w:r>
      <w:r>
        <w:rPr>
          <w:rFonts w:hint="eastAsia" w:ascii="仿宋" w:hAnsi="仿宋" w:eastAsia="仿宋" w:cs="仿宋"/>
          <w:b w:val="0"/>
          <w:bCs w:val="0"/>
          <w:sz w:val="32"/>
          <w:szCs w:val="32"/>
          <w:lang w:eastAsia="zh-CN"/>
        </w:rPr>
        <w:t>的规定</w:t>
      </w:r>
      <w:r>
        <w:rPr>
          <w:rFonts w:hint="eastAsia" w:ascii="仿宋" w:hAnsi="仿宋" w:eastAsia="仿宋" w:cs="仿宋"/>
          <w:sz w:val="32"/>
          <w:szCs w:val="32"/>
          <w:lang w:eastAsia="zh-CN"/>
        </w:rPr>
        <w:t>。</w:t>
      </w:r>
    </w:p>
    <w:p w14:paraId="6DA3C634">
      <w:pPr>
        <w:pStyle w:val="3"/>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bidi="ar"/>
        </w:rPr>
        <w:t>加强绩效管理理念，提高绩效管理水平。</w:t>
      </w:r>
      <w:r>
        <w:rPr>
          <w:rFonts w:hint="eastAsia" w:ascii="仿宋" w:hAnsi="仿宋" w:eastAsia="仿宋" w:cs="仿宋"/>
          <w:b w:val="0"/>
          <w:bCs w:val="0"/>
          <w:sz w:val="32"/>
          <w:szCs w:val="32"/>
        </w:rPr>
        <w:t>根据预算绩效管理的有关文件，结合部门职能职责、</w:t>
      </w:r>
      <w:r>
        <w:rPr>
          <w:rFonts w:hint="eastAsia" w:ascii="仿宋" w:hAnsi="仿宋" w:eastAsia="仿宋" w:cs="仿宋"/>
          <w:sz w:val="32"/>
          <w:szCs w:val="32"/>
        </w:rPr>
        <w:t>年度重点</w:t>
      </w:r>
      <w:r>
        <w:rPr>
          <w:rFonts w:hint="eastAsia" w:ascii="仿宋" w:hAnsi="仿宋" w:eastAsia="仿宋" w:cs="仿宋"/>
          <w:sz w:val="32"/>
          <w:szCs w:val="32"/>
          <w:lang w:eastAsia="zh-CN"/>
        </w:rPr>
        <w:t>工作</w:t>
      </w:r>
      <w:r>
        <w:rPr>
          <w:rFonts w:hint="eastAsia" w:ascii="仿宋" w:hAnsi="仿宋" w:eastAsia="仿宋" w:cs="仿宋"/>
          <w:sz w:val="32"/>
          <w:szCs w:val="32"/>
        </w:rPr>
        <w:t>科学合理制定部门整体绩效目标；将部门整体的绩效目标细化分解为具体的工作任务，从数量、质量、成本和时效等方面通过设定清晰、可衡量的绩效指标予以体现。此外还需建立全过程预算绩效管理链条，将绩效理念和方法深度</w:t>
      </w:r>
      <w:r>
        <w:rPr>
          <w:rFonts w:hint="eastAsia" w:ascii="仿宋" w:hAnsi="仿宋" w:eastAsia="仿宋" w:cs="仿宋"/>
          <w:sz w:val="32"/>
          <w:szCs w:val="32"/>
          <w:lang w:eastAsia="zh-CN"/>
        </w:rPr>
        <w:t>融入</w:t>
      </w:r>
      <w:r>
        <w:rPr>
          <w:rFonts w:hint="eastAsia" w:ascii="仿宋" w:hAnsi="仿宋" w:eastAsia="仿宋" w:cs="仿宋"/>
          <w:sz w:val="32"/>
          <w:szCs w:val="32"/>
        </w:rPr>
        <w:t>预算编制、执行、监督全过程，构建事前、事中、事后绩效管理的闭环系统。</w:t>
      </w:r>
    </w:p>
    <w:bookmarkEnd w:id="193"/>
    <w:bookmarkEnd w:id="194"/>
    <w:bookmarkEnd w:id="195"/>
    <w:bookmarkEnd w:id="196"/>
    <w:p w14:paraId="3A1E8D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bookmarkStart w:id="197" w:name="_Toc26064"/>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未提供以下管理制度</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共青团雁峰区委</w:t>
      </w:r>
      <w:r>
        <w:rPr>
          <w:rFonts w:hint="eastAsia" w:ascii="仿宋" w:hAnsi="仿宋" w:eastAsia="仿宋" w:cs="仿宋"/>
          <w:sz w:val="32"/>
          <w:szCs w:val="32"/>
        </w:rPr>
        <w:t>未提供预算管理制度，内部控制制度，政府采购管理制度，国有资产管理制度，合同管理制度，专项资金管理办法，绩效管理制度，信息化管理制度，决算与财务报告制度，监督与审计制度</w:t>
      </w:r>
      <w:r>
        <w:rPr>
          <w:rFonts w:hint="eastAsia" w:ascii="仿宋" w:hAnsi="仿宋" w:eastAsia="仿宋" w:cs="仿宋"/>
          <w:sz w:val="32"/>
          <w:szCs w:val="32"/>
          <w:lang w:eastAsia="zh-CN"/>
        </w:rPr>
        <w:t>、工会管理制度</w:t>
      </w:r>
      <w:r>
        <w:rPr>
          <w:rFonts w:hint="eastAsia" w:ascii="仿宋" w:hAnsi="仿宋" w:eastAsia="仿宋" w:cs="仿宋"/>
          <w:sz w:val="32"/>
          <w:szCs w:val="32"/>
        </w:rPr>
        <w:t>等。</w:t>
      </w:r>
    </w:p>
    <w:p w14:paraId="04AF1D7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违反了《中华人民共和国会计法》第二十五条“各单位应当建立、健全本单位内部会计监督制度，并将其纳入本单位内部控制制度”的规定。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p>
    <w:p w14:paraId="0DC15B7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rPr>
        <w:t>完善以下关键制度，确保预算编制、执行、监督和绩效管理的全面规范。</w:t>
      </w:r>
      <w:r>
        <w:rPr>
          <w:rFonts w:hint="eastAsia" w:ascii="仿宋" w:hAnsi="仿宋" w:eastAsia="仿宋" w:cs="仿宋"/>
          <w:sz w:val="32"/>
          <w:szCs w:val="32"/>
        </w:rPr>
        <w:t>补充预算管理制度，内部控制制度，政府采购管理制度，国有资产管理制度，合同管理制度，专项资金管理办法，绩效管理制度，信息化管理制度，决算与财务报告制度，监督与审计制度，监督与审计制度等。</w:t>
      </w:r>
    </w:p>
    <w:p w14:paraId="57B96E4A">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3.存在基本支出挤占项目支出的情况</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z w:val="32"/>
          <w:szCs w:val="32"/>
          <w:lang w:val="en-US" w:eastAsia="zh-CN"/>
        </w:rPr>
        <w:t>如1月2号凭证占用项目支出支付团区委在职人员2023年医保铺底21,197.00元，10月2号凭证占用项目支出支付团区委决算、财务报告、财务费用7,344.00元，12月5号凭证占用项目支出支付团区委2024年铺底费用27,577.00元，12月17号凭证占用项目支出支付2024年核算云和财务费用8,684.00元等</w:t>
      </w:r>
      <w:r>
        <w:rPr>
          <w:rFonts w:hint="eastAsia" w:ascii="仿宋" w:hAnsi="仿宋" w:eastAsia="仿宋" w:cs="仿宋"/>
          <w:b w:val="0"/>
          <w:bCs w:val="0"/>
          <w:sz w:val="32"/>
          <w:szCs w:val="32"/>
          <w:lang w:val="en-US" w:eastAsia="zh-CN"/>
        </w:rPr>
        <w:t>。</w:t>
      </w:r>
    </w:p>
    <w:p w14:paraId="7D4D643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混用。将项目资金用于基本支出，相当于篡改了经法律程序批准的预算案，违反了预算的刚性约束原则。</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eastAsia="zh-CN"/>
        </w:rPr>
        <w:t>相关政策3：</w:t>
      </w:r>
      <w:r>
        <w:rPr>
          <w:rFonts w:hint="eastAsia" w:ascii="仿宋" w:hAnsi="仿宋" w:eastAsia="仿宋" w:cs="仿宋"/>
          <w:b w:val="0"/>
          <w:bCs w:val="0"/>
          <w:sz w:val="32"/>
          <w:szCs w:val="32"/>
          <w:lang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eastAsia="zh-CN"/>
        </w:rPr>
        <w:t>原因分析如下：一是基本支出保障不足。</w:t>
      </w:r>
      <w:r>
        <w:rPr>
          <w:rFonts w:hint="eastAsia" w:ascii="仿宋" w:hAnsi="仿宋" w:eastAsia="仿宋" w:cs="仿宋"/>
          <w:b w:val="0"/>
          <w:bCs w:val="0"/>
          <w:sz w:val="32"/>
          <w:szCs w:val="32"/>
          <w:lang w:eastAsia="zh-CN"/>
        </w:rPr>
        <w:t>最常见的根源。编制内人员经费和公用经费定额标准偏低，无法覆盖实际运行成本，“钱不够花”。</w:t>
      </w:r>
      <w:r>
        <w:rPr>
          <w:rFonts w:hint="eastAsia" w:ascii="仿宋" w:hAnsi="仿宋" w:eastAsia="仿宋" w:cs="仿宋"/>
          <w:b/>
          <w:bCs/>
          <w:sz w:val="32"/>
          <w:szCs w:val="32"/>
          <w:lang w:eastAsia="zh-CN"/>
        </w:rPr>
        <w:t>二是预算编制不科学。</w:t>
      </w:r>
      <w:r>
        <w:rPr>
          <w:rFonts w:hint="eastAsia" w:ascii="仿宋" w:hAnsi="仿宋" w:eastAsia="仿宋" w:cs="仿宋"/>
          <w:b w:val="0"/>
          <w:bCs w:val="0"/>
          <w:sz w:val="32"/>
          <w:szCs w:val="32"/>
          <w:lang w:eastAsia="zh-CN"/>
        </w:rPr>
        <w:t>项目支出预算相比基本支出更容易获批，且预算额度可能更宽松。</w:t>
      </w:r>
      <w:r>
        <w:rPr>
          <w:rFonts w:hint="eastAsia" w:ascii="仿宋" w:hAnsi="仿宋" w:eastAsia="仿宋" w:cs="仿宋"/>
          <w:b/>
          <w:bCs/>
          <w:sz w:val="32"/>
          <w:szCs w:val="32"/>
          <w:lang w:eastAsia="zh-CN"/>
        </w:rPr>
        <w:t>三是内部控制薄弱。</w:t>
      </w:r>
      <w:r>
        <w:rPr>
          <w:rFonts w:hint="eastAsia" w:ascii="仿宋" w:hAnsi="仿宋" w:eastAsia="仿宋" w:cs="仿宋"/>
          <w:b w:val="0"/>
          <w:bCs w:val="0"/>
          <w:sz w:val="32"/>
          <w:szCs w:val="32"/>
          <w:lang w:eastAsia="zh-CN"/>
        </w:rPr>
        <w:t>单位内部财务管理制度不健全，审批流程形同虚设，财务人员监督乏力。</w:t>
      </w:r>
    </w:p>
    <w:p w14:paraId="56E59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解决基本支出挤占项目支出现象需要顶层设计（财政保障）、过程监管（技术+人工）和单位自律（内控+观念）三管齐下，从“堵后门”和“开前门”两个方向入手，既要严厉禁止，也要疏导根源，从根本上遏制这一现象，确保财政资金的安全、规范和有效使用。</w:t>
      </w:r>
      <w:r>
        <w:rPr>
          <w:rFonts w:hint="eastAsia" w:ascii="仿宋" w:hAnsi="仿宋" w:eastAsia="仿宋" w:cs="仿宋"/>
          <w:b/>
          <w:bCs/>
          <w:sz w:val="32"/>
          <w:szCs w:val="32"/>
          <w:lang w:eastAsia="zh-CN"/>
        </w:rPr>
        <w:t>一是强化预算编制与审核，</w:t>
      </w:r>
      <w:r>
        <w:rPr>
          <w:rFonts w:hint="eastAsia" w:ascii="仿宋" w:hAnsi="仿宋" w:eastAsia="仿宋" w:cs="仿宋"/>
          <w:b w:val="0"/>
          <w:bCs w:val="0"/>
          <w:sz w:val="32"/>
          <w:szCs w:val="32"/>
          <w:lang w:eastAsia="zh-CN"/>
        </w:rPr>
        <w:t>从源头杜绝“可能性”。A科学核定基本支出。建立动态调整机制，使人员经费和公用经费定额标准更加贴合实际，确保机构正常运转的合理需求。B严格项目库管理。推行“项目入库、预算编细、滚动管理”。在预算编制阶段，组织专家对项目的必要性、可行性、预算合理性进行严格评审，剔除项目中隐含的“人员费”、“运转费”等不属于项目开支范围的内容。C推广“零基预算”理念。打破“基数+增长”的预算模式，每年根据实际需求和绩效目标重新审核所有支出，避免不合理支出的固化。</w:t>
      </w:r>
      <w:r>
        <w:rPr>
          <w:rFonts w:hint="eastAsia" w:ascii="仿宋" w:hAnsi="仿宋" w:eastAsia="仿宋" w:cs="仿宋"/>
          <w:b/>
          <w:bCs/>
          <w:sz w:val="32"/>
          <w:szCs w:val="32"/>
          <w:lang w:eastAsia="zh-CN"/>
        </w:rPr>
        <w:t>二是加强执行监控与预警，</w:t>
      </w:r>
      <w:r>
        <w:rPr>
          <w:rFonts w:hint="eastAsia" w:ascii="仿宋" w:hAnsi="仿宋" w:eastAsia="仿宋" w:cs="仿宋"/>
          <w:b w:val="0"/>
          <w:bCs w:val="0"/>
          <w:sz w:val="32"/>
          <w:szCs w:val="32"/>
          <w:lang w:eastAsia="zh-CN"/>
        </w:rPr>
        <w:t>从事中“早发现”。A利用技术手段。在预算管理一体化系统中设置预警规则。当单位账务中出现“项目支出－人员经费”等敏感科目时，系统自动报警并推送至财政和主管部门。B实施重点监控。对曾有违规记录或风险较高的单位，以及金额重大的项目进行重点监控和动态跟踪。</w:t>
      </w:r>
      <w:r>
        <w:rPr>
          <w:rFonts w:hint="eastAsia" w:ascii="仿宋" w:hAnsi="仿宋" w:eastAsia="仿宋" w:cs="仿宋"/>
          <w:b/>
          <w:bCs/>
          <w:sz w:val="32"/>
          <w:szCs w:val="32"/>
          <w:lang w:eastAsia="zh-CN"/>
        </w:rPr>
        <w:t>三是树立正确的预算绩效观念。</w:t>
      </w:r>
      <w:r>
        <w:rPr>
          <w:rFonts w:hint="eastAsia" w:ascii="仿宋" w:hAnsi="仿宋" w:eastAsia="仿宋" w:cs="仿宋"/>
          <w:b w:val="0"/>
          <w:bCs w:val="0"/>
          <w:sz w:val="32"/>
          <w:szCs w:val="32"/>
          <w:lang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eastAsia="zh-CN"/>
        </w:rPr>
        <w:t>四是健全内部控制系统。</w:t>
      </w:r>
      <w:r>
        <w:rPr>
          <w:rFonts w:hint="eastAsia" w:ascii="仿宋" w:hAnsi="仿宋" w:eastAsia="仿宋" w:cs="仿宋"/>
          <w:b w:val="0"/>
          <w:bCs w:val="0"/>
          <w:sz w:val="32"/>
          <w:szCs w:val="32"/>
          <w:lang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eastAsia="zh-CN"/>
        </w:rPr>
        <w:t>五是提高预算编制科学性。</w:t>
      </w:r>
      <w:r>
        <w:rPr>
          <w:rFonts w:hint="eastAsia" w:ascii="仿宋" w:hAnsi="仿宋" w:eastAsia="仿宋" w:cs="仿宋"/>
          <w:b w:val="0"/>
          <w:bCs w:val="0"/>
          <w:sz w:val="32"/>
          <w:szCs w:val="32"/>
          <w:lang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eastAsia="zh-CN"/>
        </w:rPr>
        <w:t>六是主动报告与沟通。</w:t>
      </w:r>
      <w:r>
        <w:rPr>
          <w:rFonts w:hint="eastAsia" w:ascii="仿宋" w:hAnsi="仿宋" w:eastAsia="仿宋" w:cs="仿宋"/>
          <w:b w:val="0"/>
          <w:bCs w:val="0"/>
          <w:sz w:val="32"/>
          <w:szCs w:val="32"/>
          <w:lang w:eastAsia="zh-CN"/>
        </w:rPr>
        <w:t>如果确实因政策性因素等导致基本支出出现巨大缺口，应通过正式渠道向财政和主管部门申请调整预算或追加经费。</w:t>
      </w:r>
      <w:bookmarkEnd w:id="197"/>
    </w:p>
    <w:p w14:paraId="5585E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color w:val="0000FF"/>
          <w:sz w:val="32"/>
          <w:szCs w:val="32"/>
          <w:lang w:val="en-US" w:eastAsia="zh-CN"/>
        </w:rPr>
      </w:pPr>
      <w:bookmarkStart w:id="198" w:name="_Toc17163"/>
      <w:r>
        <w:rPr>
          <w:rFonts w:hint="eastAsia" w:ascii="楷体" w:hAnsi="楷体" w:eastAsia="楷体" w:cs="楷体"/>
          <w:b/>
          <w:bCs/>
          <w:sz w:val="32"/>
          <w:szCs w:val="32"/>
          <w:lang w:val="en-US" w:eastAsia="zh-CN"/>
        </w:rPr>
        <w:t>（二）管理程序方面存在的问题及建议</w:t>
      </w:r>
      <w:bookmarkEnd w:id="198"/>
    </w:p>
    <w:p w14:paraId="4ACDD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bidi="ar-SA"/>
        </w:rPr>
        <w:t>1.付款</w:t>
      </w:r>
      <w:r>
        <w:rPr>
          <w:rFonts w:hint="eastAsia" w:ascii="仿宋" w:hAnsi="仿宋" w:eastAsia="仿宋" w:cs="仿宋"/>
          <w:b/>
          <w:bCs/>
          <w:sz w:val="32"/>
          <w:szCs w:val="32"/>
          <w:lang w:eastAsia="zh-CN"/>
        </w:rPr>
        <w:t>单据审核不严谨，支付手续及附件不全：</w:t>
      </w:r>
      <w:r>
        <w:rPr>
          <w:rFonts w:hint="eastAsia" w:ascii="仿宋" w:hAnsi="仿宋" w:eastAsia="仿宋" w:cs="仿宋"/>
          <w:b w:val="0"/>
          <w:bCs w:val="0"/>
          <w:sz w:val="32"/>
          <w:szCs w:val="32"/>
          <w:lang w:eastAsia="zh-CN"/>
        </w:rPr>
        <w:t>如</w:t>
      </w:r>
      <w:r>
        <w:rPr>
          <w:rFonts w:hint="eastAsia" w:ascii="仿宋" w:hAnsi="仿宋" w:eastAsia="仿宋" w:cs="仿宋"/>
          <w:b w:val="0"/>
          <w:bCs w:val="0"/>
          <w:sz w:val="32"/>
          <w:szCs w:val="32"/>
          <w:lang w:val="en-US" w:eastAsia="zh-CN"/>
        </w:rPr>
        <w:t>1月1号凭证雁峰区2月份统发工资少10,169.00元的《工资发放明细表》。如5月8号凭证支付禁毒视频制作费用6,000.00元，验收单无签字。如12月1号凭证雁峰区12月份统发工资10,500.00元少《国库集中支付凭证》的附件等。</w:t>
      </w:r>
    </w:p>
    <w:p w14:paraId="795F2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违反了《共青团雁峰区委财务管理制度》“</w:t>
      </w:r>
      <w:r>
        <w:rPr>
          <w:rFonts w:hint="eastAsia" w:ascii="仿宋" w:hAnsi="仿宋" w:eastAsia="仿宋" w:cs="仿宋"/>
          <w:sz w:val="32"/>
          <w:szCs w:val="32"/>
        </w:rPr>
        <w:t>第三条各项经费必须坚持计划、预算、审批使用程序。机关一切费用开支应符合财务制度和国家相关规定。第四条经费报销严格执行资金支付审批制度。一切费用支出、款项划拨必须先由经办人签字并注明事由及用途，经财务审核，报主要领导审批后方可支付。</w:t>
      </w:r>
      <w:r>
        <w:rPr>
          <w:rFonts w:hint="eastAsia" w:ascii="仿宋" w:hAnsi="仿宋" w:eastAsia="仿宋" w:cs="仿宋"/>
          <w:sz w:val="32"/>
          <w:szCs w:val="32"/>
          <w:lang w:val="en-US" w:eastAsia="zh-CN"/>
        </w:rPr>
        <w:t>”的规定。</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eastAsia="zh-CN"/>
        </w:rPr>
        <w:t>违反了《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p>
    <w:p w14:paraId="73A8FD0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eastAsia="zh-CN"/>
        </w:rPr>
        <w:t>实行财务审核“一票否决制”，赋予财务人员明确的审核权，对票据不合规、审批不完整、事由不清晰、附件不齐全的单据，有权予以退回，不予办理支付。加强财务人员培训：定期对财务人员和业务经办人员进行培训，重点讲解常见票据问题、内控要求和报销流程，提升全员的财务合规意识。</w:t>
      </w:r>
    </w:p>
    <w:p w14:paraId="4F25B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color w:val="auto"/>
          <w:sz w:val="32"/>
          <w:szCs w:val="32"/>
        </w:rPr>
        <w:t>不相容职责未分离</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如</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号凭证</w:t>
      </w:r>
      <w:r>
        <w:rPr>
          <w:rFonts w:hint="eastAsia" w:ascii="仿宋" w:hAnsi="仿宋" w:eastAsia="仿宋" w:cs="仿宋"/>
          <w:color w:val="auto"/>
          <w:sz w:val="32"/>
          <w:szCs w:val="32"/>
          <w:lang w:eastAsia="zh-CN"/>
        </w:rPr>
        <w:t>支付制作二星章、宣传物料费用</w:t>
      </w:r>
      <w:r>
        <w:rPr>
          <w:rFonts w:hint="eastAsia" w:ascii="仿宋" w:hAnsi="仿宋" w:eastAsia="仿宋" w:cs="仿宋"/>
          <w:color w:val="auto"/>
          <w:sz w:val="32"/>
          <w:szCs w:val="32"/>
          <w:lang w:val="en-US" w:eastAsia="zh-CN"/>
        </w:rPr>
        <w:t>7,115.00元的验收人</w:t>
      </w:r>
      <w:r>
        <w:rPr>
          <w:rFonts w:hint="eastAsia" w:ascii="仿宋" w:hAnsi="仿宋" w:eastAsia="仿宋" w:cs="仿宋"/>
          <w:color w:val="auto"/>
          <w:sz w:val="32"/>
          <w:szCs w:val="32"/>
          <w:lang w:eastAsia="zh-CN"/>
        </w:rPr>
        <w:t>、经办人、制单人为同一人，证明人和会计主管为同一人。</w:t>
      </w:r>
      <w:r>
        <w:rPr>
          <w:rFonts w:hint="eastAsia" w:ascii="仿宋" w:hAnsi="仿宋" w:eastAsia="仿宋" w:cs="仿宋"/>
          <w:color w:val="auto"/>
          <w:sz w:val="32"/>
          <w:szCs w:val="32"/>
          <w:lang w:val="en-US" w:eastAsia="zh-CN"/>
        </w:rPr>
        <w:t>6月6号凭证支付五四活动、高考志愿服务活动费用7,748.00元</w:t>
      </w:r>
      <w:r>
        <w:rPr>
          <w:rFonts w:hint="eastAsia" w:ascii="仿宋" w:hAnsi="仿宋" w:eastAsia="仿宋" w:cs="仿宋"/>
          <w:color w:val="auto"/>
          <w:sz w:val="32"/>
          <w:szCs w:val="32"/>
          <w:lang w:eastAsia="zh-CN"/>
        </w:rPr>
        <w:t>经办人、制单人为</w:t>
      </w:r>
      <w:r>
        <w:rPr>
          <w:rFonts w:hint="eastAsia" w:ascii="仿宋" w:hAnsi="仿宋" w:eastAsia="仿宋" w:cs="仿宋"/>
          <w:color w:val="auto"/>
          <w:sz w:val="32"/>
          <w:szCs w:val="32"/>
        </w:rPr>
        <w:t>同一人</w:t>
      </w:r>
      <w:r>
        <w:rPr>
          <w:rFonts w:hint="eastAsia" w:ascii="仿宋" w:hAnsi="仿宋" w:eastAsia="仿宋" w:cs="仿宋"/>
          <w:color w:val="auto"/>
          <w:sz w:val="32"/>
          <w:szCs w:val="32"/>
          <w:lang w:eastAsia="zh-CN"/>
        </w:rPr>
        <w:t>、证明人和会计主管为同一人等</w:t>
      </w:r>
      <w:r>
        <w:rPr>
          <w:rFonts w:hint="eastAsia" w:ascii="仿宋" w:hAnsi="仿宋" w:eastAsia="仿宋" w:cs="仿宋"/>
          <w:color w:val="auto"/>
          <w:sz w:val="32"/>
          <w:szCs w:val="32"/>
        </w:rPr>
        <w:t>。</w:t>
      </w:r>
    </w:p>
    <w:p w14:paraId="50F9F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违反了《中华人民共和国会计法》违反了第二十五条“记账人员与经济业务事项和会计事项的审批人员、经办人员、财物保管人员的职责权限应当明确，并相互分离、相互制约”的规定。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违反了《行政事业单位内部控制规范（试行）》第十二条“单位内部控制的控制方法，不相容岗位相互分离、内部授权审批控制、归口管理、归口管理、会计控制、单据控制等”的规定。</w:t>
      </w:r>
    </w:p>
    <w:p w14:paraId="7B27668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因人员编制受客观限制，无法达到理想的岗位分离，那么可以采取以下“补偿性控制措施”来最大限度降低风险，确保资金安全。强化上级审批环节（最关键）。将审批权限上移。团组织的负责人（书记）作为经办人/制单人的直接上级，必须对每一笔报销进行实质性、严格的审核，并在报销单上明确签署审批意见。这是最重要的外部监督。如果团组织负责人就是经办人本人，那么可以由分管共青团工作的党组织领导（如党委副书记、党委委员）或上级团工委负责人进行最终审批。绝对不能自己审批自己的报销。</w:t>
      </w:r>
    </w:p>
    <w:p w14:paraId="2D227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bidi="ar-SA"/>
        </w:rPr>
        <w:t>3.未支付工会经费，</w:t>
      </w:r>
      <w:r>
        <w:rPr>
          <w:rFonts w:hint="eastAsia" w:ascii="仿宋" w:hAnsi="仿宋" w:eastAsia="仿宋" w:cs="仿宋"/>
          <w:b/>
          <w:bCs/>
          <w:color w:val="auto"/>
          <w:sz w:val="32"/>
          <w:szCs w:val="32"/>
          <w:lang w:val="en-US" w:eastAsia="zh-CN"/>
        </w:rPr>
        <w:t>混淆了工会经费和对工会补助的界限：</w:t>
      </w:r>
      <w:r>
        <w:rPr>
          <w:rFonts w:hint="eastAsia" w:ascii="仿宋" w:hAnsi="仿宋" w:eastAsia="仿宋" w:cs="仿宋"/>
          <w:b w:val="0"/>
          <w:bCs w:val="0"/>
          <w:color w:val="auto"/>
          <w:sz w:val="32"/>
          <w:szCs w:val="32"/>
          <w:lang w:val="en-US" w:eastAsia="zh-CN"/>
        </w:rPr>
        <w:t>如1月3号凭证拨付团区委2024年度工会行政补助15,700.00元。如8月8号凭证支付联合工会做账费用1,440.00元，附件依据为《关于经费行政补助的请示报告》和《国库集中支付凭证》。如12月7号凭证支付2025年工会行政费用，支付25年补助15,800.00元（经询问回复，因部门预算少，所以提前将2025年的工会补助支付）。</w:t>
      </w:r>
    </w:p>
    <w:p w14:paraId="615730D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val="en-US" w:eastAsia="zh-CN"/>
        </w:rPr>
        <w:t>违反了《中华人民共和国工会法》的规定，建立工会组织的企业、事业单位、机关按每月全部职工工资总额的2%向工会拨缴的经费。这是单位必须履行的法律义务。</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val="en-US" w:eastAsia="zh-CN"/>
        </w:rPr>
        <w:t>违反了</w:t>
      </w:r>
      <w:r>
        <w:rPr>
          <w:rFonts w:hint="eastAsia" w:ascii="仿宋" w:hAnsi="仿宋" w:eastAsia="仿宋" w:cs="仿宋"/>
          <w:sz w:val="32"/>
          <w:szCs w:val="32"/>
          <w:lang w:eastAsia="zh-CN"/>
        </w:rPr>
        <w:t>湖南省总工会关于印发《湖南省基层工会经费收支管理实施细则》的通知的规定，第二十条 “基层工会必须严格按照制度规定，加强财务管理，规范财务行为：要单独开设工会银行账户，实行独立核算， 本细则规定的工会经费开支项目只准在工会经费账户内列支”。</w:t>
      </w:r>
    </w:p>
    <w:p w14:paraId="59D30C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一是对此笔已发生的支出，建议进行账务调整。二分渠道核算，在财务账套中设立不同的会计科目来核算这两笔支出。三是分预算列支，在编制预算时，就为“工会经费”和“工会补助”申请不同的预算项目和资金来源。</w:t>
      </w:r>
    </w:p>
    <w:p w14:paraId="56FCCF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资产管理不规范</w:t>
      </w:r>
      <w:r>
        <w:rPr>
          <w:rFonts w:hint="eastAsia" w:ascii="仿宋" w:hAnsi="仿宋" w:eastAsia="仿宋" w:cs="仿宋"/>
          <w:b/>
          <w:bCs/>
          <w:sz w:val="32"/>
          <w:szCs w:val="32"/>
          <w:lang w:eastAsia="zh-CN"/>
        </w:rPr>
        <w:t>：一</w:t>
      </w:r>
      <w:r>
        <w:rPr>
          <w:rFonts w:hint="eastAsia" w:ascii="仿宋" w:hAnsi="仿宋" w:eastAsia="仿宋" w:cs="仿宋"/>
          <w:b w:val="0"/>
          <w:bCs w:val="0"/>
          <w:sz w:val="32"/>
          <w:szCs w:val="32"/>
          <w:lang w:val="en-US" w:eastAsia="zh-CN"/>
        </w:rPr>
        <w:t>是未标识使用状态、存放地点及使用人，部分未标识使用部门。资产要素有待完善</w:t>
      </w:r>
      <w:r>
        <w:rPr>
          <w:rFonts w:hint="eastAsia" w:ascii="仿宋" w:hAnsi="仿宋" w:eastAsia="仿宋" w:cs="仿宋"/>
          <w:b w:val="0"/>
          <w:bCs w:val="0"/>
          <w:sz w:val="32"/>
          <w:szCs w:val="32"/>
          <w:lang w:eastAsia="zh-CN"/>
        </w:rPr>
        <w:t>。二是未定期盘点固定资产。</w:t>
      </w:r>
    </w:p>
    <w:p w14:paraId="3B7D78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bidi="ar"/>
        </w:rPr>
        <w:t>：</w:t>
      </w:r>
      <w:r>
        <w:rPr>
          <w:rFonts w:hint="eastAsia" w:ascii="仿宋" w:hAnsi="仿宋" w:eastAsia="仿宋" w:cs="仿宋"/>
          <w:b w:val="0"/>
          <w:bCs w:val="0"/>
          <w:sz w:val="32"/>
          <w:szCs w:val="32"/>
          <w:lang w:val="en-US" w:eastAsia="zh-CN" w:bidi="ar"/>
        </w:rPr>
        <w:t>违反了《行政事业性国有资产管理条例》第三十三条“各部门及其所属单位应当明确资产的维护、保养、维修的岗位责任。因使用不当或者维护、保养、维修不及时造成资产损失的，应当依法承担责任”的规定。违反了第三十四条“各部门及其所属单位应当定期或者不定期对资产进行盘点、对账。出现资产盘盈盘亏的，应当按照财务、会计和资产管理制度有关规定处理，做到账实相符和账账相符”的规定。</w:t>
      </w:r>
    </w:p>
    <w:p w14:paraId="0DDD353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
        </w:rPr>
        <w:t>建议：</w:t>
      </w:r>
      <w:r>
        <w:rPr>
          <w:rFonts w:hint="eastAsia" w:ascii="仿宋" w:hAnsi="仿宋" w:eastAsia="仿宋" w:cs="仿宋"/>
          <w:b w:val="0"/>
          <w:bCs w:val="0"/>
          <w:sz w:val="32"/>
          <w:szCs w:val="32"/>
          <w:lang w:bidi="ar"/>
        </w:rPr>
        <w:t>完善资产管理办法，加强资产管理</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rPr>
        <w:t>为</w:t>
      </w:r>
      <w:r>
        <w:rPr>
          <w:rFonts w:hint="eastAsia" w:ascii="仿宋" w:hAnsi="仿宋" w:eastAsia="仿宋" w:cs="仿宋"/>
          <w:sz w:val="32"/>
          <w:szCs w:val="32"/>
        </w:rPr>
        <w:t>提高资产管理水平，一是完善固定资产管理制度，按制度规范管理固定资产；二是加强固定资产的核算工作。登记固定资产卡片，明确固定资产使用部门，责任人员；三是加强对财务人员、固定资产管理人员的培训，规范财务管理行为，认真落实固定资产管理，确保账账相符、账卡相符、账实相符，避免资产漏记账、多入账、不及时核销等问题；四是加强固定资产实物盘点。认真执行固定资产盘点制度，通过定期或不定期盘点，对发现的账实不符问题，及时查明原因并进行处理。</w:t>
      </w:r>
    </w:p>
    <w:p w14:paraId="1CF52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bidi="ar-SA"/>
        </w:rPr>
      </w:pPr>
      <w:bookmarkStart w:id="199" w:name="_Toc16466"/>
      <w:bookmarkStart w:id="200" w:name="_Toc19084"/>
      <w:r>
        <w:rPr>
          <w:rFonts w:hint="eastAsia" w:ascii="仿宋" w:hAnsi="仿宋" w:eastAsia="仿宋" w:cs="仿宋"/>
          <w:b/>
          <w:bCs/>
          <w:sz w:val="32"/>
          <w:szCs w:val="32"/>
          <w:lang w:val="en-US" w:eastAsia="zh-CN" w:bidi="ar-SA"/>
        </w:rPr>
        <w:t>5.食堂餐费支付凭证后仅附国库支付单与往来结算收据，无具体计算依据说明（如用餐人数、餐标、天数等）：</w:t>
      </w:r>
      <w:r>
        <w:rPr>
          <w:rFonts w:hint="eastAsia" w:ascii="仿宋" w:hAnsi="仿宋" w:eastAsia="仿宋" w:cs="仿宋"/>
          <w:b w:val="0"/>
          <w:bCs w:val="0"/>
          <w:sz w:val="32"/>
          <w:szCs w:val="32"/>
          <w:lang w:val="en-US" w:eastAsia="zh-CN" w:bidi="ar-SA"/>
        </w:rPr>
        <w:t>如8月3号凭证预付食堂7-9月份餐费2,826.00元、12月3号凭证预付团区委10至12月份餐费2,826.00元</w:t>
      </w:r>
      <w:r>
        <w:rPr>
          <w:rFonts w:hint="eastAsia" w:ascii="仿宋" w:hAnsi="仿宋" w:eastAsia="仿宋" w:cs="仿宋"/>
          <w:b/>
          <w:bCs/>
          <w:sz w:val="32"/>
          <w:szCs w:val="32"/>
          <w:lang w:val="en-US" w:eastAsia="zh-CN" w:bidi="ar-SA"/>
        </w:rPr>
        <w:t>。</w:t>
      </w:r>
    </w:p>
    <w:p w14:paraId="5BFE9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bidi="ar-SA"/>
        </w:rPr>
      </w:pPr>
      <w:r>
        <w:rPr>
          <w:rFonts w:hint="eastAsia" w:ascii="仿宋" w:hAnsi="仿宋" w:eastAsia="仿宋" w:cs="仿宋"/>
          <w:b/>
          <w:bCs/>
          <w:sz w:val="32"/>
          <w:szCs w:val="32"/>
          <w:lang w:val="en-US" w:eastAsia="zh-CN" w:bidi="ar-SA"/>
        </w:rPr>
        <w:t>相关政策1：</w:t>
      </w:r>
      <w:r>
        <w:rPr>
          <w:rFonts w:hint="eastAsia" w:ascii="仿宋" w:hAnsi="仿宋" w:eastAsia="仿宋" w:cs="仿宋"/>
          <w:b w:val="0"/>
          <w:bCs w:val="0"/>
          <w:sz w:val="32"/>
          <w:szCs w:val="32"/>
          <w:lang w:val="en-US" w:eastAsia="zh-CN" w:bidi="ar-SA"/>
        </w:rPr>
        <w:t>上述违反了《政府会计制度——行政事业单位会计科目和报表》。该制度要求行政事业单位的会计核算必须以真实、完整的原始凭证为依据。原始凭证应能清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bidi="ar-SA"/>
        </w:rPr>
        <w:t>相关政策2：</w:t>
      </w:r>
      <w:r>
        <w:rPr>
          <w:rFonts w:hint="eastAsia" w:ascii="仿宋" w:hAnsi="仿宋" w:eastAsia="仿宋" w:cs="仿宋"/>
          <w:b w:val="0"/>
          <w:bCs w:val="0"/>
          <w:sz w:val="32"/>
          <w:szCs w:val="32"/>
          <w:lang w:val="en-US" w:eastAsia="zh-CN" w:bidi="ar-SA"/>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bidi="ar-SA"/>
        </w:rPr>
        <w:t>相关政策3：</w:t>
      </w:r>
      <w:r>
        <w:rPr>
          <w:rFonts w:hint="eastAsia" w:ascii="仿宋" w:hAnsi="仿宋" w:eastAsia="仿宋" w:cs="仿宋"/>
          <w:b w:val="0"/>
          <w:bCs w:val="0"/>
          <w:sz w:val="32"/>
          <w:szCs w:val="32"/>
          <w:lang w:val="en-US" w:eastAsia="zh-CN" w:bidi="ar-SA"/>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一是合规性风险。支付附件不完整，直接违反了上述关于会计凭证和内部控制的规定，属于不合规的财务操作。二是审计风险。在审计（包括内部审计和外部审计）中，此类支付行为极易被认定为“支出依据不充分”或“原始凭证不完整”，可能导致审计调整或负面评价。三是廉政风险。附件不全使得资金流向不透明，为虚报、套取、挪用财政资金等行为提供了空间，存在较高的廉政风险。</w:t>
      </w:r>
    </w:p>
    <w:p w14:paraId="698BC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val="0"/>
          <w:bCs w:val="0"/>
          <w:sz w:val="32"/>
          <w:szCs w:val="32"/>
          <w:lang w:val="en-US" w:eastAsia="zh-CN" w:bidi="ar-SA"/>
        </w:rPr>
      </w:pPr>
      <w:r>
        <w:rPr>
          <w:rFonts w:hint="eastAsia" w:ascii="仿宋" w:hAnsi="仿宋" w:eastAsia="仿宋" w:cs="仿宋"/>
          <w:b/>
          <w:bCs/>
          <w:sz w:val="32"/>
          <w:szCs w:val="32"/>
          <w:lang w:val="en-US" w:eastAsia="zh-CN" w:bidi="ar-SA"/>
        </w:rPr>
        <w:t>建议：一是及时整改。</w:t>
      </w:r>
      <w:r>
        <w:rPr>
          <w:rFonts w:hint="eastAsia" w:ascii="仿宋" w:hAnsi="仿宋" w:eastAsia="仿宋" w:cs="仿宋"/>
          <w:b w:val="0"/>
          <w:bCs w:val="0"/>
          <w:sz w:val="32"/>
          <w:szCs w:val="32"/>
          <w:lang w:val="en-US" w:eastAsia="zh-CN" w:bidi="ar-SA"/>
        </w:rPr>
        <w:t>相关单位立即对类似支出进行自查自纠，补充完整附件。用餐情况统计表反映当期用餐人次和消耗总量的内部凭证。费用结算审批单由食堂管理员、部门负责人、财务审核人、单位领导逐级审批。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bidi="ar-SA"/>
        </w:rPr>
        <w:t>二是完善制度。</w:t>
      </w:r>
      <w:r>
        <w:rPr>
          <w:rFonts w:hint="eastAsia" w:ascii="仿宋" w:hAnsi="仿宋" w:eastAsia="仿宋" w:cs="仿宋"/>
          <w:b w:val="0"/>
          <w:bCs w:val="0"/>
          <w:sz w:val="32"/>
          <w:szCs w:val="32"/>
          <w:lang w:val="en-US" w:eastAsia="zh-CN" w:bidi="ar-SA"/>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bidi="ar-SA"/>
        </w:rPr>
        <w:t>三是加强审核。</w:t>
      </w:r>
      <w:r>
        <w:rPr>
          <w:rFonts w:hint="eastAsia" w:ascii="仿宋" w:hAnsi="仿宋" w:eastAsia="仿宋" w:cs="仿宋"/>
          <w:b w:val="0"/>
          <w:bCs w:val="0"/>
          <w:sz w:val="32"/>
          <w:szCs w:val="32"/>
          <w:lang w:val="en-US" w:eastAsia="zh-CN" w:bidi="ar-SA"/>
        </w:rPr>
        <w:t>强化财务审核环节，对附件不齐全、不规范的支付申请，坚决予以退回，不予报销。确保所有支出均有充分、合法的依据。财务部门必须严格审核，“无依据不支付、无明细不报销”。</w:t>
      </w:r>
      <w:r>
        <w:rPr>
          <w:rFonts w:hint="eastAsia" w:ascii="仿宋" w:hAnsi="仿宋" w:eastAsia="仿宋" w:cs="仿宋"/>
          <w:b/>
          <w:bCs/>
          <w:sz w:val="32"/>
          <w:szCs w:val="32"/>
          <w:lang w:val="en-US" w:eastAsia="zh-CN" w:bidi="ar-SA"/>
        </w:rPr>
        <w:t>四是强化监督。</w:t>
      </w:r>
      <w:r>
        <w:rPr>
          <w:rFonts w:hint="eastAsia" w:ascii="仿宋" w:hAnsi="仿宋" w:eastAsia="仿宋" w:cs="仿宋"/>
          <w:b w:val="0"/>
          <w:bCs w:val="0"/>
          <w:sz w:val="32"/>
          <w:szCs w:val="32"/>
          <w:lang w:val="en-US" w:eastAsia="zh-CN" w:bidi="ar-SA"/>
        </w:rPr>
        <w:t>内部审计、纪检监察等部门应加强对食堂等敏感领域支出的监督检查，对发现的违规问题严肃处理，形成有效震慑。</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201" w:name="_Toc28119"/>
      <w:r>
        <w:rPr>
          <w:rFonts w:hint="eastAsia" w:ascii="楷体" w:hAnsi="楷体" w:eastAsia="楷体" w:cs="楷体"/>
          <w:b/>
          <w:bCs/>
          <w:sz w:val="32"/>
          <w:szCs w:val="32"/>
          <w:lang w:val="en-US" w:eastAsia="zh-CN"/>
        </w:rPr>
        <w:t>（三）人员管理方面存在的问题及建议</w:t>
      </w:r>
      <w:bookmarkEnd w:id="199"/>
      <w:bookmarkEnd w:id="201"/>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1.发放统发工资后附件部分无国库支付单、部分无工资发放明细表，均无审批人签字及审核意见及银行回单。</w:t>
      </w:r>
      <w:r>
        <w:rPr>
          <w:rFonts w:hint="eastAsia" w:ascii="仿宋" w:hAnsi="仿宋" w:eastAsia="仿宋" w:cs="仿宋"/>
          <w:b w:val="0"/>
          <w:bCs w:val="0"/>
          <w:sz w:val="32"/>
          <w:szCs w:val="32"/>
          <w:lang w:val="en-US" w:eastAsia="zh-CN"/>
        </w:rPr>
        <w:t>如1月1号凭证雁峰区1和2月份统发工资14,999.00元、4月1号凭证雁峰区4月份统发工资10,169.00元、5月1号雁峰区5月份统发工资10,169.00元、12月1号凭证雁峰区12月份统发工资10,500.00元等。</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10E58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由人事部门或指定人员根据政策编制工资变动表和应发数据。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503E3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2.支付医疗保险、工伤保险、职业年金后仅附国库支付单，银行端查询缴税凭证，未附人员名单、缴费基数确认表、明确的计算依据、审批流程、银行付款回单等。</w:t>
      </w:r>
      <w:r>
        <w:rPr>
          <w:rFonts w:hint="eastAsia" w:ascii="仿宋" w:hAnsi="仿宋" w:eastAsia="仿宋" w:cs="仿宋"/>
          <w:b w:val="0"/>
          <w:bCs w:val="0"/>
          <w:sz w:val="32"/>
          <w:szCs w:val="32"/>
          <w:lang w:val="en-US" w:eastAsia="zh-CN"/>
        </w:rPr>
        <w:t>详见10月9号凭证支付团区委9-10月社保、医保、职业年金等费用12,535.68元等</w:t>
      </w:r>
      <w:r>
        <w:rPr>
          <w:rFonts w:hint="eastAsia" w:ascii="仿宋" w:hAnsi="仿宋" w:eastAsia="仿宋" w:cs="仿宋"/>
          <w:b w:val="0"/>
          <w:bCs w:val="0"/>
          <w:color w:val="auto"/>
          <w:sz w:val="32"/>
          <w:szCs w:val="32"/>
          <w:lang w:val="en-US" w:eastAsia="zh-CN"/>
        </w:rPr>
        <w:t>。</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与审核（审批）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可能导致社保缴费不符合《中华人民共和国社会保险法》及相关规定，面临社保稽查部门的处罚。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每月（或每季度）初，人力资源部门制作表单并审核签章-&gt;提交至财务部门-&gt;财务部门复核无误后-&gt;进行计提和缴费-&gt;将审批单作为重要原始凭证附于记账凭证之后。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219BC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3.住房公积金交通补贴津贴的计提缺乏人力资源或组织部门的审核盖章：</w:t>
      </w:r>
      <w:r>
        <w:rPr>
          <w:rFonts w:hint="eastAsia" w:ascii="仿宋" w:hAnsi="仿宋" w:eastAsia="仿宋" w:cs="仿宋"/>
          <w:b w:val="0"/>
          <w:bCs w:val="0"/>
          <w:color w:val="auto"/>
          <w:sz w:val="32"/>
          <w:szCs w:val="32"/>
          <w:lang w:val="en-US" w:eastAsia="zh-CN"/>
        </w:rPr>
        <w:t>如7月5号凭证公积金28,920.00元，支付附件《国库集中支付凭证》、公积金缴纳明细表及原始凭证粘贴单。如12月9号凭证支付团区委1至12月份车补、津补贴费用16,732.56 元，支付附件《国库集中支付凭证》、人员津贴、车补发放明细表及原始凭证粘贴单。</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及时补办，对于已发放但缺少签章的补贴，应尽快联系人力资源或组织部门，对发放名单和金额进行事后审核与追认，并在发放表上补盖部门公章。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7DD1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eastAsia="zh-CN"/>
        </w:rPr>
      </w:pPr>
      <w:bookmarkStart w:id="202" w:name="_Toc20861"/>
      <w:r>
        <w:rPr>
          <w:rFonts w:hint="eastAsia" w:ascii="楷体" w:hAnsi="楷体" w:eastAsia="楷体" w:cs="楷体"/>
          <w:b/>
          <w:bCs/>
          <w:sz w:val="32"/>
          <w:szCs w:val="32"/>
          <w:lang w:val="en-US" w:eastAsia="zh-CN" w:bidi="ar-SA"/>
        </w:rPr>
        <w:t>（四）</w:t>
      </w:r>
      <w:bookmarkEnd w:id="200"/>
      <w:r>
        <w:rPr>
          <w:rFonts w:hint="eastAsia" w:ascii="楷体" w:hAnsi="楷体" w:eastAsia="楷体" w:cs="楷体"/>
          <w:b/>
          <w:bCs/>
          <w:sz w:val="32"/>
          <w:szCs w:val="32"/>
          <w:lang w:val="en-US" w:eastAsia="zh-CN" w:bidi="ar-SA"/>
        </w:rPr>
        <w:t>项目</w:t>
      </w:r>
      <w:r>
        <w:rPr>
          <w:rFonts w:hint="eastAsia" w:ascii="楷体" w:hAnsi="楷体" w:eastAsia="楷体" w:cs="楷体"/>
          <w:b/>
          <w:bCs/>
          <w:sz w:val="32"/>
          <w:szCs w:val="32"/>
          <w:lang w:eastAsia="zh-CN"/>
        </w:rPr>
        <w:t>管理方面存在的问题及建议</w:t>
      </w:r>
      <w:bookmarkEnd w:id="202"/>
    </w:p>
    <w:p w14:paraId="1EE106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lang w:val="en-US" w:eastAsia="zh-CN"/>
        </w:rPr>
        <w:t>合同中关于知识产权条款存在缺失的情况。项目支出的制作视频合同未将知识产权归属具象化，未向政府方提供所有第三方授权文件的复印件。</w:t>
      </w:r>
      <w:r>
        <w:rPr>
          <w:rFonts w:hint="eastAsia" w:ascii="仿宋" w:hAnsi="仿宋" w:eastAsia="仿宋" w:cs="仿宋"/>
          <w:b w:val="0"/>
          <w:bCs w:val="0"/>
          <w:color w:val="auto"/>
          <w:sz w:val="32"/>
          <w:szCs w:val="32"/>
          <w:lang w:val="en-US" w:eastAsia="zh-CN"/>
        </w:rPr>
        <w:t>如5月8号凭证支付禁毒视频制作费用6,000.00元。</w:t>
      </w:r>
    </w:p>
    <w:p w14:paraId="12BA44E2">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上述违反了《中华人民共和国民法典》。合同内容由当事人约定，对于知识产权这类重要财产权，如果约定不明确，后续解释和执行将无法可依，违背了订立合同的审慎原则。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著作权法》。该法明确规定，著作权归属可以由当事人通过合同约定。如果合同未作约定或约定不清，则默认归属于受托人（制作方）。这意味着，政府出资的项目，成果可能不属于政府。</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上述违反了《国家知识产权战略纲要》。强调要加强政府投入项目知识产权的管理，促进知识产权的创造和运用。合同约定不清与管理要求背道而驰。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上述违反了《政府会计准则》及其制度。要求将符合定义的资产（包括无形资产）纳入政府资产负债管理。如果知识产权归属不清，这项“无形资产”就无法合规地确认、计量和报告，导致国有资产账实不符。</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上述违反了《中华人民共和国审计法》。合同知识产权约定不清，在审计中会被定性为“合同条款不完善，存在国有资产流失风险”，会要求整改并追究责任。存在五类风险：</w:t>
      </w:r>
      <w:r>
        <w:rPr>
          <w:rFonts w:hint="eastAsia" w:ascii="仿宋" w:hAnsi="仿宋" w:eastAsia="仿宋" w:cs="仿宋"/>
          <w:b/>
          <w:bCs/>
          <w:sz w:val="32"/>
          <w:szCs w:val="32"/>
          <w:lang w:val="en-US" w:eastAsia="zh-CN"/>
        </w:rPr>
        <w:t>一是国有资产流失。</w:t>
      </w:r>
      <w:r>
        <w:rPr>
          <w:rFonts w:hint="eastAsia" w:ascii="仿宋" w:hAnsi="仿宋" w:eastAsia="仿宋" w:cs="仿宋"/>
          <w:b w:val="0"/>
          <w:bCs w:val="0"/>
          <w:sz w:val="32"/>
          <w:szCs w:val="32"/>
          <w:lang w:val="en-US" w:eastAsia="zh-CN"/>
        </w:rPr>
        <w:t>政府花钱却未能获得最终成果的所有权，这是最核心的风险。制作方可以合法地将视频再次出售、修改，甚至禁止政府用于其他宣传渠道。</w:t>
      </w:r>
      <w:r>
        <w:rPr>
          <w:rFonts w:hint="eastAsia" w:ascii="仿宋" w:hAnsi="仿宋" w:eastAsia="仿宋" w:cs="仿宋"/>
          <w:b/>
          <w:bCs/>
          <w:sz w:val="32"/>
          <w:szCs w:val="32"/>
          <w:lang w:val="en-US" w:eastAsia="zh-CN"/>
        </w:rPr>
        <w:t>二是使用权受限。</w:t>
      </w:r>
      <w:r>
        <w:rPr>
          <w:rFonts w:hint="eastAsia" w:ascii="仿宋" w:hAnsi="仿宋" w:eastAsia="仿宋" w:cs="仿宋"/>
          <w:b w:val="0"/>
          <w:bCs w:val="0"/>
          <w:sz w:val="32"/>
          <w:szCs w:val="32"/>
          <w:lang w:val="en-US" w:eastAsia="zh-CN"/>
        </w:rPr>
        <w:t>即使政府能使用，但可能仅限于原定用途。如果想在其他平台播放、进行二次剪辑创作、出版发行等，都可能需要再次向制作方付费并获得许可。</w:t>
      </w:r>
      <w:r>
        <w:rPr>
          <w:rFonts w:hint="eastAsia" w:ascii="仿宋" w:hAnsi="仿宋" w:eastAsia="仿宋" w:cs="仿宋"/>
          <w:b/>
          <w:bCs/>
          <w:sz w:val="32"/>
          <w:szCs w:val="32"/>
          <w:lang w:val="en-US" w:eastAsia="zh-CN"/>
        </w:rPr>
        <w:t>三是法律纠纷。</w:t>
      </w:r>
      <w:r>
        <w:rPr>
          <w:rFonts w:hint="eastAsia" w:ascii="仿宋" w:hAnsi="仿宋" w:eastAsia="仿宋" w:cs="仿宋"/>
          <w:b w:val="0"/>
          <w:bCs w:val="0"/>
          <w:sz w:val="32"/>
          <w:szCs w:val="32"/>
          <w:lang w:val="en-US" w:eastAsia="zh-CN"/>
        </w:rPr>
        <w:t>未来在使用过程中极易与制作方发生版权纠纷，影响政府形象和公信力，甚至被卷入诉讼。</w:t>
      </w:r>
      <w:r>
        <w:rPr>
          <w:rFonts w:hint="eastAsia" w:ascii="仿宋" w:hAnsi="仿宋" w:eastAsia="仿宋" w:cs="仿宋"/>
          <w:b/>
          <w:bCs/>
          <w:sz w:val="32"/>
          <w:szCs w:val="32"/>
          <w:lang w:val="en-US" w:eastAsia="zh-CN"/>
        </w:rPr>
        <w:t>四是后续成本易失控。</w:t>
      </w:r>
      <w:r>
        <w:rPr>
          <w:rFonts w:hint="eastAsia" w:ascii="仿宋" w:hAnsi="仿宋" w:eastAsia="仿宋" w:cs="仿宋"/>
          <w:b w:val="0"/>
          <w:bCs w:val="0"/>
          <w:sz w:val="32"/>
          <w:szCs w:val="32"/>
          <w:lang w:val="en-US" w:eastAsia="zh-CN"/>
        </w:rPr>
        <w:t>制作方可能凭借其拥有的知识产权，在政府需要源文件、进行更新迭代时索要高额费用，导致政府陷入被动。</w:t>
      </w:r>
      <w:r>
        <w:rPr>
          <w:rFonts w:hint="eastAsia" w:ascii="仿宋" w:hAnsi="仿宋" w:eastAsia="仿宋" w:cs="仿宋"/>
          <w:b/>
          <w:bCs/>
          <w:sz w:val="32"/>
          <w:szCs w:val="32"/>
          <w:lang w:val="en-US" w:eastAsia="zh-CN"/>
        </w:rPr>
        <w:t>五是审计与纪检风险。</w:t>
      </w:r>
      <w:r>
        <w:rPr>
          <w:rFonts w:hint="eastAsia" w:ascii="仿宋" w:hAnsi="仿宋" w:eastAsia="仿宋" w:cs="仿宋"/>
          <w:b w:val="0"/>
          <w:bCs w:val="0"/>
          <w:sz w:val="32"/>
          <w:szCs w:val="32"/>
          <w:lang w:val="en-US" w:eastAsia="zh-CN"/>
        </w:rPr>
        <w:t>在审计或巡视中被发现此类问题，相关负责人可能被问责，认定为履职不到位。</w:t>
      </w:r>
    </w:p>
    <w:p w14:paraId="0CB9A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采取</w:t>
      </w:r>
      <w:r>
        <w:rPr>
          <w:rFonts w:hint="eastAsia" w:ascii="仿宋" w:hAnsi="仿宋" w:eastAsia="仿宋" w:cs="仿宋"/>
          <w:b/>
          <w:bCs/>
          <w:sz w:val="32"/>
          <w:szCs w:val="32"/>
          <w:lang w:val="en-US" w:eastAsia="zh-CN"/>
        </w:rPr>
        <w:t>“补救过去，规范未来”</w:t>
      </w:r>
      <w:r>
        <w:rPr>
          <w:rFonts w:hint="eastAsia" w:ascii="仿宋" w:hAnsi="仿宋" w:eastAsia="仿宋" w:cs="仿宋"/>
          <w:b w:val="0"/>
          <w:bCs w:val="0"/>
          <w:sz w:val="32"/>
          <w:szCs w:val="32"/>
          <w:lang w:val="en-US" w:eastAsia="zh-CN"/>
        </w:rPr>
        <w:t>策略。</w:t>
      </w:r>
      <w:r>
        <w:rPr>
          <w:rFonts w:hint="eastAsia" w:ascii="仿宋" w:hAnsi="仿宋" w:eastAsia="仿宋" w:cs="仿宋"/>
          <w:b/>
          <w:bCs/>
          <w:sz w:val="32"/>
          <w:szCs w:val="32"/>
          <w:lang w:val="en-US" w:eastAsia="zh-CN"/>
        </w:rPr>
        <w:t>一是优先协商，签订补充协议。</w:t>
      </w:r>
      <w:r>
        <w:rPr>
          <w:rFonts w:hint="eastAsia" w:ascii="仿宋" w:hAnsi="仿宋" w:eastAsia="仿宋" w:cs="仿宋"/>
          <w:b w:val="0"/>
          <w:bCs w:val="0"/>
          <w:sz w:val="32"/>
          <w:szCs w:val="32"/>
          <w:lang w:val="en-US" w:eastAsia="zh-CN"/>
        </w:rPr>
        <w:t>及时启动与乙方的沟通，说明原合同存在约定不明的情况，为了明确双方权责、避免未来纠纷，提议签订《补充协议》。</w:t>
      </w:r>
      <w:r>
        <w:rPr>
          <w:rFonts w:hint="eastAsia" w:ascii="仿宋" w:hAnsi="仿宋" w:eastAsia="仿宋" w:cs="仿宋"/>
          <w:b/>
          <w:bCs/>
          <w:sz w:val="32"/>
          <w:szCs w:val="32"/>
          <w:lang w:val="en-US" w:eastAsia="zh-CN"/>
        </w:rPr>
        <w:t>补充协议的核心条款示例：</w:t>
      </w:r>
      <w:r>
        <w:rPr>
          <w:rFonts w:hint="eastAsia" w:ascii="仿宋" w:hAnsi="仿宋" w:eastAsia="仿宋" w:cs="仿宋"/>
          <w:b w:val="0"/>
          <w:bCs w:val="0"/>
          <w:sz w:val="32"/>
          <w:szCs w:val="32"/>
          <w:lang w:val="en-US" w:eastAsia="zh-CN"/>
        </w:rPr>
        <w:t>“双方确认，就原合同项下产生的所有成果（包括但不限于最终视频成片、拍摄的原始素材、图片、脚本、分镜图、工程文件、设计图稿、音乐、及其他任何形式的创作成果）的知识产权（包括但不限于著作权、所有权、使用权、修改权、许可使用权等），自该等成果产生之日起，永久、无条件、独家地归属于甲方（即政府部门宣传部）所有。乙方承诺，其使用的任何第三方素材（包括音乐、字体、影像资料等）均已获得</w:t>
      </w:r>
      <w:r>
        <w:rPr>
          <w:rFonts w:hint="eastAsia" w:ascii="仿宋" w:hAnsi="仿宋" w:eastAsia="仿宋" w:cs="仿宋"/>
          <w:b/>
          <w:bCs/>
          <w:sz w:val="32"/>
          <w:szCs w:val="32"/>
          <w:lang w:val="en-US" w:eastAsia="zh-CN"/>
        </w:rPr>
        <w:t>合法授权，</w:t>
      </w:r>
      <w:r>
        <w:rPr>
          <w:rFonts w:hint="eastAsia" w:ascii="仿宋" w:hAnsi="仿宋" w:eastAsia="仿宋" w:cs="仿宋"/>
          <w:b w:val="0"/>
          <w:bCs w:val="0"/>
          <w:sz w:val="32"/>
          <w:szCs w:val="32"/>
          <w:lang w:val="en-US" w:eastAsia="zh-CN"/>
        </w:rPr>
        <w:t>并保证甲方可不受限制地使用最终成果。乙方应在项目验收时，向甲方提供所有第三方授权文件的复印件。</w:t>
      </w:r>
      <w:r>
        <w:rPr>
          <w:rFonts w:hint="eastAsia" w:ascii="仿宋" w:hAnsi="仿宋" w:eastAsia="仿宋" w:cs="仿宋"/>
          <w:b/>
          <w:bCs/>
          <w:sz w:val="32"/>
          <w:szCs w:val="32"/>
          <w:lang w:val="en-US" w:eastAsia="zh-CN"/>
        </w:rPr>
        <w:t>二是对于未来的合同（预防措施），</w:t>
      </w:r>
      <w:r>
        <w:rPr>
          <w:rFonts w:hint="eastAsia" w:ascii="仿宋" w:hAnsi="仿宋" w:eastAsia="仿宋" w:cs="仿宋"/>
          <w:b w:val="0"/>
          <w:bCs w:val="0"/>
          <w:sz w:val="32"/>
          <w:szCs w:val="32"/>
          <w:lang w:val="en-US" w:eastAsia="zh-CN"/>
        </w:rPr>
        <w:t>将知识产权条款作为合同必备条款。在合同模板中设立独立的、强化的“知识产权条款”，而不是仅在不起眼处简单带过。</w:t>
      </w:r>
      <w:r>
        <w:rPr>
          <w:rFonts w:hint="eastAsia" w:ascii="仿宋" w:hAnsi="仿宋" w:eastAsia="仿宋" w:cs="仿宋"/>
          <w:b/>
          <w:bCs/>
          <w:sz w:val="32"/>
          <w:szCs w:val="32"/>
          <w:lang w:val="en-US" w:eastAsia="zh-CN"/>
        </w:rPr>
        <w:t>归属方：</w:t>
      </w:r>
      <w:r>
        <w:rPr>
          <w:rFonts w:hint="eastAsia" w:ascii="仿宋" w:hAnsi="仿宋" w:eastAsia="仿宋" w:cs="仿宋"/>
          <w:b w:val="0"/>
          <w:bCs w:val="0"/>
          <w:sz w:val="32"/>
          <w:szCs w:val="32"/>
          <w:lang w:val="en-US" w:eastAsia="zh-CN"/>
        </w:rPr>
        <w:t>明确归“甲方”所有。</w:t>
      </w:r>
      <w:r>
        <w:rPr>
          <w:rFonts w:hint="eastAsia" w:ascii="仿宋" w:hAnsi="仿宋" w:eastAsia="仿宋" w:cs="仿宋"/>
          <w:b/>
          <w:bCs/>
          <w:sz w:val="32"/>
          <w:szCs w:val="32"/>
          <w:lang w:val="en-US" w:eastAsia="zh-CN"/>
        </w:rPr>
        <w:t>权利范围：</w:t>
      </w:r>
      <w:r>
        <w:rPr>
          <w:rFonts w:hint="eastAsia" w:ascii="仿宋" w:hAnsi="仿宋" w:eastAsia="仿宋" w:cs="仿宋"/>
          <w:b w:val="0"/>
          <w:bCs w:val="0"/>
          <w:sz w:val="32"/>
          <w:szCs w:val="32"/>
          <w:lang w:val="en-US" w:eastAsia="zh-CN"/>
        </w:rPr>
        <w:t>列明包括著作权（复制、发行、放映、信息网络传播、改编等）、所有权、使用权、修改权等全部权利。</w:t>
      </w:r>
      <w:r>
        <w:rPr>
          <w:rFonts w:hint="eastAsia" w:ascii="仿宋" w:hAnsi="仿宋" w:eastAsia="仿宋" w:cs="仿宋"/>
          <w:b/>
          <w:bCs/>
          <w:sz w:val="32"/>
          <w:szCs w:val="32"/>
          <w:lang w:val="en-US" w:eastAsia="zh-CN"/>
        </w:rPr>
        <w:t>覆盖内容：</w:t>
      </w:r>
      <w:r>
        <w:rPr>
          <w:rFonts w:hint="eastAsia" w:ascii="仿宋" w:hAnsi="仿宋" w:eastAsia="仿宋" w:cs="仿宋"/>
          <w:b w:val="0"/>
          <w:bCs w:val="0"/>
          <w:sz w:val="32"/>
          <w:szCs w:val="32"/>
          <w:lang w:val="en-US" w:eastAsia="zh-CN"/>
        </w:rPr>
        <w:t>不仅限于最终成片，必须包括所有原始素材、半成品、脚本、工程文件等。</w:t>
      </w:r>
      <w:r>
        <w:rPr>
          <w:rFonts w:hint="eastAsia" w:ascii="仿宋" w:hAnsi="仿宋" w:eastAsia="仿宋" w:cs="仿宋"/>
          <w:b/>
          <w:bCs/>
          <w:sz w:val="32"/>
          <w:szCs w:val="32"/>
          <w:lang w:val="en-US" w:eastAsia="zh-CN"/>
        </w:rPr>
        <w:t>授权性质：</w:t>
      </w:r>
      <w:r>
        <w:rPr>
          <w:rFonts w:hint="eastAsia" w:ascii="仿宋" w:hAnsi="仿宋" w:eastAsia="仿宋" w:cs="仿宋"/>
          <w:b w:val="0"/>
          <w:bCs w:val="0"/>
          <w:sz w:val="32"/>
          <w:szCs w:val="32"/>
          <w:lang w:val="en-US" w:eastAsia="zh-CN"/>
        </w:rPr>
        <w:t>明确是永久、无偿、独家的授权或归属。</w:t>
      </w:r>
      <w:r>
        <w:rPr>
          <w:rFonts w:hint="eastAsia" w:ascii="仿宋" w:hAnsi="仿宋" w:eastAsia="仿宋" w:cs="仿宋"/>
          <w:b/>
          <w:bCs/>
          <w:sz w:val="32"/>
          <w:szCs w:val="32"/>
          <w:lang w:val="en-US" w:eastAsia="zh-CN"/>
        </w:rPr>
        <w:t>第三方责任：</w:t>
      </w:r>
      <w:r>
        <w:rPr>
          <w:rFonts w:hint="eastAsia" w:ascii="仿宋" w:hAnsi="仿宋" w:eastAsia="仿宋" w:cs="仿宋"/>
          <w:b w:val="0"/>
          <w:bCs w:val="0"/>
          <w:sz w:val="32"/>
          <w:szCs w:val="32"/>
          <w:lang w:val="en-US" w:eastAsia="zh-CN"/>
        </w:rPr>
        <w:t>要求乙方保证其所使用的任何第三方素材均已获得合法授权，不会产生任何权利纠纷，不侵犯任何第三方权益，避免使用来源不明的网络素材，防止侵权风险。并提供所有必要授权，如有纠纷由乙方承担全部责任。在合同付款条款中明确：“乙方在交付最终成片的同时，必须交付本合同约定的所有原始素材、工程文件及第三方授权证明，并经甲方验收合格后，甲方有义务支付合同尾款。”以此作为强有力的履约抓手。</w:t>
      </w:r>
      <w:r>
        <w:rPr>
          <w:rFonts w:hint="eastAsia" w:ascii="仿宋" w:hAnsi="仿宋" w:eastAsia="仿宋" w:cs="仿宋"/>
          <w:b/>
          <w:bCs/>
          <w:sz w:val="32"/>
          <w:szCs w:val="32"/>
          <w:lang w:val="en-US" w:eastAsia="zh-CN"/>
        </w:rPr>
        <w:t>保密条款：</w:t>
      </w:r>
      <w:r>
        <w:rPr>
          <w:rFonts w:hint="eastAsia" w:ascii="仿宋" w:hAnsi="仿宋" w:eastAsia="仿宋" w:cs="仿宋"/>
          <w:b w:val="0"/>
          <w:bCs w:val="0"/>
          <w:sz w:val="32"/>
          <w:szCs w:val="32"/>
          <w:lang w:val="en-US" w:eastAsia="zh-CN"/>
        </w:rPr>
        <w:t>如涉及敏感信息或未公开政策，应在合同中加入保密条款，约束乙方。</w:t>
      </w:r>
    </w:p>
    <w:p w14:paraId="19D36C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eastAsia="zh-CN"/>
        </w:rPr>
      </w:pPr>
    </w:p>
    <w:p w14:paraId="5A02A5DD">
      <w:pPr>
        <w:widowControl w:val="0"/>
        <w:jc w:val="both"/>
        <w:rPr>
          <w:rFonts w:hint="eastAsia" w:ascii="仿宋" w:hAnsi="仿宋" w:eastAsia="仿宋" w:cs="仿宋"/>
          <w:sz w:val="32"/>
          <w:szCs w:val="32"/>
        </w:rPr>
      </w:pPr>
    </w:p>
    <w:p w14:paraId="6EBFC614">
      <w:pPr>
        <w:widowControl w:val="0"/>
        <w:jc w:val="both"/>
        <w:rPr>
          <w:rFonts w:hint="eastAsia" w:ascii="仿宋" w:hAnsi="仿宋" w:eastAsia="仿宋" w:cs="仿宋"/>
          <w:sz w:val="32"/>
          <w:szCs w:val="32"/>
        </w:rPr>
      </w:pPr>
    </w:p>
    <w:p w14:paraId="76FD6F90">
      <w:pPr>
        <w:widowControl w:val="0"/>
        <w:jc w:val="both"/>
        <w:rPr>
          <w:rFonts w:hint="eastAsia" w:ascii="仿宋" w:hAnsi="仿宋" w:eastAsia="仿宋" w:cs="仿宋"/>
          <w:sz w:val="32"/>
          <w:szCs w:val="32"/>
        </w:rPr>
      </w:pPr>
    </w:p>
    <w:p w14:paraId="24D3E26E">
      <w:pPr>
        <w:widowControl w:val="0"/>
        <w:jc w:val="both"/>
        <w:rPr>
          <w:rFonts w:hint="eastAsia" w:ascii="仿宋" w:hAnsi="仿宋" w:eastAsia="仿宋" w:cs="仿宋"/>
          <w:sz w:val="32"/>
          <w:szCs w:val="32"/>
        </w:rPr>
      </w:pPr>
    </w:p>
    <w:p w14:paraId="1311B2C0">
      <w:pPr>
        <w:widowControl w:val="0"/>
        <w:jc w:val="both"/>
        <w:rPr>
          <w:rFonts w:hint="eastAsia" w:ascii="仿宋" w:hAnsi="仿宋" w:eastAsia="仿宋" w:cs="仿宋"/>
          <w:sz w:val="32"/>
          <w:szCs w:val="32"/>
        </w:rPr>
      </w:pPr>
    </w:p>
    <w:p w14:paraId="5541DED3">
      <w:pPr>
        <w:widowControl w:val="0"/>
        <w:jc w:val="both"/>
        <w:rPr>
          <w:rFonts w:hint="eastAsia" w:ascii="仿宋" w:hAnsi="仿宋" w:eastAsia="仿宋" w:cs="仿宋"/>
          <w:sz w:val="32"/>
          <w:szCs w:val="32"/>
        </w:rPr>
      </w:pPr>
    </w:p>
    <w:p w14:paraId="5D9BCFED">
      <w:pPr>
        <w:widowControl w:val="0"/>
        <w:jc w:val="both"/>
        <w:rPr>
          <w:rFonts w:hint="eastAsia" w:ascii="仿宋" w:hAnsi="仿宋" w:eastAsia="仿宋" w:cs="仿宋"/>
          <w:sz w:val="32"/>
          <w:szCs w:val="32"/>
        </w:rPr>
      </w:pPr>
    </w:p>
    <w:p w14:paraId="3F0D5D3B">
      <w:pPr>
        <w:widowControl w:val="0"/>
        <w:jc w:val="both"/>
        <w:rPr>
          <w:rFonts w:hint="eastAsia" w:ascii="仿宋" w:hAnsi="仿宋" w:eastAsia="仿宋" w:cs="仿宋"/>
          <w:sz w:val="32"/>
          <w:szCs w:val="32"/>
        </w:rPr>
      </w:pPr>
    </w:p>
    <w:tbl>
      <w:tblPr>
        <w:tblStyle w:val="13"/>
        <w:tblW w:w="8799" w:type="dxa"/>
        <w:tblInd w:w="0" w:type="dxa"/>
        <w:tblLayout w:type="fixed"/>
        <w:tblCellMar>
          <w:top w:w="0" w:type="dxa"/>
          <w:left w:w="108" w:type="dxa"/>
          <w:bottom w:w="0" w:type="dxa"/>
          <w:right w:w="108" w:type="dxa"/>
        </w:tblCellMar>
      </w:tblPr>
      <w:tblGrid>
        <w:gridCol w:w="4525"/>
        <w:gridCol w:w="4274"/>
      </w:tblGrid>
      <w:tr w14:paraId="014DD6D3">
        <w:tblPrEx>
          <w:tblCellMar>
            <w:top w:w="0" w:type="dxa"/>
            <w:left w:w="108" w:type="dxa"/>
            <w:bottom w:w="0" w:type="dxa"/>
            <w:right w:w="108" w:type="dxa"/>
          </w:tblCellMar>
        </w:tblPrEx>
        <w:trPr>
          <w:trHeight w:val="623" w:hRule="atLeast"/>
        </w:trPr>
        <w:tc>
          <w:tcPr>
            <w:tcW w:w="4525" w:type="dxa"/>
          </w:tcPr>
          <w:p w14:paraId="4F203658">
            <w:pPr>
              <w:pStyle w:val="11"/>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湖南浩元会计师事务所</w:t>
            </w:r>
          </w:p>
        </w:tc>
        <w:tc>
          <w:tcPr>
            <w:tcW w:w="4274" w:type="dxa"/>
          </w:tcPr>
          <w:p w14:paraId="21D19BAC">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tc>
      </w:tr>
      <w:tr w14:paraId="2E9A596B">
        <w:tblPrEx>
          <w:tblCellMar>
            <w:top w:w="0" w:type="dxa"/>
            <w:left w:w="108" w:type="dxa"/>
            <w:bottom w:w="0" w:type="dxa"/>
            <w:right w:w="108" w:type="dxa"/>
          </w:tblCellMar>
        </w:tblPrEx>
        <w:trPr>
          <w:trHeight w:val="1267" w:hRule="atLeast"/>
        </w:trPr>
        <w:tc>
          <w:tcPr>
            <w:tcW w:w="4525" w:type="dxa"/>
          </w:tcPr>
          <w:p w14:paraId="22371F1E">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（普通合伙）</w:t>
            </w:r>
          </w:p>
        </w:tc>
        <w:tc>
          <w:tcPr>
            <w:tcW w:w="4274" w:type="dxa"/>
          </w:tcPr>
          <w:p w14:paraId="37B179CC">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50C3B579">
        <w:tblPrEx>
          <w:tblCellMar>
            <w:top w:w="0" w:type="dxa"/>
            <w:left w:w="108" w:type="dxa"/>
            <w:bottom w:w="0" w:type="dxa"/>
            <w:right w:w="108" w:type="dxa"/>
          </w:tblCellMar>
        </w:tblPrEx>
        <w:trPr>
          <w:trHeight w:val="1247" w:hRule="atLeast"/>
        </w:trPr>
        <w:tc>
          <w:tcPr>
            <w:tcW w:w="4525" w:type="dxa"/>
          </w:tcPr>
          <w:p w14:paraId="726538FB">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c>
          <w:tcPr>
            <w:tcW w:w="4274" w:type="dxa"/>
          </w:tcPr>
          <w:p w14:paraId="3047F097">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p w14:paraId="52E5B0FD">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4188F304">
        <w:tblPrEx>
          <w:tblCellMar>
            <w:top w:w="0" w:type="dxa"/>
            <w:left w:w="108" w:type="dxa"/>
            <w:bottom w:w="0" w:type="dxa"/>
            <w:right w:w="108" w:type="dxa"/>
          </w:tblCellMar>
        </w:tblPrEx>
        <w:trPr>
          <w:trHeight w:val="623" w:hRule="atLeast"/>
        </w:trPr>
        <w:tc>
          <w:tcPr>
            <w:tcW w:w="4525" w:type="dxa"/>
          </w:tcPr>
          <w:p w14:paraId="7F15BB72">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 国·长 沙</w:t>
            </w:r>
          </w:p>
        </w:tc>
        <w:tc>
          <w:tcPr>
            <w:tcW w:w="4274" w:type="dxa"/>
          </w:tcPr>
          <w:p w14:paraId="7FC4F21B">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 xml:space="preserve"> 11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 xml:space="preserve"> 5 </w:t>
            </w:r>
            <w:r>
              <w:rPr>
                <w:rFonts w:hint="eastAsia" w:ascii="仿宋" w:hAnsi="仿宋" w:eastAsia="仿宋" w:cs="仿宋"/>
                <w:color w:val="000000"/>
                <w:sz w:val="32"/>
                <w:szCs w:val="32"/>
                <w:shd w:val="clear" w:color="auto" w:fill="FFFFFF"/>
              </w:rPr>
              <w:t>日</w:t>
            </w:r>
          </w:p>
        </w:tc>
      </w:tr>
    </w:tbl>
    <w:p w14:paraId="09669376">
      <w:pPr>
        <w:widowControl w:val="0"/>
        <w:jc w:val="both"/>
        <w:rPr>
          <w:rFonts w:hint="eastAsia" w:ascii="仿宋" w:hAnsi="仿宋" w:eastAsia="仿宋" w:cs="仿宋"/>
          <w:sz w:val="32"/>
          <w:szCs w:val="32"/>
        </w:rPr>
      </w:pPr>
    </w:p>
    <w:sectPr>
      <w:pgSz w:w="11906" w:h="16838"/>
      <w:pgMar w:top="1157"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6E8">
    <w:pPr>
      <w:pStyle w:val="7"/>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C763">
    <w:pPr>
      <w:pStyle w:val="7"/>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3D12">
                          <w:pPr>
                            <w:pStyle w:val="7"/>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F3D12">
                    <w:pPr>
                      <w:pStyle w:val="7"/>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pt;margin-top:505.15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2pt;margin-top:505.65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CC16">
    <w:pPr>
      <w:pStyle w:val="8"/>
      <w:rPr>
        <w:rFonts w:hint="eastAsia" w:ascii="仿宋" w:hAnsi="仿宋" w:eastAsia="仿宋" w:cs="仿宋"/>
        <w:b/>
        <w:bCs/>
        <w:sz w:val="21"/>
        <w:szCs w:val="21"/>
        <w:u w:val="single"/>
      </w:rPr>
    </w:pPr>
    <w:r>
      <w:rPr>
        <w:rFonts w:hint="eastAsia" w:ascii="仿宋" w:hAnsi="仿宋" w:eastAsia="仿宋" w:cs="仿宋"/>
        <w:b/>
        <w:bCs/>
        <w:sz w:val="21"/>
        <w:szCs w:val="21"/>
        <w:u w:val="single"/>
      </w:rPr>
      <w:t>2024年中国共产主义青年团雁峰区委员会</w:t>
    </w:r>
    <w:r>
      <w:rPr>
        <w:rFonts w:hint="eastAsia" w:ascii="仿宋" w:hAnsi="仿宋" w:eastAsia="仿宋" w:cs="仿宋"/>
        <w:b/>
        <w:bCs/>
        <w:sz w:val="21"/>
        <w:szCs w:val="21"/>
        <w:u w:val="single"/>
        <w:lang w:eastAsia="zh-CN"/>
      </w:rPr>
      <w:t>部门</w:t>
    </w:r>
    <w:r>
      <w:rPr>
        <w:rFonts w:hint="eastAsia" w:ascii="仿宋" w:hAnsi="仿宋" w:eastAsia="仿宋" w:cs="仿宋"/>
        <w:b/>
        <w:bCs/>
        <w:sz w:val="21"/>
        <w:szCs w:val="21"/>
        <w:u w:val="single"/>
      </w:rPr>
      <w:t>整体支出绩效评价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zQzNTE0Mjg2ODIyMzJmZDJiYWEwMjNmMWVjZTcifQ=="/>
  </w:docVars>
  <w:rsids>
    <w:rsidRoot w:val="00172A27"/>
    <w:rsid w:val="00053879"/>
    <w:rsid w:val="00053C27"/>
    <w:rsid w:val="00081908"/>
    <w:rsid w:val="000E6C08"/>
    <w:rsid w:val="00137BC7"/>
    <w:rsid w:val="00172A27"/>
    <w:rsid w:val="001B237B"/>
    <w:rsid w:val="001C048E"/>
    <w:rsid w:val="002346AA"/>
    <w:rsid w:val="00237A6E"/>
    <w:rsid w:val="0026185C"/>
    <w:rsid w:val="00285085"/>
    <w:rsid w:val="002B6D33"/>
    <w:rsid w:val="002F1434"/>
    <w:rsid w:val="00311A5F"/>
    <w:rsid w:val="00351550"/>
    <w:rsid w:val="003675EE"/>
    <w:rsid w:val="00392EA7"/>
    <w:rsid w:val="00396CDA"/>
    <w:rsid w:val="00414A59"/>
    <w:rsid w:val="0046375D"/>
    <w:rsid w:val="00481283"/>
    <w:rsid w:val="004875B4"/>
    <w:rsid w:val="00494FFB"/>
    <w:rsid w:val="004B2DA3"/>
    <w:rsid w:val="004E0863"/>
    <w:rsid w:val="004E616D"/>
    <w:rsid w:val="00526CBF"/>
    <w:rsid w:val="00543B5B"/>
    <w:rsid w:val="005A1467"/>
    <w:rsid w:val="005E1244"/>
    <w:rsid w:val="005F65CD"/>
    <w:rsid w:val="006911F9"/>
    <w:rsid w:val="006F21E8"/>
    <w:rsid w:val="00711228"/>
    <w:rsid w:val="00744674"/>
    <w:rsid w:val="00752113"/>
    <w:rsid w:val="00771B68"/>
    <w:rsid w:val="007B3B40"/>
    <w:rsid w:val="008A6C6B"/>
    <w:rsid w:val="008D313A"/>
    <w:rsid w:val="008E4038"/>
    <w:rsid w:val="00997D30"/>
    <w:rsid w:val="00A205F5"/>
    <w:rsid w:val="00A74E15"/>
    <w:rsid w:val="00A81D22"/>
    <w:rsid w:val="00A83AD0"/>
    <w:rsid w:val="00AC4065"/>
    <w:rsid w:val="00AC7437"/>
    <w:rsid w:val="00B03FA3"/>
    <w:rsid w:val="00B06E28"/>
    <w:rsid w:val="00B406C6"/>
    <w:rsid w:val="00B527E3"/>
    <w:rsid w:val="00B92390"/>
    <w:rsid w:val="00B92EE2"/>
    <w:rsid w:val="00C11035"/>
    <w:rsid w:val="00C14B91"/>
    <w:rsid w:val="00C52996"/>
    <w:rsid w:val="00CB3C62"/>
    <w:rsid w:val="00CC3245"/>
    <w:rsid w:val="00D224BF"/>
    <w:rsid w:val="00D348C5"/>
    <w:rsid w:val="00D5688F"/>
    <w:rsid w:val="00D70859"/>
    <w:rsid w:val="00DE3995"/>
    <w:rsid w:val="00E87D31"/>
    <w:rsid w:val="00ED1E2A"/>
    <w:rsid w:val="00EF16FF"/>
    <w:rsid w:val="00F11150"/>
    <w:rsid w:val="00F431B9"/>
    <w:rsid w:val="00F44F67"/>
    <w:rsid w:val="00F558B0"/>
    <w:rsid w:val="00F76745"/>
    <w:rsid w:val="00F96DAA"/>
    <w:rsid w:val="00FB4547"/>
    <w:rsid w:val="00FB5FF7"/>
    <w:rsid w:val="00FE0086"/>
    <w:rsid w:val="00FE4037"/>
    <w:rsid w:val="010800FE"/>
    <w:rsid w:val="010D6479"/>
    <w:rsid w:val="01115B19"/>
    <w:rsid w:val="011655D4"/>
    <w:rsid w:val="0119677B"/>
    <w:rsid w:val="011B6997"/>
    <w:rsid w:val="012B68C7"/>
    <w:rsid w:val="012E5B8D"/>
    <w:rsid w:val="01395070"/>
    <w:rsid w:val="014F34AC"/>
    <w:rsid w:val="01536131"/>
    <w:rsid w:val="0154182C"/>
    <w:rsid w:val="01541E88"/>
    <w:rsid w:val="0155762F"/>
    <w:rsid w:val="017165B7"/>
    <w:rsid w:val="01763BCE"/>
    <w:rsid w:val="01785B98"/>
    <w:rsid w:val="017E2A82"/>
    <w:rsid w:val="018362EB"/>
    <w:rsid w:val="018502B5"/>
    <w:rsid w:val="01944054"/>
    <w:rsid w:val="01967D5E"/>
    <w:rsid w:val="019755DD"/>
    <w:rsid w:val="019D115B"/>
    <w:rsid w:val="019F1377"/>
    <w:rsid w:val="01A22C15"/>
    <w:rsid w:val="01A3073B"/>
    <w:rsid w:val="01A52705"/>
    <w:rsid w:val="01A73D87"/>
    <w:rsid w:val="01AA7D1B"/>
    <w:rsid w:val="01B3097E"/>
    <w:rsid w:val="01BF5575"/>
    <w:rsid w:val="01C20BC1"/>
    <w:rsid w:val="01CC7C92"/>
    <w:rsid w:val="01D32DCE"/>
    <w:rsid w:val="01D846CD"/>
    <w:rsid w:val="01EC20E2"/>
    <w:rsid w:val="01F82835"/>
    <w:rsid w:val="020220CB"/>
    <w:rsid w:val="020440B7"/>
    <w:rsid w:val="0204742C"/>
    <w:rsid w:val="020C008E"/>
    <w:rsid w:val="020C62E0"/>
    <w:rsid w:val="021A09FD"/>
    <w:rsid w:val="021E5540"/>
    <w:rsid w:val="02221849"/>
    <w:rsid w:val="022A6766"/>
    <w:rsid w:val="023A109F"/>
    <w:rsid w:val="023F2351"/>
    <w:rsid w:val="024737BC"/>
    <w:rsid w:val="02497534"/>
    <w:rsid w:val="024C492F"/>
    <w:rsid w:val="025739FF"/>
    <w:rsid w:val="025C1016"/>
    <w:rsid w:val="025D4D8E"/>
    <w:rsid w:val="0263637C"/>
    <w:rsid w:val="02641C78"/>
    <w:rsid w:val="02661E94"/>
    <w:rsid w:val="026659F0"/>
    <w:rsid w:val="026E00C7"/>
    <w:rsid w:val="027125E7"/>
    <w:rsid w:val="02714395"/>
    <w:rsid w:val="027A149C"/>
    <w:rsid w:val="02820350"/>
    <w:rsid w:val="028413D6"/>
    <w:rsid w:val="028D5673"/>
    <w:rsid w:val="0293255D"/>
    <w:rsid w:val="02963F39"/>
    <w:rsid w:val="029D18A6"/>
    <w:rsid w:val="02A0574E"/>
    <w:rsid w:val="02A1111E"/>
    <w:rsid w:val="02A23A3C"/>
    <w:rsid w:val="02AB5AF9"/>
    <w:rsid w:val="02AE478C"/>
    <w:rsid w:val="02B0310F"/>
    <w:rsid w:val="02B50726"/>
    <w:rsid w:val="02B726F0"/>
    <w:rsid w:val="02B81FC4"/>
    <w:rsid w:val="02BA21E0"/>
    <w:rsid w:val="02C443E7"/>
    <w:rsid w:val="02CE3596"/>
    <w:rsid w:val="02D2752A"/>
    <w:rsid w:val="02D7069C"/>
    <w:rsid w:val="02D92666"/>
    <w:rsid w:val="02DA6E33"/>
    <w:rsid w:val="02E903CF"/>
    <w:rsid w:val="02ED4364"/>
    <w:rsid w:val="02ED7EC0"/>
    <w:rsid w:val="02F94384"/>
    <w:rsid w:val="02FE20CD"/>
    <w:rsid w:val="030376E3"/>
    <w:rsid w:val="03062D2F"/>
    <w:rsid w:val="030671D3"/>
    <w:rsid w:val="0307624F"/>
    <w:rsid w:val="03103BAE"/>
    <w:rsid w:val="031713E0"/>
    <w:rsid w:val="03194B7A"/>
    <w:rsid w:val="03195159"/>
    <w:rsid w:val="031D6EFB"/>
    <w:rsid w:val="03265180"/>
    <w:rsid w:val="03267F2A"/>
    <w:rsid w:val="03275AC4"/>
    <w:rsid w:val="03295034"/>
    <w:rsid w:val="032B6C3A"/>
    <w:rsid w:val="03300D99"/>
    <w:rsid w:val="03327FC8"/>
    <w:rsid w:val="033A0C2B"/>
    <w:rsid w:val="033B527C"/>
    <w:rsid w:val="03435D32"/>
    <w:rsid w:val="03451AAA"/>
    <w:rsid w:val="03463A74"/>
    <w:rsid w:val="035241C7"/>
    <w:rsid w:val="03547F3F"/>
    <w:rsid w:val="035618EA"/>
    <w:rsid w:val="035B12CD"/>
    <w:rsid w:val="035E700F"/>
    <w:rsid w:val="0361440A"/>
    <w:rsid w:val="03754F19"/>
    <w:rsid w:val="03764359"/>
    <w:rsid w:val="03773C2D"/>
    <w:rsid w:val="037979A5"/>
    <w:rsid w:val="03800D34"/>
    <w:rsid w:val="03822BB9"/>
    <w:rsid w:val="0388408C"/>
    <w:rsid w:val="0391431A"/>
    <w:rsid w:val="039755A9"/>
    <w:rsid w:val="03A10CAA"/>
    <w:rsid w:val="03A47774"/>
    <w:rsid w:val="03AF786B"/>
    <w:rsid w:val="03B1757A"/>
    <w:rsid w:val="03BD3D36"/>
    <w:rsid w:val="03BE360A"/>
    <w:rsid w:val="03C3438E"/>
    <w:rsid w:val="03C47923"/>
    <w:rsid w:val="03CE545F"/>
    <w:rsid w:val="03D25723"/>
    <w:rsid w:val="03D64210"/>
    <w:rsid w:val="03D756A0"/>
    <w:rsid w:val="03E5328D"/>
    <w:rsid w:val="03E64831"/>
    <w:rsid w:val="03F51722"/>
    <w:rsid w:val="0405748B"/>
    <w:rsid w:val="040C6A6B"/>
    <w:rsid w:val="040E6340"/>
    <w:rsid w:val="04220309"/>
    <w:rsid w:val="04245B63"/>
    <w:rsid w:val="042E3A1F"/>
    <w:rsid w:val="04351B1E"/>
    <w:rsid w:val="043A35D9"/>
    <w:rsid w:val="043E5100"/>
    <w:rsid w:val="04421B33"/>
    <w:rsid w:val="04460AFF"/>
    <w:rsid w:val="0449381C"/>
    <w:rsid w:val="04583A5F"/>
    <w:rsid w:val="04642403"/>
    <w:rsid w:val="046C750A"/>
    <w:rsid w:val="04730056"/>
    <w:rsid w:val="047C774D"/>
    <w:rsid w:val="047F1C73"/>
    <w:rsid w:val="048142F6"/>
    <w:rsid w:val="04842AA6"/>
    <w:rsid w:val="048C3708"/>
    <w:rsid w:val="04936845"/>
    <w:rsid w:val="04986613"/>
    <w:rsid w:val="049E2F9E"/>
    <w:rsid w:val="04A10F62"/>
    <w:rsid w:val="04B01547"/>
    <w:rsid w:val="04B213C1"/>
    <w:rsid w:val="04B70785"/>
    <w:rsid w:val="04BD38C2"/>
    <w:rsid w:val="04BF3ADE"/>
    <w:rsid w:val="04C6380B"/>
    <w:rsid w:val="04CD774D"/>
    <w:rsid w:val="04D07A99"/>
    <w:rsid w:val="04E2157A"/>
    <w:rsid w:val="04E470A0"/>
    <w:rsid w:val="04ED23F9"/>
    <w:rsid w:val="04F35535"/>
    <w:rsid w:val="04FC263C"/>
    <w:rsid w:val="04FC6AE0"/>
    <w:rsid w:val="04FE0667"/>
    <w:rsid w:val="05015EA4"/>
    <w:rsid w:val="05031CD2"/>
    <w:rsid w:val="05080FE1"/>
    <w:rsid w:val="051200B1"/>
    <w:rsid w:val="051A6F66"/>
    <w:rsid w:val="0523406D"/>
    <w:rsid w:val="05353DA0"/>
    <w:rsid w:val="053A13B6"/>
    <w:rsid w:val="053B124C"/>
    <w:rsid w:val="053B68BC"/>
    <w:rsid w:val="054C28AE"/>
    <w:rsid w:val="05510E36"/>
    <w:rsid w:val="0559183C"/>
    <w:rsid w:val="05636384"/>
    <w:rsid w:val="056B77C2"/>
    <w:rsid w:val="056C5A14"/>
    <w:rsid w:val="05740424"/>
    <w:rsid w:val="0575419C"/>
    <w:rsid w:val="057714C1"/>
    <w:rsid w:val="05791A70"/>
    <w:rsid w:val="05791EDF"/>
    <w:rsid w:val="05832D5D"/>
    <w:rsid w:val="058B39C0"/>
    <w:rsid w:val="058C131C"/>
    <w:rsid w:val="058C1C12"/>
    <w:rsid w:val="058C6BDD"/>
    <w:rsid w:val="05961C79"/>
    <w:rsid w:val="05962A91"/>
    <w:rsid w:val="05974BBC"/>
    <w:rsid w:val="05995FBA"/>
    <w:rsid w:val="059C1EB1"/>
    <w:rsid w:val="059E7B97"/>
    <w:rsid w:val="05A11BAC"/>
    <w:rsid w:val="05A50F26"/>
    <w:rsid w:val="05AF3B52"/>
    <w:rsid w:val="05BA0D70"/>
    <w:rsid w:val="05BC1DCB"/>
    <w:rsid w:val="05C3315A"/>
    <w:rsid w:val="05C56A59"/>
    <w:rsid w:val="05D110F3"/>
    <w:rsid w:val="05D84E57"/>
    <w:rsid w:val="05DB66F5"/>
    <w:rsid w:val="05DB7947"/>
    <w:rsid w:val="05E0766C"/>
    <w:rsid w:val="05E27A84"/>
    <w:rsid w:val="05F45A09"/>
    <w:rsid w:val="05F81055"/>
    <w:rsid w:val="05FA2A1A"/>
    <w:rsid w:val="0600615C"/>
    <w:rsid w:val="06093E43"/>
    <w:rsid w:val="060F639F"/>
    <w:rsid w:val="06106186"/>
    <w:rsid w:val="06113EC5"/>
    <w:rsid w:val="06144460"/>
    <w:rsid w:val="061B656D"/>
    <w:rsid w:val="06222576"/>
    <w:rsid w:val="062956B3"/>
    <w:rsid w:val="062A4F87"/>
    <w:rsid w:val="062C6F51"/>
    <w:rsid w:val="062E0F1B"/>
    <w:rsid w:val="06341813"/>
    <w:rsid w:val="06345BBB"/>
    <w:rsid w:val="063D115E"/>
    <w:rsid w:val="063F6C84"/>
    <w:rsid w:val="06497B03"/>
    <w:rsid w:val="064A35D0"/>
    <w:rsid w:val="064A387B"/>
    <w:rsid w:val="06500E91"/>
    <w:rsid w:val="065D6663"/>
    <w:rsid w:val="065F10D4"/>
    <w:rsid w:val="0660046B"/>
    <w:rsid w:val="0673692E"/>
    <w:rsid w:val="067369FB"/>
    <w:rsid w:val="067C3406"/>
    <w:rsid w:val="06851991"/>
    <w:rsid w:val="06875F36"/>
    <w:rsid w:val="069112CA"/>
    <w:rsid w:val="06930D7E"/>
    <w:rsid w:val="06952D48"/>
    <w:rsid w:val="069763A4"/>
    <w:rsid w:val="069F3FEC"/>
    <w:rsid w:val="06AB256C"/>
    <w:rsid w:val="06B12DEF"/>
    <w:rsid w:val="06B44EDA"/>
    <w:rsid w:val="06B64A6C"/>
    <w:rsid w:val="06BE089F"/>
    <w:rsid w:val="06C57799"/>
    <w:rsid w:val="06C74ECC"/>
    <w:rsid w:val="06C92D5A"/>
    <w:rsid w:val="06CC0578"/>
    <w:rsid w:val="06CD24E2"/>
    <w:rsid w:val="06D51397"/>
    <w:rsid w:val="06D53145"/>
    <w:rsid w:val="06D60D20"/>
    <w:rsid w:val="06D86978"/>
    <w:rsid w:val="06DF5D71"/>
    <w:rsid w:val="06E16ABC"/>
    <w:rsid w:val="06E635A4"/>
    <w:rsid w:val="06EF2DF4"/>
    <w:rsid w:val="06FD08ED"/>
    <w:rsid w:val="06FE6B3F"/>
    <w:rsid w:val="07015C26"/>
    <w:rsid w:val="070337A4"/>
    <w:rsid w:val="07041C7C"/>
    <w:rsid w:val="070752C8"/>
    <w:rsid w:val="07097643"/>
    <w:rsid w:val="07136C1A"/>
    <w:rsid w:val="07143785"/>
    <w:rsid w:val="07155C37"/>
    <w:rsid w:val="071E67C4"/>
    <w:rsid w:val="07230354"/>
    <w:rsid w:val="072639A0"/>
    <w:rsid w:val="07267E44"/>
    <w:rsid w:val="073360BD"/>
    <w:rsid w:val="07372051"/>
    <w:rsid w:val="073F4A62"/>
    <w:rsid w:val="07407EB6"/>
    <w:rsid w:val="074402CA"/>
    <w:rsid w:val="07442078"/>
    <w:rsid w:val="074D53D1"/>
    <w:rsid w:val="0756191C"/>
    <w:rsid w:val="07630750"/>
    <w:rsid w:val="076444C8"/>
    <w:rsid w:val="076D7821"/>
    <w:rsid w:val="0775613A"/>
    <w:rsid w:val="077E37DC"/>
    <w:rsid w:val="07807554"/>
    <w:rsid w:val="0781151E"/>
    <w:rsid w:val="07837045"/>
    <w:rsid w:val="07893F2F"/>
    <w:rsid w:val="078D3874"/>
    <w:rsid w:val="078F59E9"/>
    <w:rsid w:val="07911761"/>
    <w:rsid w:val="079468F0"/>
    <w:rsid w:val="079B120C"/>
    <w:rsid w:val="079C3C62"/>
    <w:rsid w:val="079E3E7E"/>
    <w:rsid w:val="07A1571D"/>
    <w:rsid w:val="07A215BC"/>
    <w:rsid w:val="07A7684E"/>
    <w:rsid w:val="07AD78E4"/>
    <w:rsid w:val="07BA10F5"/>
    <w:rsid w:val="07BB67DE"/>
    <w:rsid w:val="07CC027A"/>
    <w:rsid w:val="07D653C6"/>
    <w:rsid w:val="07D72EEC"/>
    <w:rsid w:val="07E22674"/>
    <w:rsid w:val="07E64C3E"/>
    <w:rsid w:val="07EC6998"/>
    <w:rsid w:val="07ED2710"/>
    <w:rsid w:val="07EF0236"/>
    <w:rsid w:val="07F40138"/>
    <w:rsid w:val="07F9321E"/>
    <w:rsid w:val="07FF1CDD"/>
    <w:rsid w:val="080A1514"/>
    <w:rsid w:val="08122176"/>
    <w:rsid w:val="08191757"/>
    <w:rsid w:val="081D1247"/>
    <w:rsid w:val="08393BA7"/>
    <w:rsid w:val="083B791F"/>
    <w:rsid w:val="083E11BD"/>
    <w:rsid w:val="084542FA"/>
    <w:rsid w:val="08493DEA"/>
    <w:rsid w:val="084D31AF"/>
    <w:rsid w:val="08591B53"/>
    <w:rsid w:val="085B544F"/>
    <w:rsid w:val="085E716A"/>
    <w:rsid w:val="086A6018"/>
    <w:rsid w:val="0875407C"/>
    <w:rsid w:val="088E5CA1"/>
    <w:rsid w:val="08912FDE"/>
    <w:rsid w:val="08941CC3"/>
    <w:rsid w:val="089B32EF"/>
    <w:rsid w:val="089B6610"/>
    <w:rsid w:val="089D3FDB"/>
    <w:rsid w:val="08A70B11"/>
    <w:rsid w:val="08A92ADB"/>
    <w:rsid w:val="08A94889"/>
    <w:rsid w:val="08AF79C5"/>
    <w:rsid w:val="08B1373D"/>
    <w:rsid w:val="08B5322E"/>
    <w:rsid w:val="08B60D54"/>
    <w:rsid w:val="08BC0A60"/>
    <w:rsid w:val="08C2594B"/>
    <w:rsid w:val="08C8551C"/>
    <w:rsid w:val="08E22EC9"/>
    <w:rsid w:val="08E81855"/>
    <w:rsid w:val="08ED6E6B"/>
    <w:rsid w:val="08F17FDE"/>
    <w:rsid w:val="08F655F4"/>
    <w:rsid w:val="08FC70AE"/>
    <w:rsid w:val="09023F99"/>
    <w:rsid w:val="090441B5"/>
    <w:rsid w:val="09077801"/>
    <w:rsid w:val="09101C07"/>
    <w:rsid w:val="0913264A"/>
    <w:rsid w:val="091D1F66"/>
    <w:rsid w:val="091F2D9D"/>
    <w:rsid w:val="092263E9"/>
    <w:rsid w:val="092403B3"/>
    <w:rsid w:val="09244A18"/>
    <w:rsid w:val="0926237D"/>
    <w:rsid w:val="093018E7"/>
    <w:rsid w:val="09304FAA"/>
    <w:rsid w:val="09322AD0"/>
    <w:rsid w:val="09383E5F"/>
    <w:rsid w:val="093A688F"/>
    <w:rsid w:val="0949606C"/>
    <w:rsid w:val="09574568"/>
    <w:rsid w:val="0958005D"/>
    <w:rsid w:val="095F13EB"/>
    <w:rsid w:val="096B15C8"/>
    <w:rsid w:val="096D58B6"/>
    <w:rsid w:val="096F2545"/>
    <w:rsid w:val="09736C45"/>
    <w:rsid w:val="097A6225"/>
    <w:rsid w:val="098244A7"/>
    <w:rsid w:val="09827219"/>
    <w:rsid w:val="09840E52"/>
    <w:rsid w:val="098B3F8E"/>
    <w:rsid w:val="099472E7"/>
    <w:rsid w:val="09972933"/>
    <w:rsid w:val="09A84B40"/>
    <w:rsid w:val="09AA4D5C"/>
    <w:rsid w:val="09B039F5"/>
    <w:rsid w:val="09B90AFC"/>
    <w:rsid w:val="09BE6112"/>
    <w:rsid w:val="09C53944"/>
    <w:rsid w:val="09CB557B"/>
    <w:rsid w:val="09CD0A4B"/>
    <w:rsid w:val="09CD27F9"/>
    <w:rsid w:val="09CF031F"/>
    <w:rsid w:val="09D45935"/>
    <w:rsid w:val="09D678FF"/>
    <w:rsid w:val="09D75426"/>
    <w:rsid w:val="09E40A2E"/>
    <w:rsid w:val="09ED69F7"/>
    <w:rsid w:val="09F63AFE"/>
    <w:rsid w:val="09FA2C3E"/>
    <w:rsid w:val="0A040BE9"/>
    <w:rsid w:val="0A0F3905"/>
    <w:rsid w:val="0A116B8A"/>
    <w:rsid w:val="0A1B7A08"/>
    <w:rsid w:val="0A1C72DC"/>
    <w:rsid w:val="0A2A37A7"/>
    <w:rsid w:val="0A2A7C4B"/>
    <w:rsid w:val="0A2E424B"/>
    <w:rsid w:val="0A326B00"/>
    <w:rsid w:val="0A355EA0"/>
    <w:rsid w:val="0A397E8E"/>
    <w:rsid w:val="0A3D472E"/>
    <w:rsid w:val="0A570314"/>
    <w:rsid w:val="0A5B7E05"/>
    <w:rsid w:val="0A5F5B47"/>
    <w:rsid w:val="0A5F7F8F"/>
    <w:rsid w:val="0A652A31"/>
    <w:rsid w:val="0A653918"/>
    <w:rsid w:val="0A6749FB"/>
    <w:rsid w:val="0A7B2255"/>
    <w:rsid w:val="0A841E4C"/>
    <w:rsid w:val="0A8777EC"/>
    <w:rsid w:val="0A891C20"/>
    <w:rsid w:val="0A9E5F43"/>
    <w:rsid w:val="0AA364AD"/>
    <w:rsid w:val="0AAC0F25"/>
    <w:rsid w:val="0AAD6FF2"/>
    <w:rsid w:val="0AAE6186"/>
    <w:rsid w:val="0AB13138"/>
    <w:rsid w:val="0ABB08A3"/>
    <w:rsid w:val="0ACA0AE6"/>
    <w:rsid w:val="0AD32091"/>
    <w:rsid w:val="0ADB7197"/>
    <w:rsid w:val="0ADD6A6C"/>
    <w:rsid w:val="0ADF27E4"/>
    <w:rsid w:val="0AF53DB5"/>
    <w:rsid w:val="0AF618DB"/>
    <w:rsid w:val="0B022976"/>
    <w:rsid w:val="0B043FF8"/>
    <w:rsid w:val="0B1A34E5"/>
    <w:rsid w:val="0B210D11"/>
    <w:rsid w:val="0B2A3732"/>
    <w:rsid w:val="0B2C5E24"/>
    <w:rsid w:val="0B32314A"/>
    <w:rsid w:val="0B42710B"/>
    <w:rsid w:val="0B446AEB"/>
    <w:rsid w:val="0B492353"/>
    <w:rsid w:val="0B494101"/>
    <w:rsid w:val="0B4B1C27"/>
    <w:rsid w:val="0B534F80"/>
    <w:rsid w:val="0B536D2E"/>
    <w:rsid w:val="0B553428"/>
    <w:rsid w:val="0B5807E8"/>
    <w:rsid w:val="0B5A4560"/>
    <w:rsid w:val="0B6131F9"/>
    <w:rsid w:val="0B6158EF"/>
    <w:rsid w:val="0B811AED"/>
    <w:rsid w:val="0B835865"/>
    <w:rsid w:val="0B907F82"/>
    <w:rsid w:val="0B957346"/>
    <w:rsid w:val="0B996E37"/>
    <w:rsid w:val="0BA8707A"/>
    <w:rsid w:val="0BA96923"/>
    <w:rsid w:val="0BB35A1E"/>
    <w:rsid w:val="0BBC48D3"/>
    <w:rsid w:val="0BC1013B"/>
    <w:rsid w:val="0BC419DA"/>
    <w:rsid w:val="0BCD6AE0"/>
    <w:rsid w:val="0BD452F2"/>
    <w:rsid w:val="0BD55995"/>
    <w:rsid w:val="0BD7170D"/>
    <w:rsid w:val="0BE04A65"/>
    <w:rsid w:val="0BE10AC9"/>
    <w:rsid w:val="0BE45812"/>
    <w:rsid w:val="0BE45BD8"/>
    <w:rsid w:val="0BE71C3D"/>
    <w:rsid w:val="0BE72379"/>
    <w:rsid w:val="0BEB51B8"/>
    <w:rsid w:val="0BEB6F66"/>
    <w:rsid w:val="0BF16C73"/>
    <w:rsid w:val="0BF4069F"/>
    <w:rsid w:val="0BF978D5"/>
    <w:rsid w:val="0BFE313E"/>
    <w:rsid w:val="0C0043CF"/>
    <w:rsid w:val="0C171B6E"/>
    <w:rsid w:val="0C177D5B"/>
    <w:rsid w:val="0C1E733C"/>
    <w:rsid w:val="0C230DF6"/>
    <w:rsid w:val="0C2506CA"/>
    <w:rsid w:val="0C254C4B"/>
    <w:rsid w:val="0C254F7A"/>
    <w:rsid w:val="0C30706F"/>
    <w:rsid w:val="0C3D1EB8"/>
    <w:rsid w:val="0C3F7D74"/>
    <w:rsid w:val="0C4025D2"/>
    <w:rsid w:val="0C4A1EDF"/>
    <w:rsid w:val="0C547EF7"/>
    <w:rsid w:val="0C564D28"/>
    <w:rsid w:val="0C5B233E"/>
    <w:rsid w:val="0C5E7772"/>
    <w:rsid w:val="0C605BA6"/>
    <w:rsid w:val="0C6F5DE9"/>
    <w:rsid w:val="0C6F7B97"/>
    <w:rsid w:val="0C767178"/>
    <w:rsid w:val="0C7E427E"/>
    <w:rsid w:val="0C7E602C"/>
    <w:rsid w:val="0C853B1A"/>
    <w:rsid w:val="0C882A07"/>
    <w:rsid w:val="0C920566"/>
    <w:rsid w:val="0C925AC4"/>
    <w:rsid w:val="0C931AD8"/>
    <w:rsid w:val="0C9A388A"/>
    <w:rsid w:val="0C9B6BDE"/>
    <w:rsid w:val="0CA35D73"/>
    <w:rsid w:val="0CA75583"/>
    <w:rsid w:val="0CAC044E"/>
    <w:rsid w:val="0CAE6912"/>
    <w:rsid w:val="0CB67574"/>
    <w:rsid w:val="0CBC3E25"/>
    <w:rsid w:val="0CC06645"/>
    <w:rsid w:val="0CC51EAD"/>
    <w:rsid w:val="0CCF6888"/>
    <w:rsid w:val="0CD8573D"/>
    <w:rsid w:val="0CDA7707"/>
    <w:rsid w:val="0CDB0A03"/>
    <w:rsid w:val="0CDE190C"/>
    <w:rsid w:val="0CDE6ACB"/>
    <w:rsid w:val="0CE00A95"/>
    <w:rsid w:val="0CE560AB"/>
    <w:rsid w:val="0CE5798A"/>
    <w:rsid w:val="0CEA0152"/>
    <w:rsid w:val="0CEA0782"/>
    <w:rsid w:val="0CEE5747"/>
    <w:rsid w:val="0CF167FE"/>
    <w:rsid w:val="0CF462EF"/>
    <w:rsid w:val="0D004C93"/>
    <w:rsid w:val="0D0201EA"/>
    <w:rsid w:val="0D0227BA"/>
    <w:rsid w:val="0D0332A3"/>
    <w:rsid w:val="0D136775"/>
    <w:rsid w:val="0D270DA4"/>
    <w:rsid w:val="0D470B14"/>
    <w:rsid w:val="0D505C1B"/>
    <w:rsid w:val="0D570D57"/>
    <w:rsid w:val="0D5B011C"/>
    <w:rsid w:val="0D5F7C0C"/>
    <w:rsid w:val="0D613984"/>
    <w:rsid w:val="0D6214AA"/>
    <w:rsid w:val="0D682F64"/>
    <w:rsid w:val="0D696DCC"/>
    <w:rsid w:val="0D6C6406"/>
    <w:rsid w:val="0D6E42F3"/>
    <w:rsid w:val="0D735465"/>
    <w:rsid w:val="0D81478E"/>
    <w:rsid w:val="0D8238FA"/>
    <w:rsid w:val="0D862FC8"/>
    <w:rsid w:val="0D8A2FED"/>
    <w:rsid w:val="0D940C01"/>
    <w:rsid w:val="0D9C2C0E"/>
    <w:rsid w:val="0D9E6986"/>
    <w:rsid w:val="0DA4187D"/>
    <w:rsid w:val="0DAB4CA3"/>
    <w:rsid w:val="0DBB7938"/>
    <w:rsid w:val="0DC24E06"/>
    <w:rsid w:val="0DC83A03"/>
    <w:rsid w:val="0DCA29A0"/>
    <w:rsid w:val="0DCB704F"/>
    <w:rsid w:val="0DD208F0"/>
    <w:rsid w:val="0DD73C46"/>
    <w:rsid w:val="0DD979BE"/>
    <w:rsid w:val="0DDC7AB4"/>
    <w:rsid w:val="0DE73F9D"/>
    <w:rsid w:val="0DE84FF1"/>
    <w:rsid w:val="0DED346A"/>
    <w:rsid w:val="0DF27B3A"/>
    <w:rsid w:val="0DF540CC"/>
    <w:rsid w:val="0E0F33E0"/>
    <w:rsid w:val="0E180AFA"/>
    <w:rsid w:val="0E303356"/>
    <w:rsid w:val="0E3270CE"/>
    <w:rsid w:val="0E3746E5"/>
    <w:rsid w:val="0E434CA2"/>
    <w:rsid w:val="0E4B0190"/>
    <w:rsid w:val="0E5928AD"/>
    <w:rsid w:val="0E5B6625"/>
    <w:rsid w:val="0E5C414B"/>
    <w:rsid w:val="0E603C3C"/>
    <w:rsid w:val="0E71409B"/>
    <w:rsid w:val="0E7476E7"/>
    <w:rsid w:val="0E761F17"/>
    <w:rsid w:val="0E83792A"/>
    <w:rsid w:val="0E90419B"/>
    <w:rsid w:val="0EA53498"/>
    <w:rsid w:val="0EAA7A46"/>
    <w:rsid w:val="0EAE274B"/>
    <w:rsid w:val="0EB151DA"/>
    <w:rsid w:val="0EBD5965"/>
    <w:rsid w:val="0EC266A4"/>
    <w:rsid w:val="0EC40B28"/>
    <w:rsid w:val="0ED2440E"/>
    <w:rsid w:val="0EDC27A4"/>
    <w:rsid w:val="0EDE1004"/>
    <w:rsid w:val="0EE06B2A"/>
    <w:rsid w:val="0EE30765"/>
    <w:rsid w:val="0EE875CA"/>
    <w:rsid w:val="0EEF3211"/>
    <w:rsid w:val="0EF3685E"/>
    <w:rsid w:val="0EF425D6"/>
    <w:rsid w:val="0EF600FC"/>
    <w:rsid w:val="0EF65538"/>
    <w:rsid w:val="0EFD3B60"/>
    <w:rsid w:val="0F00541F"/>
    <w:rsid w:val="0F0947E6"/>
    <w:rsid w:val="0F0B71C2"/>
    <w:rsid w:val="0F0B7F8B"/>
    <w:rsid w:val="0F16254C"/>
    <w:rsid w:val="0F184516"/>
    <w:rsid w:val="0F20786F"/>
    <w:rsid w:val="0F256C33"/>
    <w:rsid w:val="0F2904D1"/>
    <w:rsid w:val="0F2E527C"/>
    <w:rsid w:val="0F36499C"/>
    <w:rsid w:val="0F3A26DF"/>
    <w:rsid w:val="0F3A448D"/>
    <w:rsid w:val="0F3D3AB4"/>
    <w:rsid w:val="0F3F0D9D"/>
    <w:rsid w:val="0F3F588B"/>
    <w:rsid w:val="0F3F5F47"/>
    <w:rsid w:val="0F501F02"/>
    <w:rsid w:val="0F563291"/>
    <w:rsid w:val="0F572B3C"/>
    <w:rsid w:val="0F6058F8"/>
    <w:rsid w:val="0F655282"/>
    <w:rsid w:val="0F6C03BE"/>
    <w:rsid w:val="0F73174D"/>
    <w:rsid w:val="0F775D3E"/>
    <w:rsid w:val="0F7811AE"/>
    <w:rsid w:val="0F851480"/>
    <w:rsid w:val="0F865924"/>
    <w:rsid w:val="0F890F70"/>
    <w:rsid w:val="0F8B17F6"/>
    <w:rsid w:val="0F951E83"/>
    <w:rsid w:val="0F9C6EF5"/>
    <w:rsid w:val="0FA270B4"/>
    <w:rsid w:val="0FAB006A"/>
    <w:rsid w:val="0FB10A42"/>
    <w:rsid w:val="0FB26719"/>
    <w:rsid w:val="0FB56209"/>
    <w:rsid w:val="0FB6788B"/>
    <w:rsid w:val="0FC401FA"/>
    <w:rsid w:val="0FD146C5"/>
    <w:rsid w:val="0FD348E1"/>
    <w:rsid w:val="0FDA17CC"/>
    <w:rsid w:val="0FDA7A1E"/>
    <w:rsid w:val="0FE53F92"/>
    <w:rsid w:val="0FE90290"/>
    <w:rsid w:val="0FFC7697"/>
    <w:rsid w:val="10060813"/>
    <w:rsid w:val="100F5919"/>
    <w:rsid w:val="101822F4"/>
    <w:rsid w:val="101E7BF6"/>
    <w:rsid w:val="10246EEB"/>
    <w:rsid w:val="10254FCF"/>
    <w:rsid w:val="10362DC0"/>
    <w:rsid w:val="103750DB"/>
    <w:rsid w:val="103A6D61"/>
    <w:rsid w:val="105C0433"/>
    <w:rsid w:val="105C48D7"/>
    <w:rsid w:val="105F6519"/>
    <w:rsid w:val="106043C7"/>
    <w:rsid w:val="106612B1"/>
    <w:rsid w:val="107069BA"/>
    <w:rsid w:val="10762B40"/>
    <w:rsid w:val="10831E63"/>
    <w:rsid w:val="10977032"/>
    <w:rsid w:val="1099323E"/>
    <w:rsid w:val="109B53FF"/>
    <w:rsid w:val="10A337BD"/>
    <w:rsid w:val="10A77888"/>
    <w:rsid w:val="10A81917"/>
    <w:rsid w:val="10AA3894"/>
    <w:rsid w:val="10BB15FD"/>
    <w:rsid w:val="10C8771B"/>
    <w:rsid w:val="10D91A83"/>
    <w:rsid w:val="10DE353E"/>
    <w:rsid w:val="10DE52EC"/>
    <w:rsid w:val="10E16B8A"/>
    <w:rsid w:val="10E24641"/>
    <w:rsid w:val="10E8616A"/>
    <w:rsid w:val="10ED3781"/>
    <w:rsid w:val="10F770B9"/>
    <w:rsid w:val="10F828C6"/>
    <w:rsid w:val="10F9096F"/>
    <w:rsid w:val="1102547E"/>
    <w:rsid w:val="11045D53"/>
    <w:rsid w:val="11045EE1"/>
    <w:rsid w:val="110725CC"/>
    <w:rsid w:val="110C12EC"/>
    <w:rsid w:val="11135630"/>
    <w:rsid w:val="11146F5F"/>
    <w:rsid w:val="11275806"/>
    <w:rsid w:val="11360C84"/>
    <w:rsid w:val="11366ED6"/>
    <w:rsid w:val="1152799A"/>
    <w:rsid w:val="11553800"/>
    <w:rsid w:val="115820C3"/>
    <w:rsid w:val="115A0E16"/>
    <w:rsid w:val="116339D1"/>
    <w:rsid w:val="11660A66"/>
    <w:rsid w:val="116972AB"/>
    <w:rsid w:val="116C28F7"/>
    <w:rsid w:val="116C6D9B"/>
    <w:rsid w:val="116E041E"/>
    <w:rsid w:val="1170063A"/>
    <w:rsid w:val="117F6ACF"/>
    <w:rsid w:val="11910B2A"/>
    <w:rsid w:val="1193257A"/>
    <w:rsid w:val="11991213"/>
    <w:rsid w:val="119C142F"/>
    <w:rsid w:val="119D4F21"/>
    <w:rsid w:val="11A93B4C"/>
    <w:rsid w:val="11B22984"/>
    <w:rsid w:val="11B34C8E"/>
    <w:rsid w:val="11B60016"/>
    <w:rsid w:val="11BB27B8"/>
    <w:rsid w:val="11BD1BAD"/>
    <w:rsid w:val="11C22644"/>
    <w:rsid w:val="11C664AC"/>
    <w:rsid w:val="11C90F52"/>
    <w:rsid w:val="11C95F9C"/>
    <w:rsid w:val="11CC15E8"/>
    <w:rsid w:val="11D53180"/>
    <w:rsid w:val="11DB182B"/>
    <w:rsid w:val="11E93F48"/>
    <w:rsid w:val="11EA5F58"/>
    <w:rsid w:val="11EB7CC0"/>
    <w:rsid w:val="11EC57E6"/>
    <w:rsid w:val="11F72B09"/>
    <w:rsid w:val="11F84BB9"/>
    <w:rsid w:val="12086AC4"/>
    <w:rsid w:val="120945EA"/>
    <w:rsid w:val="12144AEB"/>
    <w:rsid w:val="1215131A"/>
    <w:rsid w:val="121B783C"/>
    <w:rsid w:val="12244F80"/>
    <w:rsid w:val="12266F4A"/>
    <w:rsid w:val="122D2087"/>
    <w:rsid w:val="122E4051"/>
    <w:rsid w:val="122F22A3"/>
    <w:rsid w:val="123478B9"/>
    <w:rsid w:val="12413D84"/>
    <w:rsid w:val="124473D0"/>
    <w:rsid w:val="1246013E"/>
    <w:rsid w:val="124949E7"/>
    <w:rsid w:val="124F64A1"/>
    <w:rsid w:val="125A4E46"/>
    <w:rsid w:val="125E4936"/>
    <w:rsid w:val="12695089"/>
    <w:rsid w:val="126F08F1"/>
    <w:rsid w:val="12745F08"/>
    <w:rsid w:val="127A7296"/>
    <w:rsid w:val="1292638E"/>
    <w:rsid w:val="12A01767"/>
    <w:rsid w:val="12A41E2E"/>
    <w:rsid w:val="12AA36D7"/>
    <w:rsid w:val="12B4722C"/>
    <w:rsid w:val="12C0739F"/>
    <w:rsid w:val="12C5502F"/>
    <w:rsid w:val="12C66037"/>
    <w:rsid w:val="12C878BC"/>
    <w:rsid w:val="12CE0BB5"/>
    <w:rsid w:val="12D15108"/>
    <w:rsid w:val="12D40754"/>
    <w:rsid w:val="12D47F8E"/>
    <w:rsid w:val="12EF1689"/>
    <w:rsid w:val="12F232D0"/>
    <w:rsid w:val="12F27A84"/>
    <w:rsid w:val="130A1D43"/>
    <w:rsid w:val="13113756"/>
    <w:rsid w:val="1311486C"/>
    <w:rsid w:val="13134ACB"/>
    <w:rsid w:val="13253FFE"/>
    <w:rsid w:val="13257202"/>
    <w:rsid w:val="133308DE"/>
    <w:rsid w:val="13367661"/>
    <w:rsid w:val="13390EFF"/>
    <w:rsid w:val="133B6A25"/>
    <w:rsid w:val="133D279D"/>
    <w:rsid w:val="133E63BF"/>
    <w:rsid w:val="134358DA"/>
    <w:rsid w:val="13482EF0"/>
    <w:rsid w:val="134A4EBA"/>
    <w:rsid w:val="134E49AB"/>
    <w:rsid w:val="13581385"/>
    <w:rsid w:val="135E5661"/>
    <w:rsid w:val="13620456"/>
    <w:rsid w:val="13737F6D"/>
    <w:rsid w:val="137912FC"/>
    <w:rsid w:val="137B5074"/>
    <w:rsid w:val="137F2DB6"/>
    <w:rsid w:val="13853604"/>
    <w:rsid w:val="138959E3"/>
    <w:rsid w:val="138C54D3"/>
    <w:rsid w:val="138F28CD"/>
    <w:rsid w:val="13954387"/>
    <w:rsid w:val="139F4E30"/>
    <w:rsid w:val="139F5206"/>
    <w:rsid w:val="13A04ADA"/>
    <w:rsid w:val="13A10F7E"/>
    <w:rsid w:val="13A3232F"/>
    <w:rsid w:val="13AC7923"/>
    <w:rsid w:val="13B10A95"/>
    <w:rsid w:val="13BA3DEE"/>
    <w:rsid w:val="13CC54B9"/>
    <w:rsid w:val="13D053C0"/>
    <w:rsid w:val="13DB5B12"/>
    <w:rsid w:val="13E96481"/>
    <w:rsid w:val="140275A9"/>
    <w:rsid w:val="140C346E"/>
    <w:rsid w:val="140C37B9"/>
    <w:rsid w:val="14157276"/>
    <w:rsid w:val="14182A2A"/>
    <w:rsid w:val="141F11F4"/>
    <w:rsid w:val="141F1EA3"/>
    <w:rsid w:val="142432AD"/>
    <w:rsid w:val="142E6F34"/>
    <w:rsid w:val="143A6CDD"/>
    <w:rsid w:val="143F0797"/>
    <w:rsid w:val="143F0CC5"/>
    <w:rsid w:val="143F60A1"/>
    <w:rsid w:val="145558C5"/>
    <w:rsid w:val="145C30F7"/>
    <w:rsid w:val="145C4EA5"/>
    <w:rsid w:val="145E6E6F"/>
    <w:rsid w:val="145F04F1"/>
    <w:rsid w:val="14681A9C"/>
    <w:rsid w:val="14687A87"/>
    <w:rsid w:val="146D2C0E"/>
    <w:rsid w:val="147F0B94"/>
    <w:rsid w:val="148461AA"/>
    <w:rsid w:val="14897C91"/>
    <w:rsid w:val="148A2C9A"/>
    <w:rsid w:val="14A16D5C"/>
    <w:rsid w:val="14AB450A"/>
    <w:rsid w:val="14B1053D"/>
    <w:rsid w:val="14B37C3C"/>
    <w:rsid w:val="14BC1DE8"/>
    <w:rsid w:val="14BC5944"/>
    <w:rsid w:val="14BF2D3F"/>
    <w:rsid w:val="14D25167"/>
    <w:rsid w:val="14D7452C"/>
    <w:rsid w:val="14E530ED"/>
    <w:rsid w:val="14ED5843"/>
    <w:rsid w:val="14F25809"/>
    <w:rsid w:val="15015A4D"/>
    <w:rsid w:val="15032920"/>
    <w:rsid w:val="15051099"/>
    <w:rsid w:val="150F40A9"/>
    <w:rsid w:val="151439D2"/>
    <w:rsid w:val="151A411A"/>
    <w:rsid w:val="151B65FC"/>
    <w:rsid w:val="152A4FA3"/>
    <w:rsid w:val="153328BD"/>
    <w:rsid w:val="15334487"/>
    <w:rsid w:val="15347BD0"/>
    <w:rsid w:val="15386EA9"/>
    <w:rsid w:val="153B4ABB"/>
    <w:rsid w:val="153E5E21"/>
    <w:rsid w:val="153F568C"/>
    <w:rsid w:val="154871D8"/>
    <w:rsid w:val="15542020"/>
    <w:rsid w:val="15545B7C"/>
    <w:rsid w:val="15712BD2"/>
    <w:rsid w:val="157E5BC8"/>
    <w:rsid w:val="158703BA"/>
    <w:rsid w:val="158741A4"/>
    <w:rsid w:val="15894CE1"/>
    <w:rsid w:val="158E5532"/>
    <w:rsid w:val="158F3058"/>
    <w:rsid w:val="159874B9"/>
    <w:rsid w:val="159A3ED7"/>
    <w:rsid w:val="159D39C7"/>
    <w:rsid w:val="159E5049"/>
    <w:rsid w:val="15A22D8C"/>
    <w:rsid w:val="15AB6F48"/>
    <w:rsid w:val="15AF54A9"/>
    <w:rsid w:val="15B14D7D"/>
    <w:rsid w:val="15BB713F"/>
    <w:rsid w:val="15BD5E17"/>
    <w:rsid w:val="15C26F8A"/>
    <w:rsid w:val="15C9656A"/>
    <w:rsid w:val="15CF16A7"/>
    <w:rsid w:val="15D54F0F"/>
    <w:rsid w:val="15D55DE5"/>
    <w:rsid w:val="15DA3CC3"/>
    <w:rsid w:val="15E52C78"/>
    <w:rsid w:val="15EB4733"/>
    <w:rsid w:val="15EC4007"/>
    <w:rsid w:val="15ED707B"/>
    <w:rsid w:val="15FC518A"/>
    <w:rsid w:val="15FD53D8"/>
    <w:rsid w:val="16041350"/>
    <w:rsid w:val="160C77F6"/>
    <w:rsid w:val="161A0B74"/>
    <w:rsid w:val="16273291"/>
    <w:rsid w:val="16296B24"/>
    <w:rsid w:val="162B0FD3"/>
    <w:rsid w:val="16301EEC"/>
    <w:rsid w:val="16314110"/>
    <w:rsid w:val="16372A44"/>
    <w:rsid w:val="1638724C"/>
    <w:rsid w:val="163C4C29"/>
    <w:rsid w:val="16465E0D"/>
    <w:rsid w:val="164E6A70"/>
    <w:rsid w:val="165322D8"/>
    <w:rsid w:val="165764A9"/>
    <w:rsid w:val="1658169C"/>
    <w:rsid w:val="165A3F0C"/>
    <w:rsid w:val="165D428C"/>
    <w:rsid w:val="165F0C7D"/>
    <w:rsid w:val="166718DF"/>
    <w:rsid w:val="167D1103"/>
    <w:rsid w:val="16827510"/>
    <w:rsid w:val="16866209"/>
    <w:rsid w:val="16900E36"/>
    <w:rsid w:val="16931292"/>
    <w:rsid w:val="169721C5"/>
    <w:rsid w:val="169A1CB5"/>
    <w:rsid w:val="169A7F07"/>
    <w:rsid w:val="169C0F78"/>
    <w:rsid w:val="169F551D"/>
    <w:rsid w:val="16A82624"/>
    <w:rsid w:val="16B03286"/>
    <w:rsid w:val="16B0772A"/>
    <w:rsid w:val="16B40FC8"/>
    <w:rsid w:val="16BB3429"/>
    <w:rsid w:val="16BF34C9"/>
    <w:rsid w:val="16C86822"/>
    <w:rsid w:val="16C94348"/>
    <w:rsid w:val="16C9448E"/>
    <w:rsid w:val="16CD5BE6"/>
    <w:rsid w:val="16D725CF"/>
    <w:rsid w:val="16D76A65"/>
    <w:rsid w:val="16D831AB"/>
    <w:rsid w:val="16DE1BA1"/>
    <w:rsid w:val="16E573D4"/>
    <w:rsid w:val="16EF70D4"/>
    <w:rsid w:val="16F13FCB"/>
    <w:rsid w:val="16F97785"/>
    <w:rsid w:val="16FE0496"/>
    <w:rsid w:val="16FF09D2"/>
    <w:rsid w:val="16FF20E7"/>
    <w:rsid w:val="1700420E"/>
    <w:rsid w:val="1703785A"/>
    <w:rsid w:val="170B4961"/>
    <w:rsid w:val="170B670F"/>
    <w:rsid w:val="170D5CC4"/>
    <w:rsid w:val="171E28E6"/>
    <w:rsid w:val="17215F32"/>
    <w:rsid w:val="17253C74"/>
    <w:rsid w:val="172872C1"/>
    <w:rsid w:val="172A3039"/>
    <w:rsid w:val="172D2B29"/>
    <w:rsid w:val="172D2EFF"/>
    <w:rsid w:val="173E6AE4"/>
    <w:rsid w:val="1740460A"/>
    <w:rsid w:val="17465999"/>
    <w:rsid w:val="17555BDC"/>
    <w:rsid w:val="17577BA6"/>
    <w:rsid w:val="175A569D"/>
    <w:rsid w:val="175E0F34"/>
    <w:rsid w:val="177C42CE"/>
    <w:rsid w:val="178070FD"/>
    <w:rsid w:val="17836BED"/>
    <w:rsid w:val="1787048B"/>
    <w:rsid w:val="178F10EE"/>
    <w:rsid w:val="17956A47"/>
    <w:rsid w:val="17A0154D"/>
    <w:rsid w:val="17A6276A"/>
    <w:rsid w:val="17B0031C"/>
    <w:rsid w:val="17B40B54"/>
    <w:rsid w:val="17B53A0E"/>
    <w:rsid w:val="17B62B1E"/>
    <w:rsid w:val="17B84AE8"/>
    <w:rsid w:val="17BB1EE3"/>
    <w:rsid w:val="17C27715"/>
    <w:rsid w:val="17C52AFB"/>
    <w:rsid w:val="17C76AD9"/>
    <w:rsid w:val="17C87E22"/>
    <w:rsid w:val="17CC0594"/>
    <w:rsid w:val="17CE7E68"/>
    <w:rsid w:val="17D411F6"/>
    <w:rsid w:val="17D9680D"/>
    <w:rsid w:val="17E256C1"/>
    <w:rsid w:val="17E7717C"/>
    <w:rsid w:val="17EC02EE"/>
    <w:rsid w:val="17EF7DDE"/>
    <w:rsid w:val="17FB2C27"/>
    <w:rsid w:val="180970F2"/>
    <w:rsid w:val="180B1483"/>
    <w:rsid w:val="181141F9"/>
    <w:rsid w:val="18185587"/>
    <w:rsid w:val="18226406"/>
    <w:rsid w:val="1822771A"/>
    <w:rsid w:val="18267CA4"/>
    <w:rsid w:val="183323C1"/>
    <w:rsid w:val="1843207A"/>
    <w:rsid w:val="1845140F"/>
    <w:rsid w:val="184C3483"/>
    <w:rsid w:val="184F5194"/>
    <w:rsid w:val="185C1918"/>
    <w:rsid w:val="18624A54"/>
    <w:rsid w:val="1862727E"/>
    <w:rsid w:val="18647C7D"/>
    <w:rsid w:val="186E164B"/>
    <w:rsid w:val="18775C69"/>
    <w:rsid w:val="18784278"/>
    <w:rsid w:val="187A7FF0"/>
    <w:rsid w:val="187C5B16"/>
    <w:rsid w:val="18866D07"/>
    <w:rsid w:val="188B7B07"/>
    <w:rsid w:val="1890511D"/>
    <w:rsid w:val="18930AC2"/>
    <w:rsid w:val="18952734"/>
    <w:rsid w:val="189A2440"/>
    <w:rsid w:val="189C7F66"/>
    <w:rsid w:val="189F35B2"/>
    <w:rsid w:val="18A16A6C"/>
    <w:rsid w:val="18B232E6"/>
    <w:rsid w:val="18B31317"/>
    <w:rsid w:val="18D05E62"/>
    <w:rsid w:val="18D07C10"/>
    <w:rsid w:val="18D33CA4"/>
    <w:rsid w:val="18DF7E53"/>
    <w:rsid w:val="18E2498B"/>
    <w:rsid w:val="18E5190D"/>
    <w:rsid w:val="18E611E1"/>
    <w:rsid w:val="18ED431E"/>
    <w:rsid w:val="18EE0096"/>
    <w:rsid w:val="18F267C3"/>
    <w:rsid w:val="18F71640"/>
    <w:rsid w:val="18FC0A05"/>
    <w:rsid w:val="19000E9A"/>
    <w:rsid w:val="19067AD5"/>
    <w:rsid w:val="190F0738"/>
    <w:rsid w:val="19121FD6"/>
    <w:rsid w:val="19173A91"/>
    <w:rsid w:val="191B532F"/>
    <w:rsid w:val="192166BD"/>
    <w:rsid w:val="192E3215"/>
    <w:rsid w:val="193208CA"/>
    <w:rsid w:val="1934019F"/>
    <w:rsid w:val="19362169"/>
    <w:rsid w:val="193A067F"/>
    <w:rsid w:val="193C52A5"/>
    <w:rsid w:val="193F3921"/>
    <w:rsid w:val="19445F08"/>
    <w:rsid w:val="19502AFF"/>
    <w:rsid w:val="19526877"/>
    <w:rsid w:val="19532FE4"/>
    <w:rsid w:val="195C14A3"/>
    <w:rsid w:val="196A3BC0"/>
    <w:rsid w:val="196B6713"/>
    <w:rsid w:val="196B70D4"/>
    <w:rsid w:val="196C5B8A"/>
    <w:rsid w:val="196D1903"/>
    <w:rsid w:val="197B7B7C"/>
    <w:rsid w:val="19831DCC"/>
    <w:rsid w:val="198A065A"/>
    <w:rsid w:val="19901C51"/>
    <w:rsid w:val="199944A6"/>
    <w:rsid w:val="199A427B"/>
    <w:rsid w:val="199C1C9B"/>
    <w:rsid w:val="19A277FE"/>
    <w:rsid w:val="19A364CF"/>
    <w:rsid w:val="19A47EFE"/>
    <w:rsid w:val="19AD7F51"/>
    <w:rsid w:val="19B4308D"/>
    <w:rsid w:val="19C12E1A"/>
    <w:rsid w:val="19C31523"/>
    <w:rsid w:val="19C33487"/>
    <w:rsid w:val="19D76D7C"/>
    <w:rsid w:val="19D83220"/>
    <w:rsid w:val="19DA2BE1"/>
    <w:rsid w:val="19E05346"/>
    <w:rsid w:val="19E613F2"/>
    <w:rsid w:val="19E9095D"/>
    <w:rsid w:val="19EA6AAF"/>
    <w:rsid w:val="19FA7E71"/>
    <w:rsid w:val="19FB6F0E"/>
    <w:rsid w:val="1A02204B"/>
    <w:rsid w:val="1A041DA9"/>
    <w:rsid w:val="1A0C111B"/>
    <w:rsid w:val="1A0E6C42"/>
    <w:rsid w:val="1A1136AE"/>
    <w:rsid w:val="1A116732"/>
    <w:rsid w:val="1A1520AE"/>
    <w:rsid w:val="1A1911FD"/>
    <w:rsid w:val="1A1C14C0"/>
    <w:rsid w:val="1A2024D1"/>
    <w:rsid w:val="1A275223"/>
    <w:rsid w:val="1A336C1E"/>
    <w:rsid w:val="1A361CF4"/>
    <w:rsid w:val="1A367F46"/>
    <w:rsid w:val="1A3F504D"/>
    <w:rsid w:val="1A4268EB"/>
    <w:rsid w:val="1A43382E"/>
    <w:rsid w:val="1A495ECC"/>
    <w:rsid w:val="1A4E5A90"/>
    <w:rsid w:val="1A560788"/>
    <w:rsid w:val="1A570B02"/>
    <w:rsid w:val="1A5C123E"/>
    <w:rsid w:val="1A662BC8"/>
    <w:rsid w:val="1A6D284D"/>
    <w:rsid w:val="1A6E148E"/>
    <w:rsid w:val="1A736AA5"/>
    <w:rsid w:val="1A766595"/>
    <w:rsid w:val="1A782418"/>
    <w:rsid w:val="1A8011C2"/>
    <w:rsid w:val="1A8667BD"/>
    <w:rsid w:val="1A8769F4"/>
    <w:rsid w:val="1A956CF1"/>
    <w:rsid w:val="1A98650B"/>
    <w:rsid w:val="1A9A2283"/>
    <w:rsid w:val="1A9E31DD"/>
    <w:rsid w:val="1A9E44A3"/>
    <w:rsid w:val="1A9F3D3E"/>
    <w:rsid w:val="1AA141FF"/>
    <w:rsid w:val="1AA17AB6"/>
    <w:rsid w:val="1AA42D85"/>
    <w:rsid w:val="1AA71539"/>
    <w:rsid w:val="1AAB623F"/>
    <w:rsid w:val="1AAE7B07"/>
    <w:rsid w:val="1AB8583A"/>
    <w:rsid w:val="1ABC669E"/>
    <w:rsid w:val="1AC436A6"/>
    <w:rsid w:val="1AD11A1D"/>
    <w:rsid w:val="1AD3193F"/>
    <w:rsid w:val="1AD339E7"/>
    <w:rsid w:val="1AD627EF"/>
    <w:rsid w:val="1AD85834"/>
    <w:rsid w:val="1ADC289C"/>
    <w:rsid w:val="1ADE4866"/>
    <w:rsid w:val="1AE479A2"/>
    <w:rsid w:val="1AEB0D31"/>
    <w:rsid w:val="1AF5570C"/>
    <w:rsid w:val="1AF63684"/>
    <w:rsid w:val="1AFA6A9C"/>
    <w:rsid w:val="1AFD2812"/>
    <w:rsid w:val="1B0818E3"/>
    <w:rsid w:val="1B083691"/>
    <w:rsid w:val="1B0B3181"/>
    <w:rsid w:val="1B131612"/>
    <w:rsid w:val="1B1F7DE6"/>
    <w:rsid w:val="1B2308E0"/>
    <w:rsid w:val="1B324BB2"/>
    <w:rsid w:val="1B340DA3"/>
    <w:rsid w:val="1B3C701D"/>
    <w:rsid w:val="1B455F02"/>
    <w:rsid w:val="1B46065D"/>
    <w:rsid w:val="1B522B5E"/>
    <w:rsid w:val="1B55264E"/>
    <w:rsid w:val="1B5543FC"/>
    <w:rsid w:val="1B5A1A13"/>
    <w:rsid w:val="1B5B5EB7"/>
    <w:rsid w:val="1B5C1C2F"/>
    <w:rsid w:val="1B60171F"/>
    <w:rsid w:val="1B650AE3"/>
    <w:rsid w:val="1B66485B"/>
    <w:rsid w:val="1B70388F"/>
    <w:rsid w:val="1B707488"/>
    <w:rsid w:val="1B746F78"/>
    <w:rsid w:val="1B79458F"/>
    <w:rsid w:val="1B7A0AA9"/>
    <w:rsid w:val="1B7B1DBB"/>
    <w:rsid w:val="1B7F5E71"/>
    <w:rsid w:val="1B8F4A8D"/>
    <w:rsid w:val="1B901651"/>
    <w:rsid w:val="1B9C027D"/>
    <w:rsid w:val="1BAA299A"/>
    <w:rsid w:val="1BAD2058"/>
    <w:rsid w:val="1BB3704B"/>
    <w:rsid w:val="1BB65A6F"/>
    <w:rsid w:val="1BB83309"/>
    <w:rsid w:val="1BC12515"/>
    <w:rsid w:val="1BC51582"/>
    <w:rsid w:val="1BE83F4F"/>
    <w:rsid w:val="1BEC10B9"/>
    <w:rsid w:val="1BF30CD3"/>
    <w:rsid w:val="1BF81957"/>
    <w:rsid w:val="1BFB31F6"/>
    <w:rsid w:val="1BFF71F2"/>
    <w:rsid w:val="1C00080C"/>
    <w:rsid w:val="1C0302FC"/>
    <w:rsid w:val="1C0320AA"/>
    <w:rsid w:val="1C0876C1"/>
    <w:rsid w:val="1C142509"/>
    <w:rsid w:val="1C146065"/>
    <w:rsid w:val="1C1D2128"/>
    <w:rsid w:val="1C1F6B10"/>
    <w:rsid w:val="1C2344FA"/>
    <w:rsid w:val="1C286643"/>
    <w:rsid w:val="1C3007F3"/>
    <w:rsid w:val="1C335E93"/>
    <w:rsid w:val="1C36422E"/>
    <w:rsid w:val="1C381D54"/>
    <w:rsid w:val="1C4032FE"/>
    <w:rsid w:val="1C493F61"/>
    <w:rsid w:val="1C4B0E08"/>
    <w:rsid w:val="1C597F1C"/>
    <w:rsid w:val="1C5A616E"/>
    <w:rsid w:val="1C5C1B50"/>
    <w:rsid w:val="1C6F7740"/>
    <w:rsid w:val="1C705992"/>
    <w:rsid w:val="1C7A05BE"/>
    <w:rsid w:val="1C7B644A"/>
    <w:rsid w:val="1C7F10E3"/>
    <w:rsid w:val="1C837694"/>
    <w:rsid w:val="1C856F63"/>
    <w:rsid w:val="1C8D4427"/>
    <w:rsid w:val="1C8E406A"/>
    <w:rsid w:val="1C986C96"/>
    <w:rsid w:val="1C9A0C60"/>
    <w:rsid w:val="1C9F39A1"/>
    <w:rsid w:val="1C9F475A"/>
    <w:rsid w:val="1CA94A00"/>
    <w:rsid w:val="1CAC44F0"/>
    <w:rsid w:val="1CAF3521"/>
    <w:rsid w:val="1CB533A4"/>
    <w:rsid w:val="1CC25AC1"/>
    <w:rsid w:val="1CD25DDB"/>
    <w:rsid w:val="1CDD0B4D"/>
    <w:rsid w:val="1CE974F2"/>
    <w:rsid w:val="1CF2284B"/>
    <w:rsid w:val="1D061B33"/>
    <w:rsid w:val="1D0924B1"/>
    <w:rsid w:val="1D104E5D"/>
    <w:rsid w:val="1D1355E2"/>
    <w:rsid w:val="1D1641DF"/>
    <w:rsid w:val="1D291FE4"/>
    <w:rsid w:val="1D293D92"/>
    <w:rsid w:val="1D305121"/>
    <w:rsid w:val="1D37200B"/>
    <w:rsid w:val="1D392227"/>
    <w:rsid w:val="1D3A5FA0"/>
    <w:rsid w:val="1D4110DC"/>
    <w:rsid w:val="1D434E54"/>
    <w:rsid w:val="1D444728"/>
    <w:rsid w:val="1D4A5B59"/>
    <w:rsid w:val="1D50131F"/>
    <w:rsid w:val="1D570900"/>
    <w:rsid w:val="1D61177E"/>
    <w:rsid w:val="1D7023BC"/>
    <w:rsid w:val="1D756FD8"/>
    <w:rsid w:val="1D79711E"/>
    <w:rsid w:val="1D7D621C"/>
    <w:rsid w:val="1D845CE8"/>
    <w:rsid w:val="1D85546D"/>
    <w:rsid w:val="1D89551A"/>
    <w:rsid w:val="1D8B67FB"/>
    <w:rsid w:val="1D8D3444"/>
    <w:rsid w:val="1DA022A7"/>
    <w:rsid w:val="1DA23326"/>
    <w:rsid w:val="1DA24769"/>
    <w:rsid w:val="1DA8115B"/>
    <w:rsid w:val="1DAB37E2"/>
    <w:rsid w:val="1DB573D4"/>
    <w:rsid w:val="1DBB1717"/>
    <w:rsid w:val="1DC85359"/>
    <w:rsid w:val="1DCB2F5B"/>
    <w:rsid w:val="1DD66365"/>
    <w:rsid w:val="1DDC31B9"/>
    <w:rsid w:val="1DDE4B7D"/>
    <w:rsid w:val="1DE06B47"/>
    <w:rsid w:val="1DE63A32"/>
    <w:rsid w:val="1DF919B7"/>
    <w:rsid w:val="1E004AF3"/>
    <w:rsid w:val="1E0068A1"/>
    <w:rsid w:val="1E0565AE"/>
    <w:rsid w:val="1E1124CF"/>
    <w:rsid w:val="1E197963"/>
    <w:rsid w:val="1E1C5753"/>
    <w:rsid w:val="1E1E31CB"/>
    <w:rsid w:val="1E200CF1"/>
    <w:rsid w:val="1E221057"/>
    <w:rsid w:val="1E23318F"/>
    <w:rsid w:val="1E2C58E8"/>
    <w:rsid w:val="1E334EC9"/>
    <w:rsid w:val="1E3F1E9B"/>
    <w:rsid w:val="1E450758"/>
    <w:rsid w:val="1E4F15D7"/>
    <w:rsid w:val="1E5D5BA1"/>
    <w:rsid w:val="1E606CD7"/>
    <w:rsid w:val="1E635A1F"/>
    <w:rsid w:val="1E6C2189"/>
    <w:rsid w:val="1E6E5F01"/>
    <w:rsid w:val="1E731769"/>
    <w:rsid w:val="1E783EF3"/>
    <w:rsid w:val="1E7B1B91"/>
    <w:rsid w:val="1E8219AC"/>
    <w:rsid w:val="1E82375A"/>
    <w:rsid w:val="1E845CFB"/>
    <w:rsid w:val="1E847375"/>
    <w:rsid w:val="1E8528CF"/>
    <w:rsid w:val="1E872FCB"/>
    <w:rsid w:val="1E8A0861"/>
    <w:rsid w:val="1E8F0415"/>
    <w:rsid w:val="1E903CEC"/>
    <w:rsid w:val="1E91399D"/>
    <w:rsid w:val="1EAA2CB1"/>
    <w:rsid w:val="1EAF2075"/>
    <w:rsid w:val="1EB25FAB"/>
    <w:rsid w:val="1EB8717C"/>
    <w:rsid w:val="1EB93895"/>
    <w:rsid w:val="1EBA2EF4"/>
    <w:rsid w:val="1EBF49AE"/>
    <w:rsid w:val="1EC43D73"/>
    <w:rsid w:val="1EC93137"/>
    <w:rsid w:val="1ECB5101"/>
    <w:rsid w:val="1ECC0E79"/>
    <w:rsid w:val="1ECE699F"/>
    <w:rsid w:val="1ECE79DD"/>
    <w:rsid w:val="1ED20A4F"/>
    <w:rsid w:val="1ED55F80"/>
    <w:rsid w:val="1EDE08FF"/>
    <w:rsid w:val="1EE12B77"/>
    <w:rsid w:val="1EE77A61"/>
    <w:rsid w:val="1EFD2393"/>
    <w:rsid w:val="1EFE2F32"/>
    <w:rsid w:val="1F026A4D"/>
    <w:rsid w:val="1F110314"/>
    <w:rsid w:val="1F1620F4"/>
    <w:rsid w:val="1F1D3483"/>
    <w:rsid w:val="1F2C36C6"/>
    <w:rsid w:val="1F2D7B6A"/>
    <w:rsid w:val="1F3360E0"/>
    <w:rsid w:val="1F38206B"/>
    <w:rsid w:val="1F394761"/>
    <w:rsid w:val="1F443106"/>
    <w:rsid w:val="1F464788"/>
    <w:rsid w:val="1F4B7FF0"/>
    <w:rsid w:val="1F5570C1"/>
    <w:rsid w:val="1F5C21FD"/>
    <w:rsid w:val="1F6F3700"/>
    <w:rsid w:val="1F7076AA"/>
    <w:rsid w:val="1F707A57"/>
    <w:rsid w:val="1F751511"/>
    <w:rsid w:val="1F78274B"/>
    <w:rsid w:val="1F7A08D5"/>
    <w:rsid w:val="1F861028"/>
    <w:rsid w:val="1F8D685B"/>
    <w:rsid w:val="1F937D4E"/>
    <w:rsid w:val="1F9F3F6D"/>
    <w:rsid w:val="1FA94D17"/>
    <w:rsid w:val="1FAE057F"/>
    <w:rsid w:val="1FB6085B"/>
    <w:rsid w:val="1FB65DB1"/>
    <w:rsid w:val="1FC72E8E"/>
    <w:rsid w:val="1FD03E69"/>
    <w:rsid w:val="1FD06EA3"/>
    <w:rsid w:val="1FE04BDC"/>
    <w:rsid w:val="1FE16BA6"/>
    <w:rsid w:val="1FEE56C8"/>
    <w:rsid w:val="1FF74D8F"/>
    <w:rsid w:val="20036B1D"/>
    <w:rsid w:val="200563F1"/>
    <w:rsid w:val="2011123A"/>
    <w:rsid w:val="20142AD8"/>
    <w:rsid w:val="20196340"/>
    <w:rsid w:val="201D63C9"/>
    <w:rsid w:val="201E74B3"/>
    <w:rsid w:val="20210D51"/>
    <w:rsid w:val="202B7E95"/>
    <w:rsid w:val="202F346E"/>
    <w:rsid w:val="20427F48"/>
    <w:rsid w:val="2043516B"/>
    <w:rsid w:val="204F1D62"/>
    <w:rsid w:val="204F50E3"/>
    <w:rsid w:val="20586E69"/>
    <w:rsid w:val="205B4263"/>
    <w:rsid w:val="20653333"/>
    <w:rsid w:val="20740615"/>
    <w:rsid w:val="2079293B"/>
    <w:rsid w:val="207B4B49"/>
    <w:rsid w:val="207D067D"/>
    <w:rsid w:val="20983709"/>
    <w:rsid w:val="209E23A2"/>
    <w:rsid w:val="20A53730"/>
    <w:rsid w:val="20A91472"/>
    <w:rsid w:val="20AA51EA"/>
    <w:rsid w:val="20AB775B"/>
    <w:rsid w:val="20B028B9"/>
    <w:rsid w:val="20B82C45"/>
    <w:rsid w:val="20B83463"/>
    <w:rsid w:val="20B83D89"/>
    <w:rsid w:val="20BE38C9"/>
    <w:rsid w:val="20C53DD2"/>
    <w:rsid w:val="20CC30EE"/>
    <w:rsid w:val="20CE712B"/>
    <w:rsid w:val="20CF69FF"/>
    <w:rsid w:val="20D47DCE"/>
    <w:rsid w:val="20D51E07"/>
    <w:rsid w:val="20D9164A"/>
    <w:rsid w:val="20DA5073"/>
    <w:rsid w:val="20DD55C0"/>
    <w:rsid w:val="20E22BD6"/>
    <w:rsid w:val="20EF3A5F"/>
    <w:rsid w:val="20F473E1"/>
    <w:rsid w:val="20FA05C4"/>
    <w:rsid w:val="20FA0A99"/>
    <w:rsid w:val="20FC3C98"/>
    <w:rsid w:val="2107361C"/>
    <w:rsid w:val="210E6EDF"/>
    <w:rsid w:val="210E7F88"/>
    <w:rsid w:val="21156B08"/>
    <w:rsid w:val="212156C5"/>
    <w:rsid w:val="21241E16"/>
    <w:rsid w:val="212925B3"/>
    <w:rsid w:val="21294361"/>
    <w:rsid w:val="212A1E87"/>
    <w:rsid w:val="212E1977"/>
    <w:rsid w:val="212E7BC9"/>
    <w:rsid w:val="213608D5"/>
    <w:rsid w:val="213673FE"/>
    <w:rsid w:val="214163B9"/>
    <w:rsid w:val="21464F13"/>
    <w:rsid w:val="21482894"/>
    <w:rsid w:val="214E201A"/>
    <w:rsid w:val="215B0293"/>
    <w:rsid w:val="21661111"/>
    <w:rsid w:val="21674E89"/>
    <w:rsid w:val="21676E41"/>
    <w:rsid w:val="21747CD2"/>
    <w:rsid w:val="217537B9"/>
    <w:rsid w:val="217E5989"/>
    <w:rsid w:val="21837F15"/>
    <w:rsid w:val="21854259"/>
    <w:rsid w:val="2190618E"/>
    <w:rsid w:val="219E4D4F"/>
    <w:rsid w:val="219F2875"/>
    <w:rsid w:val="21A13B19"/>
    <w:rsid w:val="21AA3056"/>
    <w:rsid w:val="21AF0D0A"/>
    <w:rsid w:val="21B52099"/>
    <w:rsid w:val="21B7196D"/>
    <w:rsid w:val="21C422DC"/>
    <w:rsid w:val="21C916A0"/>
    <w:rsid w:val="21CC6CC6"/>
    <w:rsid w:val="21D0786F"/>
    <w:rsid w:val="21D20555"/>
    <w:rsid w:val="21E01F75"/>
    <w:rsid w:val="21EC1864"/>
    <w:rsid w:val="21ED1832"/>
    <w:rsid w:val="21EE7935"/>
    <w:rsid w:val="21F42BC1"/>
    <w:rsid w:val="21F726B1"/>
    <w:rsid w:val="21F901D7"/>
    <w:rsid w:val="21FC1A76"/>
    <w:rsid w:val="21FF50C2"/>
    <w:rsid w:val="220041D9"/>
    <w:rsid w:val="220A23E4"/>
    <w:rsid w:val="220B3CA8"/>
    <w:rsid w:val="220F17A9"/>
    <w:rsid w:val="22123047"/>
    <w:rsid w:val="2217240B"/>
    <w:rsid w:val="22192627"/>
    <w:rsid w:val="222004BD"/>
    <w:rsid w:val="222C68BF"/>
    <w:rsid w:val="222D1C2F"/>
    <w:rsid w:val="223034CD"/>
    <w:rsid w:val="22361059"/>
    <w:rsid w:val="2238523E"/>
    <w:rsid w:val="223B259E"/>
    <w:rsid w:val="223E3E3C"/>
    <w:rsid w:val="22431452"/>
    <w:rsid w:val="22435553"/>
    <w:rsid w:val="22477195"/>
    <w:rsid w:val="224B0307"/>
    <w:rsid w:val="224B5175"/>
    <w:rsid w:val="22602004"/>
    <w:rsid w:val="22603DB2"/>
    <w:rsid w:val="2265761B"/>
    <w:rsid w:val="2268110B"/>
    <w:rsid w:val="227D2BB6"/>
    <w:rsid w:val="22A53EBB"/>
    <w:rsid w:val="22B10AB2"/>
    <w:rsid w:val="22B83BEE"/>
    <w:rsid w:val="22B96452"/>
    <w:rsid w:val="22BF31CF"/>
    <w:rsid w:val="22CC769A"/>
    <w:rsid w:val="22D12F02"/>
    <w:rsid w:val="22DD18A7"/>
    <w:rsid w:val="22E542B8"/>
    <w:rsid w:val="22EC725D"/>
    <w:rsid w:val="22EF3388"/>
    <w:rsid w:val="22F56BF1"/>
    <w:rsid w:val="22FB3ADB"/>
    <w:rsid w:val="230230BC"/>
    <w:rsid w:val="230633CA"/>
    <w:rsid w:val="230C7A96"/>
    <w:rsid w:val="230E236D"/>
    <w:rsid w:val="230F0CBA"/>
    <w:rsid w:val="2318468D"/>
    <w:rsid w:val="231A4A0C"/>
    <w:rsid w:val="231D7E1D"/>
    <w:rsid w:val="2331574F"/>
    <w:rsid w:val="23333275"/>
    <w:rsid w:val="233647BF"/>
    <w:rsid w:val="23377209"/>
    <w:rsid w:val="233D40F4"/>
    <w:rsid w:val="23492CC6"/>
    <w:rsid w:val="23494ECF"/>
    <w:rsid w:val="234A05BF"/>
    <w:rsid w:val="234C4318"/>
    <w:rsid w:val="234E4979"/>
    <w:rsid w:val="234F4ED7"/>
    <w:rsid w:val="234F5625"/>
    <w:rsid w:val="23542AC1"/>
    <w:rsid w:val="236203FB"/>
    <w:rsid w:val="23645B24"/>
    <w:rsid w:val="2369138D"/>
    <w:rsid w:val="23700025"/>
    <w:rsid w:val="237613B4"/>
    <w:rsid w:val="23790C52"/>
    <w:rsid w:val="238910E7"/>
    <w:rsid w:val="238B30B1"/>
    <w:rsid w:val="2393500F"/>
    <w:rsid w:val="239A1546"/>
    <w:rsid w:val="23AF7BA4"/>
    <w:rsid w:val="23B87C1E"/>
    <w:rsid w:val="23BA1BE8"/>
    <w:rsid w:val="23BC0464"/>
    <w:rsid w:val="23C71C0F"/>
    <w:rsid w:val="23C73455"/>
    <w:rsid w:val="23C860B3"/>
    <w:rsid w:val="23D039F6"/>
    <w:rsid w:val="23D20CE0"/>
    <w:rsid w:val="23D22A8E"/>
    <w:rsid w:val="23D5432C"/>
    <w:rsid w:val="23DB4530"/>
    <w:rsid w:val="23DE3071"/>
    <w:rsid w:val="23EA427B"/>
    <w:rsid w:val="23EB3B50"/>
    <w:rsid w:val="23EB7FF4"/>
    <w:rsid w:val="23F43032"/>
    <w:rsid w:val="23F56CCE"/>
    <w:rsid w:val="23FA133C"/>
    <w:rsid w:val="240B5FA0"/>
    <w:rsid w:val="24100849"/>
    <w:rsid w:val="24116CB2"/>
    <w:rsid w:val="24122984"/>
    <w:rsid w:val="241E3F25"/>
    <w:rsid w:val="242A1C80"/>
    <w:rsid w:val="242D4168"/>
    <w:rsid w:val="242F6132"/>
    <w:rsid w:val="243B6690"/>
    <w:rsid w:val="24461D0B"/>
    <w:rsid w:val="244F40DF"/>
    <w:rsid w:val="245D6B87"/>
    <w:rsid w:val="246057D0"/>
    <w:rsid w:val="24661428"/>
    <w:rsid w:val="24661642"/>
    <w:rsid w:val="2470137C"/>
    <w:rsid w:val="2471674B"/>
    <w:rsid w:val="24792C9E"/>
    <w:rsid w:val="247F0210"/>
    <w:rsid w:val="2480073C"/>
    <w:rsid w:val="24850BE6"/>
    <w:rsid w:val="248A3369"/>
    <w:rsid w:val="249C309C"/>
    <w:rsid w:val="24A81A41"/>
    <w:rsid w:val="24AA57B9"/>
    <w:rsid w:val="24AE34FB"/>
    <w:rsid w:val="24B10234"/>
    <w:rsid w:val="24B16B47"/>
    <w:rsid w:val="24B6415E"/>
    <w:rsid w:val="24B91EA0"/>
    <w:rsid w:val="24BB1774"/>
    <w:rsid w:val="24C70119"/>
    <w:rsid w:val="24D25EE9"/>
    <w:rsid w:val="24D32F62"/>
    <w:rsid w:val="24D61CD0"/>
    <w:rsid w:val="24D82326"/>
    <w:rsid w:val="24DB1E16"/>
    <w:rsid w:val="24DC16EA"/>
    <w:rsid w:val="24DE36B4"/>
    <w:rsid w:val="24F9229C"/>
    <w:rsid w:val="250467D9"/>
    <w:rsid w:val="250A44A9"/>
    <w:rsid w:val="250A5253"/>
    <w:rsid w:val="251D3FC0"/>
    <w:rsid w:val="25254322"/>
    <w:rsid w:val="25264480"/>
    <w:rsid w:val="25270BB7"/>
    <w:rsid w:val="252C4420"/>
    <w:rsid w:val="253124CB"/>
    <w:rsid w:val="25372BC4"/>
    <w:rsid w:val="253B0B07"/>
    <w:rsid w:val="253D2630"/>
    <w:rsid w:val="254221F3"/>
    <w:rsid w:val="25453733"/>
    <w:rsid w:val="2547125A"/>
    <w:rsid w:val="254774AC"/>
    <w:rsid w:val="255B6AB3"/>
    <w:rsid w:val="2563762C"/>
    <w:rsid w:val="257007B0"/>
    <w:rsid w:val="257302A1"/>
    <w:rsid w:val="25787665"/>
    <w:rsid w:val="257D2ECD"/>
    <w:rsid w:val="25821466"/>
    <w:rsid w:val="25A03144"/>
    <w:rsid w:val="25A4045A"/>
    <w:rsid w:val="25A466AC"/>
    <w:rsid w:val="25A8619C"/>
    <w:rsid w:val="25A91F14"/>
    <w:rsid w:val="25B14925"/>
    <w:rsid w:val="25B52AD9"/>
    <w:rsid w:val="25C52C92"/>
    <w:rsid w:val="25DE6C64"/>
    <w:rsid w:val="25DF76E4"/>
    <w:rsid w:val="25E35426"/>
    <w:rsid w:val="25EC2454"/>
    <w:rsid w:val="25EE5B79"/>
    <w:rsid w:val="25F018F1"/>
    <w:rsid w:val="25F0544D"/>
    <w:rsid w:val="25F3318F"/>
    <w:rsid w:val="25F45A92"/>
    <w:rsid w:val="2601765A"/>
    <w:rsid w:val="26025181"/>
    <w:rsid w:val="260727D5"/>
    <w:rsid w:val="260F621B"/>
    <w:rsid w:val="261A4BC0"/>
    <w:rsid w:val="261E6BA2"/>
    <w:rsid w:val="26301CEE"/>
    <w:rsid w:val="26306192"/>
    <w:rsid w:val="26385E8A"/>
    <w:rsid w:val="263E440B"/>
    <w:rsid w:val="26516A31"/>
    <w:rsid w:val="26607A60"/>
    <w:rsid w:val="266D2F42"/>
    <w:rsid w:val="266D4CF0"/>
    <w:rsid w:val="26773DC1"/>
    <w:rsid w:val="26795443"/>
    <w:rsid w:val="26797B39"/>
    <w:rsid w:val="267C4ECF"/>
    <w:rsid w:val="268931AA"/>
    <w:rsid w:val="268B161A"/>
    <w:rsid w:val="26995161"/>
    <w:rsid w:val="26995AE5"/>
    <w:rsid w:val="269F41B3"/>
    <w:rsid w:val="26A37F72"/>
    <w:rsid w:val="26A526DC"/>
    <w:rsid w:val="26AD77E2"/>
    <w:rsid w:val="26B20955"/>
    <w:rsid w:val="26B97F35"/>
    <w:rsid w:val="26BD5502"/>
    <w:rsid w:val="26BD5C77"/>
    <w:rsid w:val="26C1503C"/>
    <w:rsid w:val="26C443E1"/>
    <w:rsid w:val="26CA5616"/>
    <w:rsid w:val="26CD1C32"/>
    <w:rsid w:val="26D0702D"/>
    <w:rsid w:val="26D81C86"/>
    <w:rsid w:val="26DB60FD"/>
    <w:rsid w:val="26DD00C8"/>
    <w:rsid w:val="26DD1E76"/>
    <w:rsid w:val="26DF742E"/>
    <w:rsid w:val="26E50D2A"/>
    <w:rsid w:val="26E8081A"/>
    <w:rsid w:val="26FB2E83"/>
    <w:rsid w:val="27076EF2"/>
    <w:rsid w:val="27090EBD"/>
    <w:rsid w:val="270A253F"/>
    <w:rsid w:val="270C275B"/>
    <w:rsid w:val="270C4FC5"/>
    <w:rsid w:val="27127645"/>
    <w:rsid w:val="2714160F"/>
    <w:rsid w:val="271433BD"/>
    <w:rsid w:val="27153016"/>
    <w:rsid w:val="27166D4B"/>
    <w:rsid w:val="272301A4"/>
    <w:rsid w:val="27244E5A"/>
    <w:rsid w:val="2725381D"/>
    <w:rsid w:val="27306174"/>
    <w:rsid w:val="273121F9"/>
    <w:rsid w:val="27337CE7"/>
    <w:rsid w:val="27354EC1"/>
    <w:rsid w:val="273B34AE"/>
    <w:rsid w:val="27435A51"/>
    <w:rsid w:val="274A3283"/>
    <w:rsid w:val="274C129A"/>
    <w:rsid w:val="27554102"/>
    <w:rsid w:val="2755492F"/>
    <w:rsid w:val="275639D6"/>
    <w:rsid w:val="27577AEE"/>
    <w:rsid w:val="275D4004"/>
    <w:rsid w:val="2762425F"/>
    <w:rsid w:val="27675EA2"/>
    <w:rsid w:val="276C6C91"/>
    <w:rsid w:val="276F6846"/>
    <w:rsid w:val="277A3B68"/>
    <w:rsid w:val="277B343D"/>
    <w:rsid w:val="277E47A4"/>
    <w:rsid w:val="278247CB"/>
    <w:rsid w:val="278C389C"/>
    <w:rsid w:val="278D3D61"/>
    <w:rsid w:val="2791112C"/>
    <w:rsid w:val="27934C2A"/>
    <w:rsid w:val="279455A5"/>
    <w:rsid w:val="279D1605"/>
    <w:rsid w:val="27A40BE5"/>
    <w:rsid w:val="27A6495D"/>
    <w:rsid w:val="27B626C7"/>
    <w:rsid w:val="27BD1CA7"/>
    <w:rsid w:val="27C22E19"/>
    <w:rsid w:val="27C313CD"/>
    <w:rsid w:val="27C60B5C"/>
    <w:rsid w:val="27C74F29"/>
    <w:rsid w:val="27CE17BE"/>
    <w:rsid w:val="27CE64E0"/>
    <w:rsid w:val="27D56FF1"/>
    <w:rsid w:val="27DB6949"/>
    <w:rsid w:val="27DD5772"/>
    <w:rsid w:val="27DD762A"/>
    <w:rsid w:val="27E773BD"/>
    <w:rsid w:val="27EB05C2"/>
    <w:rsid w:val="27ED7B74"/>
    <w:rsid w:val="27FB46DA"/>
    <w:rsid w:val="28096C9A"/>
    <w:rsid w:val="280C1DC8"/>
    <w:rsid w:val="280E605F"/>
    <w:rsid w:val="28133675"/>
    <w:rsid w:val="28187951"/>
    <w:rsid w:val="281C69CE"/>
    <w:rsid w:val="281E2746"/>
    <w:rsid w:val="282D2989"/>
    <w:rsid w:val="282E6701"/>
    <w:rsid w:val="28373807"/>
    <w:rsid w:val="283D6944"/>
    <w:rsid w:val="283F090E"/>
    <w:rsid w:val="28427C92"/>
    <w:rsid w:val="284F17D4"/>
    <w:rsid w:val="28565770"/>
    <w:rsid w:val="28575047"/>
    <w:rsid w:val="28612632"/>
    <w:rsid w:val="28754330"/>
    <w:rsid w:val="28771E56"/>
    <w:rsid w:val="287E3CFF"/>
    <w:rsid w:val="287F0D0A"/>
    <w:rsid w:val="288051AE"/>
    <w:rsid w:val="288307FB"/>
    <w:rsid w:val="28836A4D"/>
    <w:rsid w:val="288376B0"/>
    <w:rsid w:val="2886653D"/>
    <w:rsid w:val="288A1B89"/>
    <w:rsid w:val="289447B6"/>
    <w:rsid w:val="289742A6"/>
    <w:rsid w:val="289C7436"/>
    <w:rsid w:val="28AC5FA3"/>
    <w:rsid w:val="28C05396"/>
    <w:rsid w:val="28CA467C"/>
    <w:rsid w:val="28CF3A40"/>
    <w:rsid w:val="28D61561"/>
    <w:rsid w:val="28D63020"/>
    <w:rsid w:val="28E61013"/>
    <w:rsid w:val="28E84B02"/>
    <w:rsid w:val="28EC2844"/>
    <w:rsid w:val="28F12CF2"/>
    <w:rsid w:val="28F416F8"/>
    <w:rsid w:val="28F456A7"/>
    <w:rsid w:val="28F827CB"/>
    <w:rsid w:val="28F90ABD"/>
    <w:rsid w:val="29037B8D"/>
    <w:rsid w:val="2908648D"/>
    <w:rsid w:val="290B259E"/>
    <w:rsid w:val="29115E06"/>
    <w:rsid w:val="29143B49"/>
    <w:rsid w:val="291B3889"/>
    <w:rsid w:val="291E22D1"/>
    <w:rsid w:val="2921262B"/>
    <w:rsid w:val="29220014"/>
    <w:rsid w:val="29233D8C"/>
    <w:rsid w:val="29236804"/>
    <w:rsid w:val="29257B04"/>
    <w:rsid w:val="292B0388"/>
    <w:rsid w:val="293159E5"/>
    <w:rsid w:val="293F5790"/>
    <w:rsid w:val="294A30C6"/>
    <w:rsid w:val="294D0EDE"/>
    <w:rsid w:val="29512576"/>
    <w:rsid w:val="29514455"/>
    <w:rsid w:val="2953583E"/>
    <w:rsid w:val="29567CBD"/>
    <w:rsid w:val="296070AC"/>
    <w:rsid w:val="29614FDF"/>
    <w:rsid w:val="29696464"/>
    <w:rsid w:val="296F240F"/>
    <w:rsid w:val="296F5223"/>
    <w:rsid w:val="29736AC1"/>
    <w:rsid w:val="297445E7"/>
    <w:rsid w:val="29756479"/>
    <w:rsid w:val="297665B1"/>
    <w:rsid w:val="2979274E"/>
    <w:rsid w:val="297D349C"/>
    <w:rsid w:val="297F67EF"/>
    <w:rsid w:val="298C36DF"/>
    <w:rsid w:val="299010C2"/>
    <w:rsid w:val="29910CF5"/>
    <w:rsid w:val="2999739E"/>
    <w:rsid w:val="29997556"/>
    <w:rsid w:val="29A41AF6"/>
    <w:rsid w:val="29A94291"/>
    <w:rsid w:val="29AE780A"/>
    <w:rsid w:val="29B36EBE"/>
    <w:rsid w:val="29C37F84"/>
    <w:rsid w:val="29C42E79"/>
    <w:rsid w:val="29C56184"/>
    <w:rsid w:val="29CC761E"/>
    <w:rsid w:val="29D07A70"/>
    <w:rsid w:val="29E05449"/>
    <w:rsid w:val="29E11C7D"/>
    <w:rsid w:val="29E14238"/>
    <w:rsid w:val="29EE7EF6"/>
    <w:rsid w:val="29F13DA9"/>
    <w:rsid w:val="29F251A1"/>
    <w:rsid w:val="29FA2D3E"/>
    <w:rsid w:val="29FF0355"/>
    <w:rsid w:val="2A056A4F"/>
    <w:rsid w:val="2A07545B"/>
    <w:rsid w:val="2A0D0CC4"/>
    <w:rsid w:val="2A135BAE"/>
    <w:rsid w:val="2A151926"/>
    <w:rsid w:val="2A257690"/>
    <w:rsid w:val="2A2C4B8E"/>
    <w:rsid w:val="2A2D4EC2"/>
    <w:rsid w:val="2A353D77"/>
    <w:rsid w:val="2A375D41"/>
    <w:rsid w:val="2A4E4E38"/>
    <w:rsid w:val="2A502FEB"/>
    <w:rsid w:val="2A554419"/>
    <w:rsid w:val="2A596352"/>
    <w:rsid w:val="2A6428AE"/>
    <w:rsid w:val="2A757AF1"/>
    <w:rsid w:val="2A7C19A5"/>
    <w:rsid w:val="2A9767DF"/>
    <w:rsid w:val="2AA016B4"/>
    <w:rsid w:val="2AAE4D1A"/>
    <w:rsid w:val="2AAE58D7"/>
    <w:rsid w:val="2AB4113F"/>
    <w:rsid w:val="2AB47391"/>
    <w:rsid w:val="2AB71864"/>
    <w:rsid w:val="2AB729DE"/>
    <w:rsid w:val="2AB949A8"/>
    <w:rsid w:val="2ABC4FEF"/>
    <w:rsid w:val="2AC60E73"/>
    <w:rsid w:val="2AD510B6"/>
    <w:rsid w:val="2AD551AF"/>
    <w:rsid w:val="2AD9612A"/>
    <w:rsid w:val="2AE16896"/>
    <w:rsid w:val="2AEC2D35"/>
    <w:rsid w:val="2AED4651"/>
    <w:rsid w:val="2AF23A16"/>
    <w:rsid w:val="2AF3127B"/>
    <w:rsid w:val="2AF536F5"/>
    <w:rsid w:val="2AF91248"/>
    <w:rsid w:val="2AFC4894"/>
    <w:rsid w:val="2B013C59"/>
    <w:rsid w:val="2B09317D"/>
    <w:rsid w:val="2B0F6376"/>
    <w:rsid w:val="2B116592"/>
    <w:rsid w:val="2B12230A"/>
    <w:rsid w:val="2B165956"/>
    <w:rsid w:val="2B1B7EB7"/>
    <w:rsid w:val="2B241C3B"/>
    <w:rsid w:val="2B2C6BA2"/>
    <w:rsid w:val="2B2F1D5F"/>
    <w:rsid w:val="2B3202B6"/>
    <w:rsid w:val="2B354D70"/>
    <w:rsid w:val="2B3C1135"/>
    <w:rsid w:val="2B3D4992"/>
    <w:rsid w:val="2B3D7387"/>
    <w:rsid w:val="2B4F2C16"/>
    <w:rsid w:val="2B591CE7"/>
    <w:rsid w:val="2B6B0C1C"/>
    <w:rsid w:val="2B6C37C8"/>
    <w:rsid w:val="2B714350"/>
    <w:rsid w:val="2B764647"/>
    <w:rsid w:val="2B785FB3"/>
    <w:rsid w:val="2B7E174D"/>
    <w:rsid w:val="2B842DE8"/>
    <w:rsid w:val="2B847EDB"/>
    <w:rsid w:val="2B876668"/>
    <w:rsid w:val="2B8815F9"/>
    <w:rsid w:val="2B8F1669"/>
    <w:rsid w:val="2B960AC3"/>
    <w:rsid w:val="2B980A61"/>
    <w:rsid w:val="2B9C3BC7"/>
    <w:rsid w:val="2B9D6077"/>
    <w:rsid w:val="2BA75E7D"/>
    <w:rsid w:val="2BA9086C"/>
    <w:rsid w:val="2BAA609E"/>
    <w:rsid w:val="2BAE2033"/>
    <w:rsid w:val="2BB37649"/>
    <w:rsid w:val="2BBD4024"/>
    <w:rsid w:val="2BCA6741"/>
    <w:rsid w:val="2BDB6BA0"/>
    <w:rsid w:val="2BDD1F05"/>
    <w:rsid w:val="2BDE5160"/>
    <w:rsid w:val="2BDF043E"/>
    <w:rsid w:val="2BE5357A"/>
    <w:rsid w:val="2BE75544"/>
    <w:rsid w:val="2BE9306B"/>
    <w:rsid w:val="2BEA0B91"/>
    <w:rsid w:val="2BEC2B5B"/>
    <w:rsid w:val="2BF57C61"/>
    <w:rsid w:val="2BF612E4"/>
    <w:rsid w:val="2BF8505C"/>
    <w:rsid w:val="2C0559CB"/>
    <w:rsid w:val="2C091017"/>
    <w:rsid w:val="2C122C6D"/>
    <w:rsid w:val="2C181352"/>
    <w:rsid w:val="2C194CF3"/>
    <w:rsid w:val="2C1D7A22"/>
    <w:rsid w:val="2C210A56"/>
    <w:rsid w:val="2C22657D"/>
    <w:rsid w:val="2C230DA4"/>
    <w:rsid w:val="2C2E0D4E"/>
    <w:rsid w:val="2C31056E"/>
    <w:rsid w:val="2C3D33B6"/>
    <w:rsid w:val="2C414C55"/>
    <w:rsid w:val="2C493B09"/>
    <w:rsid w:val="2C5A7AC4"/>
    <w:rsid w:val="2C5D1363"/>
    <w:rsid w:val="2C5F157F"/>
    <w:rsid w:val="2C66290D"/>
    <w:rsid w:val="2C6B3A80"/>
    <w:rsid w:val="2C6D5A4A"/>
    <w:rsid w:val="2C703257"/>
    <w:rsid w:val="2C7A1F15"/>
    <w:rsid w:val="2C7F6DBF"/>
    <w:rsid w:val="2C8763E0"/>
    <w:rsid w:val="2C895EB5"/>
    <w:rsid w:val="2C9805ED"/>
    <w:rsid w:val="2C981092"/>
    <w:rsid w:val="2C9C00DD"/>
    <w:rsid w:val="2C9D3A89"/>
    <w:rsid w:val="2C9F5E1F"/>
    <w:rsid w:val="2C9F7BCD"/>
    <w:rsid w:val="2CA84CD4"/>
    <w:rsid w:val="2CAA6134"/>
    <w:rsid w:val="2CAD4098"/>
    <w:rsid w:val="2CB11C4E"/>
    <w:rsid w:val="2CB2345D"/>
    <w:rsid w:val="2CB35427"/>
    <w:rsid w:val="2CB9045D"/>
    <w:rsid w:val="2CB92402"/>
    <w:rsid w:val="2CBA0563"/>
    <w:rsid w:val="2CBB4661"/>
    <w:rsid w:val="2CBF7478"/>
    <w:rsid w:val="2CC65298"/>
    <w:rsid w:val="2CD71115"/>
    <w:rsid w:val="2CDC672B"/>
    <w:rsid w:val="2CE00E0B"/>
    <w:rsid w:val="2CEC5E40"/>
    <w:rsid w:val="2CF12AEA"/>
    <w:rsid w:val="2D0619FA"/>
    <w:rsid w:val="2D123224"/>
    <w:rsid w:val="2D1D2518"/>
    <w:rsid w:val="2D2D1B91"/>
    <w:rsid w:val="2D2D6F87"/>
    <w:rsid w:val="2D32459D"/>
    <w:rsid w:val="2D3447B9"/>
    <w:rsid w:val="2D346567"/>
    <w:rsid w:val="2D4254F8"/>
    <w:rsid w:val="2D452523"/>
    <w:rsid w:val="2D4875BA"/>
    <w:rsid w:val="2D4A7B39"/>
    <w:rsid w:val="2D4C0AA8"/>
    <w:rsid w:val="2D5409B8"/>
    <w:rsid w:val="2D560DCD"/>
    <w:rsid w:val="2D574004"/>
    <w:rsid w:val="2D57575B"/>
    <w:rsid w:val="2D720E3E"/>
    <w:rsid w:val="2D75237C"/>
    <w:rsid w:val="2D776454"/>
    <w:rsid w:val="2D83129D"/>
    <w:rsid w:val="2D8A43D9"/>
    <w:rsid w:val="2D9B1C5E"/>
    <w:rsid w:val="2D9B47A0"/>
    <w:rsid w:val="2D9E7E85"/>
    <w:rsid w:val="2DA326E8"/>
    <w:rsid w:val="2DAA74E0"/>
    <w:rsid w:val="2DAC07F4"/>
    <w:rsid w:val="2DB651CE"/>
    <w:rsid w:val="2DB72CF5"/>
    <w:rsid w:val="2DBB27E5"/>
    <w:rsid w:val="2DBD50E7"/>
    <w:rsid w:val="2DBD655D"/>
    <w:rsid w:val="2DCF4E03"/>
    <w:rsid w:val="2DD1025A"/>
    <w:rsid w:val="2DE53D06"/>
    <w:rsid w:val="2DE81100"/>
    <w:rsid w:val="2DEA3ADD"/>
    <w:rsid w:val="2DEC6E42"/>
    <w:rsid w:val="2DFD4BAB"/>
    <w:rsid w:val="2E060D0E"/>
    <w:rsid w:val="2E092D17"/>
    <w:rsid w:val="2E0C1CE2"/>
    <w:rsid w:val="2E0C4DEE"/>
    <w:rsid w:val="2E1562CD"/>
    <w:rsid w:val="2E165C6D"/>
    <w:rsid w:val="2E1D3A94"/>
    <w:rsid w:val="2E262354"/>
    <w:rsid w:val="2E2843FB"/>
    <w:rsid w:val="2E294772"/>
    <w:rsid w:val="2E2E799A"/>
    <w:rsid w:val="2E336C50"/>
    <w:rsid w:val="2E374561"/>
    <w:rsid w:val="2E3A195C"/>
    <w:rsid w:val="2E3A5DFF"/>
    <w:rsid w:val="2E3F45EA"/>
    <w:rsid w:val="2E400F3C"/>
    <w:rsid w:val="2E424AD5"/>
    <w:rsid w:val="2E513149"/>
    <w:rsid w:val="2E516CA5"/>
    <w:rsid w:val="2E520E27"/>
    <w:rsid w:val="2E573717"/>
    <w:rsid w:val="2E5E07DC"/>
    <w:rsid w:val="2E6279C6"/>
    <w:rsid w:val="2E6469D8"/>
    <w:rsid w:val="2E76670C"/>
    <w:rsid w:val="2E796FD4"/>
    <w:rsid w:val="2E7C6418"/>
    <w:rsid w:val="2E8157DC"/>
    <w:rsid w:val="2E861045"/>
    <w:rsid w:val="2E8B49B7"/>
    <w:rsid w:val="2E8E614B"/>
    <w:rsid w:val="2E914DF2"/>
    <w:rsid w:val="2E9F2106"/>
    <w:rsid w:val="2EA17C2D"/>
    <w:rsid w:val="2EA94D33"/>
    <w:rsid w:val="2EAA5F11"/>
    <w:rsid w:val="2EAE40F8"/>
    <w:rsid w:val="2EB536D8"/>
    <w:rsid w:val="2EB57234"/>
    <w:rsid w:val="2EBA484A"/>
    <w:rsid w:val="2EBD258D"/>
    <w:rsid w:val="2EC41B6D"/>
    <w:rsid w:val="2ECB4CA9"/>
    <w:rsid w:val="2ECE0A3B"/>
    <w:rsid w:val="2ED95618"/>
    <w:rsid w:val="2EE45D6B"/>
    <w:rsid w:val="2EE713B8"/>
    <w:rsid w:val="2EF35FAE"/>
    <w:rsid w:val="2EF75A9F"/>
    <w:rsid w:val="2EFE507F"/>
    <w:rsid w:val="2F012479"/>
    <w:rsid w:val="2F0A1CD2"/>
    <w:rsid w:val="2F0B154A"/>
    <w:rsid w:val="2F1C4189"/>
    <w:rsid w:val="2F1C5505"/>
    <w:rsid w:val="2F1E302B"/>
    <w:rsid w:val="2F2443BA"/>
    <w:rsid w:val="2F350375"/>
    <w:rsid w:val="2F454A5C"/>
    <w:rsid w:val="2F5922B5"/>
    <w:rsid w:val="2F594288"/>
    <w:rsid w:val="2F6110DD"/>
    <w:rsid w:val="2F642A08"/>
    <w:rsid w:val="2F68074A"/>
    <w:rsid w:val="2F6856D6"/>
    <w:rsid w:val="2F77098D"/>
    <w:rsid w:val="2F94153F"/>
    <w:rsid w:val="2F9C1305"/>
    <w:rsid w:val="2FA774C5"/>
    <w:rsid w:val="2FAA0D63"/>
    <w:rsid w:val="2FAD5BD5"/>
    <w:rsid w:val="2FAD5F0B"/>
    <w:rsid w:val="2FB120F1"/>
    <w:rsid w:val="2FBD1B8F"/>
    <w:rsid w:val="2FBE78D3"/>
    <w:rsid w:val="2FC02334"/>
    <w:rsid w:val="2FC736C3"/>
    <w:rsid w:val="2FCF4325"/>
    <w:rsid w:val="2FDB0F1C"/>
    <w:rsid w:val="2FE5067A"/>
    <w:rsid w:val="2FE74BAE"/>
    <w:rsid w:val="2FED0C50"/>
    <w:rsid w:val="2FF540FA"/>
    <w:rsid w:val="2FF54C06"/>
    <w:rsid w:val="2FFE2E5D"/>
    <w:rsid w:val="30003A4C"/>
    <w:rsid w:val="30030473"/>
    <w:rsid w:val="3014442E"/>
    <w:rsid w:val="301461DC"/>
    <w:rsid w:val="301B756B"/>
    <w:rsid w:val="30201025"/>
    <w:rsid w:val="30234671"/>
    <w:rsid w:val="3029612C"/>
    <w:rsid w:val="302A16EB"/>
    <w:rsid w:val="302E3AEA"/>
    <w:rsid w:val="303B7C0D"/>
    <w:rsid w:val="30466CDD"/>
    <w:rsid w:val="304C5976"/>
    <w:rsid w:val="305807BF"/>
    <w:rsid w:val="306453B6"/>
    <w:rsid w:val="30801AC4"/>
    <w:rsid w:val="3082680F"/>
    <w:rsid w:val="309243C0"/>
    <w:rsid w:val="309C68FD"/>
    <w:rsid w:val="30A457B2"/>
    <w:rsid w:val="30AD45FE"/>
    <w:rsid w:val="30B52A83"/>
    <w:rsid w:val="30BF439A"/>
    <w:rsid w:val="30C419B0"/>
    <w:rsid w:val="30C776F3"/>
    <w:rsid w:val="30C9346B"/>
    <w:rsid w:val="30C95EA8"/>
    <w:rsid w:val="30DA0556"/>
    <w:rsid w:val="30E107B4"/>
    <w:rsid w:val="30E7256B"/>
    <w:rsid w:val="30E81B43"/>
    <w:rsid w:val="30ED1A33"/>
    <w:rsid w:val="30ED267A"/>
    <w:rsid w:val="30FC114A"/>
    <w:rsid w:val="31012C04"/>
    <w:rsid w:val="310D3357"/>
    <w:rsid w:val="310E70CF"/>
    <w:rsid w:val="311A1F18"/>
    <w:rsid w:val="311D7312"/>
    <w:rsid w:val="312227A7"/>
    <w:rsid w:val="31254CEB"/>
    <w:rsid w:val="312707D0"/>
    <w:rsid w:val="312B7E40"/>
    <w:rsid w:val="31327262"/>
    <w:rsid w:val="31375948"/>
    <w:rsid w:val="3138414C"/>
    <w:rsid w:val="313F4FFA"/>
    <w:rsid w:val="31434FCB"/>
    <w:rsid w:val="314760EE"/>
    <w:rsid w:val="314D5E4A"/>
    <w:rsid w:val="3150593A"/>
    <w:rsid w:val="315076E8"/>
    <w:rsid w:val="315A745C"/>
    <w:rsid w:val="315C608D"/>
    <w:rsid w:val="315E1E05"/>
    <w:rsid w:val="3162469E"/>
    <w:rsid w:val="31634B42"/>
    <w:rsid w:val="31684A32"/>
    <w:rsid w:val="317258B0"/>
    <w:rsid w:val="318178A1"/>
    <w:rsid w:val="318B24CE"/>
    <w:rsid w:val="318B6972"/>
    <w:rsid w:val="319720BE"/>
    <w:rsid w:val="319A665C"/>
    <w:rsid w:val="319F44D0"/>
    <w:rsid w:val="31A72A29"/>
    <w:rsid w:val="31A83080"/>
    <w:rsid w:val="31A87524"/>
    <w:rsid w:val="31AD2471"/>
    <w:rsid w:val="31AD7BE9"/>
    <w:rsid w:val="31B9528D"/>
    <w:rsid w:val="31D50D66"/>
    <w:rsid w:val="31DA4405"/>
    <w:rsid w:val="31DB16A7"/>
    <w:rsid w:val="31E00A6C"/>
    <w:rsid w:val="31E63BA8"/>
    <w:rsid w:val="31EA3699"/>
    <w:rsid w:val="31EC5663"/>
    <w:rsid w:val="31F14A27"/>
    <w:rsid w:val="320329AC"/>
    <w:rsid w:val="32087FC3"/>
    <w:rsid w:val="320A7897"/>
    <w:rsid w:val="320F30FF"/>
    <w:rsid w:val="32133CA5"/>
    <w:rsid w:val="32144BB9"/>
    <w:rsid w:val="32186458"/>
    <w:rsid w:val="321E77E6"/>
    <w:rsid w:val="321F3CD8"/>
    <w:rsid w:val="32292413"/>
    <w:rsid w:val="32313075"/>
    <w:rsid w:val="3236068C"/>
    <w:rsid w:val="323D5EBE"/>
    <w:rsid w:val="32472899"/>
    <w:rsid w:val="32496611"/>
    <w:rsid w:val="3260443B"/>
    <w:rsid w:val="32672F3B"/>
    <w:rsid w:val="32676A97"/>
    <w:rsid w:val="32790B1D"/>
    <w:rsid w:val="327A0EC0"/>
    <w:rsid w:val="327A1535"/>
    <w:rsid w:val="327D37D4"/>
    <w:rsid w:val="327F2033"/>
    <w:rsid w:val="327F76D8"/>
    <w:rsid w:val="32851613"/>
    <w:rsid w:val="3288246C"/>
    <w:rsid w:val="328F5FEE"/>
    <w:rsid w:val="32935ADE"/>
    <w:rsid w:val="32A001FB"/>
    <w:rsid w:val="32A63A63"/>
    <w:rsid w:val="32A95302"/>
    <w:rsid w:val="32AF0265"/>
    <w:rsid w:val="32B24C2F"/>
    <w:rsid w:val="32B67A1F"/>
    <w:rsid w:val="32BB5035"/>
    <w:rsid w:val="32C20171"/>
    <w:rsid w:val="32D17C89"/>
    <w:rsid w:val="32D22AAA"/>
    <w:rsid w:val="32D3412D"/>
    <w:rsid w:val="32D47F84"/>
    <w:rsid w:val="32D87995"/>
    <w:rsid w:val="32D92CDB"/>
    <w:rsid w:val="32DB1C5F"/>
    <w:rsid w:val="32DD144F"/>
    <w:rsid w:val="32DD4FAB"/>
    <w:rsid w:val="32E53E60"/>
    <w:rsid w:val="32EC5C70"/>
    <w:rsid w:val="32EE1841"/>
    <w:rsid w:val="32FD73FC"/>
    <w:rsid w:val="32FF13C6"/>
    <w:rsid w:val="32FF4F22"/>
    <w:rsid w:val="33014A95"/>
    <w:rsid w:val="33022C64"/>
    <w:rsid w:val="33044C2E"/>
    <w:rsid w:val="33062754"/>
    <w:rsid w:val="33082BEB"/>
    <w:rsid w:val="33095248"/>
    <w:rsid w:val="33095DA0"/>
    <w:rsid w:val="330B38C7"/>
    <w:rsid w:val="33131907"/>
    <w:rsid w:val="33136C1F"/>
    <w:rsid w:val="331656FD"/>
    <w:rsid w:val="331A1D5C"/>
    <w:rsid w:val="3324596F"/>
    <w:rsid w:val="33292712"/>
    <w:rsid w:val="332B3F69"/>
    <w:rsid w:val="332C69B5"/>
    <w:rsid w:val="33323549"/>
    <w:rsid w:val="333746BC"/>
    <w:rsid w:val="33407EE8"/>
    <w:rsid w:val="33423F49"/>
    <w:rsid w:val="33460345"/>
    <w:rsid w:val="33514C1C"/>
    <w:rsid w:val="33552D94"/>
    <w:rsid w:val="335C57D6"/>
    <w:rsid w:val="33694A91"/>
    <w:rsid w:val="33727DEA"/>
    <w:rsid w:val="33753436"/>
    <w:rsid w:val="337551E4"/>
    <w:rsid w:val="337E053C"/>
    <w:rsid w:val="33812D41"/>
    <w:rsid w:val="338D32F1"/>
    <w:rsid w:val="33941B0E"/>
    <w:rsid w:val="339733AC"/>
    <w:rsid w:val="33A65CE5"/>
    <w:rsid w:val="33A66585"/>
    <w:rsid w:val="33AB32FB"/>
    <w:rsid w:val="33B201E6"/>
    <w:rsid w:val="33B51A84"/>
    <w:rsid w:val="33C61EE3"/>
    <w:rsid w:val="33E915F3"/>
    <w:rsid w:val="33EC7B9C"/>
    <w:rsid w:val="33ED56C2"/>
    <w:rsid w:val="33F14E3F"/>
    <w:rsid w:val="33F43719"/>
    <w:rsid w:val="33FE6037"/>
    <w:rsid w:val="34002C60"/>
    <w:rsid w:val="340C4C6E"/>
    <w:rsid w:val="34126ED7"/>
    <w:rsid w:val="34190265"/>
    <w:rsid w:val="342C61EA"/>
    <w:rsid w:val="343017E0"/>
    <w:rsid w:val="343155AF"/>
    <w:rsid w:val="34367069"/>
    <w:rsid w:val="34390DE3"/>
    <w:rsid w:val="34394463"/>
    <w:rsid w:val="343F6B5B"/>
    <w:rsid w:val="344057F2"/>
    <w:rsid w:val="34452E08"/>
    <w:rsid w:val="34470F4D"/>
    <w:rsid w:val="344D7F0F"/>
    <w:rsid w:val="345474EF"/>
    <w:rsid w:val="3458039D"/>
    <w:rsid w:val="34593FB8"/>
    <w:rsid w:val="345E036E"/>
    <w:rsid w:val="34602FDD"/>
    <w:rsid w:val="346040E6"/>
    <w:rsid w:val="34757B91"/>
    <w:rsid w:val="34761214"/>
    <w:rsid w:val="34790259"/>
    <w:rsid w:val="347D07F4"/>
    <w:rsid w:val="347E1FD2"/>
    <w:rsid w:val="34833825"/>
    <w:rsid w:val="34840C3D"/>
    <w:rsid w:val="348558FB"/>
    <w:rsid w:val="348A4CBF"/>
    <w:rsid w:val="34943D90"/>
    <w:rsid w:val="349D2C44"/>
    <w:rsid w:val="34AC2E87"/>
    <w:rsid w:val="34AE2A73"/>
    <w:rsid w:val="34B45226"/>
    <w:rsid w:val="34BB69B8"/>
    <w:rsid w:val="34BD32E6"/>
    <w:rsid w:val="34C40D15"/>
    <w:rsid w:val="34C5219B"/>
    <w:rsid w:val="34CD748C"/>
    <w:rsid w:val="34D10B40"/>
    <w:rsid w:val="34D36666"/>
    <w:rsid w:val="34DB5183"/>
    <w:rsid w:val="34DC4632"/>
    <w:rsid w:val="34E24AFB"/>
    <w:rsid w:val="34E46AC5"/>
    <w:rsid w:val="34EC3BCC"/>
    <w:rsid w:val="34F14D3E"/>
    <w:rsid w:val="34F40078"/>
    <w:rsid w:val="34F5048D"/>
    <w:rsid w:val="34FA1E45"/>
    <w:rsid w:val="34FD1935"/>
    <w:rsid w:val="350902DA"/>
    <w:rsid w:val="35132F06"/>
    <w:rsid w:val="3518051D"/>
    <w:rsid w:val="352132DA"/>
    <w:rsid w:val="35247EFC"/>
    <w:rsid w:val="352672B2"/>
    <w:rsid w:val="35374E47"/>
    <w:rsid w:val="35496928"/>
    <w:rsid w:val="35577297"/>
    <w:rsid w:val="355A6D87"/>
    <w:rsid w:val="355C2792"/>
    <w:rsid w:val="355C2AFF"/>
    <w:rsid w:val="355D23D3"/>
    <w:rsid w:val="356C533B"/>
    <w:rsid w:val="356D0868"/>
    <w:rsid w:val="35707279"/>
    <w:rsid w:val="3578720D"/>
    <w:rsid w:val="357D4824"/>
    <w:rsid w:val="358160C2"/>
    <w:rsid w:val="359758E5"/>
    <w:rsid w:val="35977890"/>
    <w:rsid w:val="359849D9"/>
    <w:rsid w:val="35A26038"/>
    <w:rsid w:val="35A27F45"/>
    <w:rsid w:val="35A973C7"/>
    <w:rsid w:val="35AD1CD3"/>
    <w:rsid w:val="35AF0108"/>
    <w:rsid w:val="35B20971"/>
    <w:rsid w:val="35B5220F"/>
    <w:rsid w:val="35B632F6"/>
    <w:rsid w:val="35BB5CBB"/>
    <w:rsid w:val="35C802BA"/>
    <w:rsid w:val="35D346B8"/>
    <w:rsid w:val="35D408E8"/>
    <w:rsid w:val="35E36D7D"/>
    <w:rsid w:val="35F13CF7"/>
    <w:rsid w:val="35F92264"/>
    <w:rsid w:val="35FA48FF"/>
    <w:rsid w:val="35FC7E3E"/>
    <w:rsid w:val="360401E9"/>
    <w:rsid w:val="36056CF3"/>
    <w:rsid w:val="360948A1"/>
    <w:rsid w:val="360F7B72"/>
    <w:rsid w:val="36120683"/>
    <w:rsid w:val="36176A26"/>
    <w:rsid w:val="36186C7D"/>
    <w:rsid w:val="361909F0"/>
    <w:rsid w:val="361E6007"/>
    <w:rsid w:val="36266C69"/>
    <w:rsid w:val="36294A38"/>
    <w:rsid w:val="362A49AB"/>
    <w:rsid w:val="362C0724"/>
    <w:rsid w:val="362D624A"/>
    <w:rsid w:val="36326BC5"/>
    <w:rsid w:val="363E0457"/>
    <w:rsid w:val="36402219"/>
    <w:rsid w:val="36407D2B"/>
    <w:rsid w:val="36436FC1"/>
    <w:rsid w:val="3649562D"/>
    <w:rsid w:val="364A6DFC"/>
    <w:rsid w:val="3653029E"/>
    <w:rsid w:val="36592A97"/>
    <w:rsid w:val="36631BE4"/>
    <w:rsid w:val="366A0915"/>
    <w:rsid w:val="366D6646"/>
    <w:rsid w:val="367125DA"/>
    <w:rsid w:val="36721CF2"/>
    <w:rsid w:val="36747A1D"/>
    <w:rsid w:val="3679148F"/>
    <w:rsid w:val="36792EB9"/>
    <w:rsid w:val="367D0F7F"/>
    <w:rsid w:val="36820344"/>
    <w:rsid w:val="368340BC"/>
    <w:rsid w:val="368A5F83"/>
    <w:rsid w:val="368D6C58"/>
    <w:rsid w:val="369D6F2B"/>
    <w:rsid w:val="369E4A52"/>
    <w:rsid w:val="36BA5D2F"/>
    <w:rsid w:val="36BE6EA2"/>
    <w:rsid w:val="36CA1CEB"/>
    <w:rsid w:val="36DB7A54"/>
    <w:rsid w:val="36E0506A"/>
    <w:rsid w:val="36E515F1"/>
    <w:rsid w:val="36E56B24"/>
    <w:rsid w:val="36E903C3"/>
    <w:rsid w:val="36EC1C61"/>
    <w:rsid w:val="36F01AF3"/>
    <w:rsid w:val="36F34D9D"/>
    <w:rsid w:val="36F54FB9"/>
    <w:rsid w:val="37033793"/>
    <w:rsid w:val="37177E68"/>
    <w:rsid w:val="371A4A20"/>
    <w:rsid w:val="37214898"/>
    <w:rsid w:val="37255FFD"/>
    <w:rsid w:val="372C0FA1"/>
    <w:rsid w:val="372D208E"/>
    <w:rsid w:val="37377380"/>
    <w:rsid w:val="373F7FE3"/>
    <w:rsid w:val="3747333B"/>
    <w:rsid w:val="37490126"/>
    <w:rsid w:val="374A4436"/>
    <w:rsid w:val="374A6F7B"/>
    <w:rsid w:val="374C6AA7"/>
    <w:rsid w:val="374E46CA"/>
    <w:rsid w:val="375021F0"/>
    <w:rsid w:val="375F7291"/>
    <w:rsid w:val="37621F23"/>
    <w:rsid w:val="37623CD1"/>
    <w:rsid w:val="37691503"/>
    <w:rsid w:val="376E6B1A"/>
    <w:rsid w:val="377203B8"/>
    <w:rsid w:val="377D0B0B"/>
    <w:rsid w:val="377F0D27"/>
    <w:rsid w:val="377F2AD5"/>
    <w:rsid w:val="378D6FA0"/>
    <w:rsid w:val="379522F8"/>
    <w:rsid w:val="379540A7"/>
    <w:rsid w:val="3798060A"/>
    <w:rsid w:val="37A662B4"/>
    <w:rsid w:val="37AB1B1C"/>
    <w:rsid w:val="37AC319E"/>
    <w:rsid w:val="37B426A3"/>
    <w:rsid w:val="37C116E8"/>
    <w:rsid w:val="37C329C2"/>
    <w:rsid w:val="37C4673A"/>
    <w:rsid w:val="37C83096"/>
    <w:rsid w:val="37C869EA"/>
    <w:rsid w:val="37C96CE5"/>
    <w:rsid w:val="37CB5D1A"/>
    <w:rsid w:val="37CD245F"/>
    <w:rsid w:val="37D2672A"/>
    <w:rsid w:val="37D3697D"/>
    <w:rsid w:val="37E172EC"/>
    <w:rsid w:val="37E82428"/>
    <w:rsid w:val="37F54F43"/>
    <w:rsid w:val="37FA50C2"/>
    <w:rsid w:val="37FE39FA"/>
    <w:rsid w:val="37FE7E9E"/>
    <w:rsid w:val="38003C16"/>
    <w:rsid w:val="380803DD"/>
    <w:rsid w:val="380D40C9"/>
    <w:rsid w:val="380E46BF"/>
    <w:rsid w:val="38152F68"/>
    <w:rsid w:val="38170F5F"/>
    <w:rsid w:val="381B0A50"/>
    <w:rsid w:val="38236009"/>
    <w:rsid w:val="382835A3"/>
    <w:rsid w:val="38313807"/>
    <w:rsid w:val="383832E4"/>
    <w:rsid w:val="384018E7"/>
    <w:rsid w:val="38404012"/>
    <w:rsid w:val="38412DA1"/>
    <w:rsid w:val="384A512D"/>
    <w:rsid w:val="384B29B7"/>
    <w:rsid w:val="3853724F"/>
    <w:rsid w:val="38547ABE"/>
    <w:rsid w:val="38563836"/>
    <w:rsid w:val="385E6B8E"/>
    <w:rsid w:val="386341A5"/>
    <w:rsid w:val="38765C86"/>
    <w:rsid w:val="387A2D4D"/>
    <w:rsid w:val="389A08FE"/>
    <w:rsid w:val="38A241A6"/>
    <w:rsid w:val="38A528A2"/>
    <w:rsid w:val="38A7195D"/>
    <w:rsid w:val="38A74DA6"/>
    <w:rsid w:val="38B059AF"/>
    <w:rsid w:val="38B14F10"/>
    <w:rsid w:val="38B30C88"/>
    <w:rsid w:val="38B557C0"/>
    <w:rsid w:val="38BB7B3D"/>
    <w:rsid w:val="38C06F01"/>
    <w:rsid w:val="38D62BC9"/>
    <w:rsid w:val="38E31684"/>
    <w:rsid w:val="38E33981"/>
    <w:rsid w:val="38E36F47"/>
    <w:rsid w:val="38E52E0C"/>
    <w:rsid w:val="38E70B3E"/>
    <w:rsid w:val="38EC5F48"/>
    <w:rsid w:val="38FA30DF"/>
    <w:rsid w:val="38FE5C7B"/>
    <w:rsid w:val="390037A2"/>
    <w:rsid w:val="390908A8"/>
    <w:rsid w:val="391060DB"/>
    <w:rsid w:val="391334D5"/>
    <w:rsid w:val="39193F34"/>
    <w:rsid w:val="391D07F7"/>
    <w:rsid w:val="39205BF2"/>
    <w:rsid w:val="392576AC"/>
    <w:rsid w:val="392A081F"/>
    <w:rsid w:val="392A2F11"/>
    <w:rsid w:val="392A6A70"/>
    <w:rsid w:val="39363667"/>
    <w:rsid w:val="393B2A2C"/>
    <w:rsid w:val="39442944"/>
    <w:rsid w:val="39462F2A"/>
    <w:rsid w:val="394F0285"/>
    <w:rsid w:val="39564958"/>
    <w:rsid w:val="395D6E46"/>
    <w:rsid w:val="395F671A"/>
    <w:rsid w:val="396C150B"/>
    <w:rsid w:val="396F26D5"/>
    <w:rsid w:val="39720087"/>
    <w:rsid w:val="39730417"/>
    <w:rsid w:val="39846181"/>
    <w:rsid w:val="39897C3B"/>
    <w:rsid w:val="398B750F"/>
    <w:rsid w:val="399D7242"/>
    <w:rsid w:val="39A14F85"/>
    <w:rsid w:val="39A15CD6"/>
    <w:rsid w:val="39A700C1"/>
    <w:rsid w:val="39A92C0E"/>
    <w:rsid w:val="39B506F2"/>
    <w:rsid w:val="39B93F9F"/>
    <w:rsid w:val="39BA7DF4"/>
    <w:rsid w:val="39BE24C9"/>
    <w:rsid w:val="39C42A21"/>
    <w:rsid w:val="39C66799"/>
    <w:rsid w:val="39D215E2"/>
    <w:rsid w:val="39DC7D6B"/>
    <w:rsid w:val="39DD2EED"/>
    <w:rsid w:val="39E14383"/>
    <w:rsid w:val="39E33D31"/>
    <w:rsid w:val="39E7589A"/>
    <w:rsid w:val="39F350B4"/>
    <w:rsid w:val="39FC040D"/>
    <w:rsid w:val="3A0D261A"/>
    <w:rsid w:val="3A145757"/>
    <w:rsid w:val="3A1A6AE5"/>
    <w:rsid w:val="3A1E0383"/>
    <w:rsid w:val="3A234D7B"/>
    <w:rsid w:val="3A35391F"/>
    <w:rsid w:val="3A355331"/>
    <w:rsid w:val="3A3A1AE8"/>
    <w:rsid w:val="3A437DEA"/>
    <w:rsid w:val="3A4A561C"/>
    <w:rsid w:val="3A4A73CA"/>
    <w:rsid w:val="3A4D2A17"/>
    <w:rsid w:val="3A4F678F"/>
    <w:rsid w:val="3A667F7C"/>
    <w:rsid w:val="3A6A181A"/>
    <w:rsid w:val="3A6B7341"/>
    <w:rsid w:val="3A726921"/>
    <w:rsid w:val="3A766F89"/>
    <w:rsid w:val="3A791A5E"/>
    <w:rsid w:val="3A804B9A"/>
    <w:rsid w:val="3A8B353F"/>
    <w:rsid w:val="3A8C79E3"/>
    <w:rsid w:val="3A8E29D3"/>
    <w:rsid w:val="3A9C574C"/>
    <w:rsid w:val="3A9E3272"/>
    <w:rsid w:val="3AA27206"/>
    <w:rsid w:val="3AA36ADA"/>
    <w:rsid w:val="3AA50161"/>
    <w:rsid w:val="3AA50AA5"/>
    <w:rsid w:val="3AAB598F"/>
    <w:rsid w:val="3AB331C1"/>
    <w:rsid w:val="3AB40624"/>
    <w:rsid w:val="3AB92E8B"/>
    <w:rsid w:val="3ABD5DEE"/>
    <w:rsid w:val="3AC0143A"/>
    <w:rsid w:val="3AD11FD9"/>
    <w:rsid w:val="3AD249E7"/>
    <w:rsid w:val="3AD43138"/>
    <w:rsid w:val="3ADB091E"/>
    <w:rsid w:val="3AE11DE1"/>
    <w:rsid w:val="3AE16E49"/>
    <w:rsid w:val="3AEF1D20"/>
    <w:rsid w:val="3AF31810"/>
    <w:rsid w:val="3AFA0DF0"/>
    <w:rsid w:val="3AFB2473"/>
    <w:rsid w:val="3B003F2D"/>
    <w:rsid w:val="3B0F4170"/>
    <w:rsid w:val="3B0F5F1E"/>
    <w:rsid w:val="3B135A0E"/>
    <w:rsid w:val="3B145C19"/>
    <w:rsid w:val="3B217306"/>
    <w:rsid w:val="3B273268"/>
    <w:rsid w:val="3B293484"/>
    <w:rsid w:val="3B2A2D58"/>
    <w:rsid w:val="3B2D74E8"/>
    <w:rsid w:val="3B312338"/>
    <w:rsid w:val="3B377223"/>
    <w:rsid w:val="3B3F4A55"/>
    <w:rsid w:val="3B4262F3"/>
    <w:rsid w:val="3B4A3779"/>
    <w:rsid w:val="3B4E4C98"/>
    <w:rsid w:val="3B563B4D"/>
    <w:rsid w:val="3B575229"/>
    <w:rsid w:val="3B5953EB"/>
    <w:rsid w:val="3B5A363D"/>
    <w:rsid w:val="3B607FB3"/>
    <w:rsid w:val="3B781D15"/>
    <w:rsid w:val="3B7874E6"/>
    <w:rsid w:val="3B8406BA"/>
    <w:rsid w:val="3B950B19"/>
    <w:rsid w:val="3B997AE8"/>
    <w:rsid w:val="3B9A7EDD"/>
    <w:rsid w:val="3B9D79CE"/>
    <w:rsid w:val="3BA54333"/>
    <w:rsid w:val="3BAB20EB"/>
    <w:rsid w:val="3BAB3E99"/>
    <w:rsid w:val="3BAC1821"/>
    <w:rsid w:val="3BAC5E63"/>
    <w:rsid w:val="3BAC628D"/>
    <w:rsid w:val="3BC60A9D"/>
    <w:rsid w:val="3BC82C9D"/>
    <w:rsid w:val="3BC90EB9"/>
    <w:rsid w:val="3BD31641"/>
    <w:rsid w:val="3BD81646"/>
    <w:rsid w:val="3BE81FCD"/>
    <w:rsid w:val="3BE86E9B"/>
    <w:rsid w:val="3BFC64A2"/>
    <w:rsid w:val="3C0B0DDB"/>
    <w:rsid w:val="3C0F0B15"/>
    <w:rsid w:val="3C1C08F2"/>
    <w:rsid w:val="3C1F0094"/>
    <w:rsid w:val="3C205D00"/>
    <w:rsid w:val="3C2459F9"/>
    <w:rsid w:val="3C2B322B"/>
    <w:rsid w:val="3C3025F0"/>
    <w:rsid w:val="3C4877ED"/>
    <w:rsid w:val="3C495674"/>
    <w:rsid w:val="3C4E0CC8"/>
    <w:rsid w:val="3C530DD9"/>
    <w:rsid w:val="3C547B47"/>
    <w:rsid w:val="3C5502A8"/>
    <w:rsid w:val="3C5A58BF"/>
    <w:rsid w:val="3C5A766D"/>
    <w:rsid w:val="3C5B37E7"/>
    <w:rsid w:val="3C5F6A31"/>
    <w:rsid w:val="3C610609"/>
    <w:rsid w:val="3C6127A9"/>
    <w:rsid w:val="3C636171"/>
    <w:rsid w:val="3C664263"/>
    <w:rsid w:val="3C706B34"/>
    <w:rsid w:val="3C797AF3"/>
    <w:rsid w:val="3C812E4B"/>
    <w:rsid w:val="3C834E15"/>
    <w:rsid w:val="3C8A7F52"/>
    <w:rsid w:val="3C8B3CCA"/>
    <w:rsid w:val="3C90308E"/>
    <w:rsid w:val="3C911248"/>
    <w:rsid w:val="3C964B49"/>
    <w:rsid w:val="3CAD1E92"/>
    <w:rsid w:val="3CC61931"/>
    <w:rsid w:val="3CC72F54"/>
    <w:rsid w:val="3CCD5318"/>
    <w:rsid w:val="3CD147A4"/>
    <w:rsid w:val="3CD45671"/>
    <w:rsid w:val="3CD66855"/>
    <w:rsid w:val="3CDA6FAE"/>
    <w:rsid w:val="3CDF60CE"/>
    <w:rsid w:val="3CE753A4"/>
    <w:rsid w:val="3CEB6517"/>
    <w:rsid w:val="3CF655E7"/>
    <w:rsid w:val="3CF93E6F"/>
    <w:rsid w:val="3D031AB2"/>
    <w:rsid w:val="3D0329CE"/>
    <w:rsid w:val="3D0A1093"/>
    <w:rsid w:val="3D0C3994"/>
    <w:rsid w:val="3D167A38"/>
    <w:rsid w:val="3D24777C"/>
    <w:rsid w:val="3D393726"/>
    <w:rsid w:val="3D3A30E3"/>
    <w:rsid w:val="3D424389"/>
    <w:rsid w:val="3D474095"/>
    <w:rsid w:val="3D5347E8"/>
    <w:rsid w:val="3D5B544A"/>
    <w:rsid w:val="3D5E3B4D"/>
    <w:rsid w:val="3D63018E"/>
    <w:rsid w:val="3D6407A3"/>
    <w:rsid w:val="3D670293"/>
    <w:rsid w:val="3D6975F0"/>
    <w:rsid w:val="3D712EC0"/>
    <w:rsid w:val="3D74475E"/>
    <w:rsid w:val="3D74650C"/>
    <w:rsid w:val="3D801355"/>
    <w:rsid w:val="3D8449A1"/>
    <w:rsid w:val="3D850E12"/>
    <w:rsid w:val="3D9B618F"/>
    <w:rsid w:val="3DA07301"/>
    <w:rsid w:val="3DAA0180"/>
    <w:rsid w:val="3DAE5EC2"/>
    <w:rsid w:val="3DB334D8"/>
    <w:rsid w:val="3DB64D77"/>
    <w:rsid w:val="3DB95AEB"/>
    <w:rsid w:val="3DBC024A"/>
    <w:rsid w:val="3DCC27F4"/>
    <w:rsid w:val="3DCF659A"/>
    <w:rsid w:val="3DD0408A"/>
    <w:rsid w:val="3DD5344F"/>
    <w:rsid w:val="3DD96D0B"/>
    <w:rsid w:val="3DE511B8"/>
    <w:rsid w:val="3DEC0798"/>
    <w:rsid w:val="3DEC564C"/>
    <w:rsid w:val="3DF633C5"/>
    <w:rsid w:val="3DFB432B"/>
    <w:rsid w:val="3DFD4AF1"/>
    <w:rsid w:val="3E027EEC"/>
    <w:rsid w:val="3E043D34"/>
    <w:rsid w:val="3E0755D2"/>
    <w:rsid w:val="3E0B50C2"/>
    <w:rsid w:val="3E1A70B4"/>
    <w:rsid w:val="3E3C34CE"/>
    <w:rsid w:val="3E5D6467"/>
    <w:rsid w:val="3E636451"/>
    <w:rsid w:val="3E6B790F"/>
    <w:rsid w:val="3E6D3687"/>
    <w:rsid w:val="3E6E11AD"/>
    <w:rsid w:val="3E6F5651"/>
    <w:rsid w:val="3E720C9E"/>
    <w:rsid w:val="3E76096C"/>
    <w:rsid w:val="3E7B5510"/>
    <w:rsid w:val="3E8D3D29"/>
    <w:rsid w:val="3E90381A"/>
    <w:rsid w:val="3E95498C"/>
    <w:rsid w:val="3E9A01F4"/>
    <w:rsid w:val="3E9E1A93"/>
    <w:rsid w:val="3EA13331"/>
    <w:rsid w:val="3EAD7F28"/>
    <w:rsid w:val="3EB86356"/>
    <w:rsid w:val="3EBA2645"/>
    <w:rsid w:val="3EBC016B"/>
    <w:rsid w:val="3EC6723B"/>
    <w:rsid w:val="3ECB4852"/>
    <w:rsid w:val="3ECD2378"/>
    <w:rsid w:val="3ED63527"/>
    <w:rsid w:val="3ED67B55"/>
    <w:rsid w:val="3EE70C7C"/>
    <w:rsid w:val="3EE951D0"/>
    <w:rsid w:val="3EEF6C51"/>
    <w:rsid w:val="3EF142B8"/>
    <w:rsid w:val="3F057D64"/>
    <w:rsid w:val="3F075CC4"/>
    <w:rsid w:val="3F0A791B"/>
    <w:rsid w:val="3F177A97"/>
    <w:rsid w:val="3F19736B"/>
    <w:rsid w:val="3F21712E"/>
    <w:rsid w:val="3F220916"/>
    <w:rsid w:val="3F2226C4"/>
    <w:rsid w:val="3F253F62"/>
    <w:rsid w:val="3F275F2C"/>
    <w:rsid w:val="3F285DF0"/>
    <w:rsid w:val="3F2C29E1"/>
    <w:rsid w:val="3F312907"/>
    <w:rsid w:val="3F384C10"/>
    <w:rsid w:val="3F396EEB"/>
    <w:rsid w:val="3F43088C"/>
    <w:rsid w:val="3F4519A7"/>
    <w:rsid w:val="3F4E5442"/>
    <w:rsid w:val="3F591E5E"/>
    <w:rsid w:val="3F632CDC"/>
    <w:rsid w:val="3F656A54"/>
    <w:rsid w:val="3F6B75FC"/>
    <w:rsid w:val="3F6C7DE3"/>
    <w:rsid w:val="3F6F1681"/>
    <w:rsid w:val="3F7E3672"/>
    <w:rsid w:val="3F827A5D"/>
    <w:rsid w:val="3F84512C"/>
    <w:rsid w:val="3F9B2476"/>
    <w:rsid w:val="3FA4757D"/>
    <w:rsid w:val="3FAE03FB"/>
    <w:rsid w:val="3FAF1A7E"/>
    <w:rsid w:val="3FB43DF9"/>
    <w:rsid w:val="3FB86B84"/>
    <w:rsid w:val="3FBB48C6"/>
    <w:rsid w:val="3FD3204B"/>
    <w:rsid w:val="3FD61700"/>
    <w:rsid w:val="3FD80FD4"/>
    <w:rsid w:val="3FDF4E54"/>
    <w:rsid w:val="3FDF6807"/>
    <w:rsid w:val="3FE77469"/>
    <w:rsid w:val="3FF51B86"/>
    <w:rsid w:val="3FFD6C8D"/>
    <w:rsid w:val="40193A36"/>
    <w:rsid w:val="40204729"/>
    <w:rsid w:val="40287C10"/>
    <w:rsid w:val="402D7572"/>
    <w:rsid w:val="402E6E46"/>
    <w:rsid w:val="403D52DB"/>
    <w:rsid w:val="40402FA6"/>
    <w:rsid w:val="40414DCB"/>
    <w:rsid w:val="40460634"/>
    <w:rsid w:val="404709C9"/>
    <w:rsid w:val="40514E2B"/>
    <w:rsid w:val="4057639D"/>
    <w:rsid w:val="40584539"/>
    <w:rsid w:val="405C39B3"/>
    <w:rsid w:val="405D1A2A"/>
    <w:rsid w:val="40612D9E"/>
    <w:rsid w:val="406F4DA3"/>
    <w:rsid w:val="40774C91"/>
    <w:rsid w:val="40782251"/>
    <w:rsid w:val="40784565"/>
    <w:rsid w:val="40896772"/>
    <w:rsid w:val="40955117"/>
    <w:rsid w:val="40A13ABC"/>
    <w:rsid w:val="40A37950"/>
    <w:rsid w:val="40AF5E62"/>
    <w:rsid w:val="40B3559D"/>
    <w:rsid w:val="40B768FB"/>
    <w:rsid w:val="40BA4B7E"/>
    <w:rsid w:val="40C55EA8"/>
    <w:rsid w:val="40C61775"/>
    <w:rsid w:val="40C854ED"/>
    <w:rsid w:val="40C94DC1"/>
    <w:rsid w:val="40CF0B23"/>
    <w:rsid w:val="40CF687B"/>
    <w:rsid w:val="40E57E4D"/>
    <w:rsid w:val="40ED136E"/>
    <w:rsid w:val="40F24318"/>
    <w:rsid w:val="40F24F08"/>
    <w:rsid w:val="40F41E3E"/>
    <w:rsid w:val="40FF740D"/>
    <w:rsid w:val="41110C42"/>
    <w:rsid w:val="411E2A95"/>
    <w:rsid w:val="411E6EBB"/>
    <w:rsid w:val="41250249"/>
    <w:rsid w:val="4125649B"/>
    <w:rsid w:val="412D5718"/>
    <w:rsid w:val="414601C0"/>
    <w:rsid w:val="414B08D8"/>
    <w:rsid w:val="414F018F"/>
    <w:rsid w:val="414F3F68"/>
    <w:rsid w:val="4151103E"/>
    <w:rsid w:val="41630D72"/>
    <w:rsid w:val="41656EA0"/>
    <w:rsid w:val="417411D1"/>
    <w:rsid w:val="417E7959"/>
    <w:rsid w:val="418238EE"/>
    <w:rsid w:val="418408ED"/>
    <w:rsid w:val="41872CB2"/>
    <w:rsid w:val="41874A60"/>
    <w:rsid w:val="418F1B67"/>
    <w:rsid w:val="41911D83"/>
    <w:rsid w:val="41923405"/>
    <w:rsid w:val="419B3242"/>
    <w:rsid w:val="419D4283"/>
    <w:rsid w:val="419E7FFC"/>
    <w:rsid w:val="41BA3087"/>
    <w:rsid w:val="41BA6D64"/>
    <w:rsid w:val="41C54F62"/>
    <w:rsid w:val="41CD7D0D"/>
    <w:rsid w:val="41D13F2D"/>
    <w:rsid w:val="41D57EC1"/>
    <w:rsid w:val="41DA7286"/>
    <w:rsid w:val="41E5640E"/>
    <w:rsid w:val="41E77BF5"/>
    <w:rsid w:val="41F369F6"/>
    <w:rsid w:val="41F83BB0"/>
    <w:rsid w:val="41FD2F74"/>
    <w:rsid w:val="42063A3A"/>
    <w:rsid w:val="42116A20"/>
    <w:rsid w:val="4214405D"/>
    <w:rsid w:val="42156510"/>
    <w:rsid w:val="42171D70"/>
    <w:rsid w:val="421A1D78"/>
    <w:rsid w:val="421C27EF"/>
    <w:rsid w:val="422E137F"/>
    <w:rsid w:val="4230143F"/>
    <w:rsid w:val="42380450"/>
    <w:rsid w:val="423D5A66"/>
    <w:rsid w:val="425012F6"/>
    <w:rsid w:val="42507548"/>
    <w:rsid w:val="425132C0"/>
    <w:rsid w:val="4253528A"/>
    <w:rsid w:val="42552DB0"/>
    <w:rsid w:val="42613503"/>
    <w:rsid w:val="4262727B"/>
    <w:rsid w:val="42664FBD"/>
    <w:rsid w:val="4269060A"/>
    <w:rsid w:val="426E79CE"/>
    <w:rsid w:val="427721CF"/>
    <w:rsid w:val="42784CF1"/>
    <w:rsid w:val="42815953"/>
    <w:rsid w:val="428627B5"/>
    <w:rsid w:val="42872C3E"/>
    <w:rsid w:val="42894808"/>
    <w:rsid w:val="428C60A6"/>
    <w:rsid w:val="42975177"/>
    <w:rsid w:val="429A07C3"/>
    <w:rsid w:val="429A0F55"/>
    <w:rsid w:val="429A6A15"/>
    <w:rsid w:val="42A11B51"/>
    <w:rsid w:val="42A31D6D"/>
    <w:rsid w:val="42A94EAA"/>
    <w:rsid w:val="42AC04F6"/>
    <w:rsid w:val="42AD499A"/>
    <w:rsid w:val="42AD609A"/>
    <w:rsid w:val="42B20202"/>
    <w:rsid w:val="42BB0B2F"/>
    <w:rsid w:val="42BB7663"/>
    <w:rsid w:val="42C45840"/>
    <w:rsid w:val="42C700D1"/>
    <w:rsid w:val="42C70B31"/>
    <w:rsid w:val="42C817D4"/>
    <w:rsid w:val="42CA37F1"/>
    <w:rsid w:val="42CB3072"/>
    <w:rsid w:val="42D40179"/>
    <w:rsid w:val="42D9578F"/>
    <w:rsid w:val="42DC0DDB"/>
    <w:rsid w:val="42DD6902"/>
    <w:rsid w:val="42E3216A"/>
    <w:rsid w:val="42E76C58"/>
    <w:rsid w:val="42EB54C2"/>
    <w:rsid w:val="42F5057E"/>
    <w:rsid w:val="42F558B3"/>
    <w:rsid w:val="42F779C3"/>
    <w:rsid w:val="43016A94"/>
    <w:rsid w:val="430D368B"/>
    <w:rsid w:val="430E3D19"/>
    <w:rsid w:val="43144A19"/>
    <w:rsid w:val="431A1BD8"/>
    <w:rsid w:val="431E02ED"/>
    <w:rsid w:val="43201866"/>
    <w:rsid w:val="43212C92"/>
    <w:rsid w:val="4323451C"/>
    <w:rsid w:val="432D5ADB"/>
    <w:rsid w:val="433E55F2"/>
    <w:rsid w:val="43432C09"/>
    <w:rsid w:val="434B5F61"/>
    <w:rsid w:val="43516693"/>
    <w:rsid w:val="435412BA"/>
    <w:rsid w:val="4355293C"/>
    <w:rsid w:val="435B2648"/>
    <w:rsid w:val="435B61A4"/>
    <w:rsid w:val="435E496B"/>
    <w:rsid w:val="436F7031"/>
    <w:rsid w:val="43721740"/>
    <w:rsid w:val="43741014"/>
    <w:rsid w:val="437B47DE"/>
    <w:rsid w:val="43827BD5"/>
    <w:rsid w:val="438356FB"/>
    <w:rsid w:val="438374A9"/>
    <w:rsid w:val="43853221"/>
    <w:rsid w:val="4387343D"/>
    <w:rsid w:val="438D657A"/>
    <w:rsid w:val="438F22F2"/>
    <w:rsid w:val="43994DD7"/>
    <w:rsid w:val="439B2A45"/>
    <w:rsid w:val="439D56D9"/>
    <w:rsid w:val="43AC3ED1"/>
    <w:rsid w:val="43B803F8"/>
    <w:rsid w:val="43B90147"/>
    <w:rsid w:val="43BE41CB"/>
    <w:rsid w:val="43CA332A"/>
    <w:rsid w:val="43CD6976"/>
    <w:rsid w:val="43D47D05"/>
    <w:rsid w:val="43DA3792"/>
    <w:rsid w:val="43E066A9"/>
    <w:rsid w:val="43E4722E"/>
    <w:rsid w:val="43E67164"/>
    <w:rsid w:val="43EC32A0"/>
    <w:rsid w:val="43F202D8"/>
    <w:rsid w:val="43F45BD0"/>
    <w:rsid w:val="43F81C45"/>
    <w:rsid w:val="43FB478E"/>
    <w:rsid w:val="43FC6D22"/>
    <w:rsid w:val="43FD54AD"/>
    <w:rsid w:val="440873F8"/>
    <w:rsid w:val="4411001F"/>
    <w:rsid w:val="442A5B77"/>
    <w:rsid w:val="442C18EF"/>
    <w:rsid w:val="44301B45"/>
    <w:rsid w:val="443C78D0"/>
    <w:rsid w:val="443F3F3E"/>
    <w:rsid w:val="44496945"/>
    <w:rsid w:val="444C1F91"/>
    <w:rsid w:val="44555450"/>
    <w:rsid w:val="44586B88"/>
    <w:rsid w:val="445D5F4C"/>
    <w:rsid w:val="445D7297"/>
    <w:rsid w:val="446077EA"/>
    <w:rsid w:val="44613C8E"/>
    <w:rsid w:val="44697144"/>
    <w:rsid w:val="446A1915"/>
    <w:rsid w:val="446B0669"/>
    <w:rsid w:val="446E7C5F"/>
    <w:rsid w:val="447A4D50"/>
    <w:rsid w:val="448B4922"/>
    <w:rsid w:val="448D7897"/>
    <w:rsid w:val="449C1238"/>
    <w:rsid w:val="449F0024"/>
    <w:rsid w:val="449F6565"/>
    <w:rsid w:val="44A1052F"/>
    <w:rsid w:val="44A45929"/>
    <w:rsid w:val="44B00772"/>
    <w:rsid w:val="44B02520"/>
    <w:rsid w:val="44B10EA1"/>
    <w:rsid w:val="44B53FC2"/>
    <w:rsid w:val="44B546FA"/>
    <w:rsid w:val="44BC27B9"/>
    <w:rsid w:val="44BF2CE3"/>
    <w:rsid w:val="44CD30D2"/>
    <w:rsid w:val="44D07D4A"/>
    <w:rsid w:val="44D34460"/>
    <w:rsid w:val="44D83825"/>
    <w:rsid w:val="44E14D9A"/>
    <w:rsid w:val="44E16B7D"/>
    <w:rsid w:val="44E22ED8"/>
    <w:rsid w:val="44E64193"/>
    <w:rsid w:val="44EC452F"/>
    <w:rsid w:val="44FC39B7"/>
    <w:rsid w:val="44FC597B"/>
    <w:rsid w:val="44FD328B"/>
    <w:rsid w:val="44FE2636"/>
    <w:rsid w:val="450A021D"/>
    <w:rsid w:val="451707F1"/>
    <w:rsid w:val="45171C9F"/>
    <w:rsid w:val="45181E73"/>
    <w:rsid w:val="451A1577"/>
    <w:rsid w:val="451A255E"/>
    <w:rsid w:val="452901CE"/>
    <w:rsid w:val="45344EFF"/>
    <w:rsid w:val="453E08E3"/>
    <w:rsid w:val="4544327D"/>
    <w:rsid w:val="454D45B6"/>
    <w:rsid w:val="455A06DD"/>
    <w:rsid w:val="45622B78"/>
    <w:rsid w:val="4565155C"/>
    <w:rsid w:val="456809C0"/>
    <w:rsid w:val="456F753C"/>
    <w:rsid w:val="4573600A"/>
    <w:rsid w:val="45751852"/>
    <w:rsid w:val="45765517"/>
    <w:rsid w:val="458B6AE9"/>
    <w:rsid w:val="458D35C1"/>
    <w:rsid w:val="4597723C"/>
    <w:rsid w:val="45A26798"/>
    <w:rsid w:val="45A656D1"/>
    <w:rsid w:val="45AA3413"/>
    <w:rsid w:val="45B44292"/>
    <w:rsid w:val="45B93656"/>
    <w:rsid w:val="45C02C36"/>
    <w:rsid w:val="45C30031"/>
    <w:rsid w:val="45CF4C28"/>
    <w:rsid w:val="45D43FEC"/>
    <w:rsid w:val="45D60368"/>
    <w:rsid w:val="45E00BE3"/>
    <w:rsid w:val="45E51F31"/>
    <w:rsid w:val="45E87A97"/>
    <w:rsid w:val="46001285"/>
    <w:rsid w:val="460421F7"/>
    <w:rsid w:val="46050649"/>
    <w:rsid w:val="4607616F"/>
    <w:rsid w:val="461554CF"/>
    <w:rsid w:val="461D5993"/>
    <w:rsid w:val="461F5BAF"/>
    <w:rsid w:val="462211FB"/>
    <w:rsid w:val="462417D4"/>
    <w:rsid w:val="462431C5"/>
    <w:rsid w:val="462C207A"/>
    <w:rsid w:val="462F3918"/>
    <w:rsid w:val="46396545"/>
    <w:rsid w:val="463A4797"/>
    <w:rsid w:val="463C5F52"/>
    <w:rsid w:val="46431172"/>
    <w:rsid w:val="4643491A"/>
    <w:rsid w:val="464521E7"/>
    <w:rsid w:val="46455732"/>
    <w:rsid w:val="464E3D9E"/>
    <w:rsid w:val="464F5D68"/>
    <w:rsid w:val="464F7B16"/>
    <w:rsid w:val="46675E7A"/>
    <w:rsid w:val="466B19C4"/>
    <w:rsid w:val="466F1F67"/>
    <w:rsid w:val="467866B3"/>
    <w:rsid w:val="467A2DE5"/>
    <w:rsid w:val="467D4684"/>
    <w:rsid w:val="467F21AA"/>
    <w:rsid w:val="46804174"/>
    <w:rsid w:val="46A77952"/>
    <w:rsid w:val="46AB281B"/>
    <w:rsid w:val="46AE6F33"/>
    <w:rsid w:val="46B61944"/>
    <w:rsid w:val="46B67B95"/>
    <w:rsid w:val="46BC2AD7"/>
    <w:rsid w:val="46D00C57"/>
    <w:rsid w:val="46D6477E"/>
    <w:rsid w:val="46D950DC"/>
    <w:rsid w:val="46DC7FF2"/>
    <w:rsid w:val="46DD5D6D"/>
    <w:rsid w:val="46DF0E9A"/>
    <w:rsid w:val="46E42955"/>
    <w:rsid w:val="46E91D19"/>
    <w:rsid w:val="46EF27ED"/>
    <w:rsid w:val="46FC1A4C"/>
    <w:rsid w:val="470B3A79"/>
    <w:rsid w:val="471054F8"/>
    <w:rsid w:val="471274C2"/>
    <w:rsid w:val="47150D60"/>
    <w:rsid w:val="472114B3"/>
    <w:rsid w:val="472657A6"/>
    <w:rsid w:val="47307948"/>
    <w:rsid w:val="473D6A6E"/>
    <w:rsid w:val="473F3908"/>
    <w:rsid w:val="47406A95"/>
    <w:rsid w:val="474C71FC"/>
    <w:rsid w:val="474D04FA"/>
    <w:rsid w:val="474D6260"/>
    <w:rsid w:val="475353E4"/>
    <w:rsid w:val="47543636"/>
    <w:rsid w:val="4754581B"/>
    <w:rsid w:val="475A6773"/>
    <w:rsid w:val="47625A6E"/>
    <w:rsid w:val="477261B2"/>
    <w:rsid w:val="47737835"/>
    <w:rsid w:val="47791740"/>
    <w:rsid w:val="4779309D"/>
    <w:rsid w:val="477F442B"/>
    <w:rsid w:val="478A7058"/>
    <w:rsid w:val="478B41B5"/>
    <w:rsid w:val="47925F0D"/>
    <w:rsid w:val="479512C3"/>
    <w:rsid w:val="47963FF7"/>
    <w:rsid w:val="47A3636C"/>
    <w:rsid w:val="47A85096"/>
    <w:rsid w:val="47AA76FA"/>
    <w:rsid w:val="47AC3472"/>
    <w:rsid w:val="47AD0D2F"/>
    <w:rsid w:val="47AF44AD"/>
    <w:rsid w:val="47AF4D11"/>
    <w:rsid w:val="47AF6ABF"/>
    <w:rsid w:val="47B651E6"/>
    <w:rsid w:val="47BA1BF2"/>
    <w:rsid w:val="47BB1907"/>
    <w:rsid w:val="47C54BA4"/>
    <w:rsid w:val="47CD0DEC"/>
    <w:rsid w:val="47CD5197"/>
    <w:rsid w:val="47D112E0"/>
    <w:rsid w:val="47E26E94"/>
    <w:rsid w:val="47E41648"/>
    <w:rsid w:val="47F00E85"/>
    <w:rsid w:val="47F92430"/>
    <w:rsid w:val="4803505C"/>
    <w:rsid w:val="480D3A23"/>
    <w:rsid w:val="48164D90"/>
    <w:rsid w:val="4818117E"/>
    <w:rsid w:val="483B47F6"/>
    <w:rsid w:val="4846741F"/>
    <w:rsid w:val="484D0086"/>
    <w:rsid w:val="484D0E76"/>
    <w:rsid w:val="484E4529"/>
    <w:rsid w:val="484F2050"/>
    <w:rsid w:val="485C55E7"/>
    <w:rsid w:val="48624C3F"/>
    <w:rsid w:val="486637E6"/>
    <w:rsid w:val="48671147"/>
    <w:rsid w:val="4867383D"/>
    <w:rsid w:val="486A50DB"/>
    <w:rsid w:val="486C49B0"/>
    <w:rsid w:val="487A29A7"/>
    <w:rsid w:val="489D725F"/>
    <w:rsid w:val="48B06F92"/>
    <w:rsid w:val="48B56357"/>
    <w:rsid w:val="48B7612A"/>
    <w:rsid w:val="48B9571B"/>
    <w:rsid w:val="48BF2D31"/>
    <w:rsid w:val="48C04CFB"/>
    <w:rsid w:val="48C12F4D"/>
    <w:rsid w:val="48CA7928"/>
    <w:rsid w:val="48D16F09"/>
    <w:rsid w:val="48D367DD"/>
    <w:rsid w:val="48D94D13"/>
    <w:rsid w:val="48DA7B6B"/>
    <w:rsid w:val="48E72288"/>
    <w:rsid w:val="48E7759C"/>
    <w:rsid w:val="48E77B38"/>
    <w:rsid w:val="48EB621C"/>
    <w:rsid w:val="48EC3D42"/>
    <w:rsid w:val="48EC5AF0"/>
    <w:rsid w:val="49075B6C"/>
    <w:rsid w:val="490E3CB9"/>
    <w:rsid w:val="49132795"/>
    <w:rsid w:val="49175151"/>
    <w:rsid w:val="49202A9B"/>
    <w:rsid w:val="49227829"/>
    <w:rsid w:val="4923580A"/>
    <w:rsid w:val="49374FBE"/>
    <w:rsid w:val="493A64EB"/>
    <w:rsid w:val="4941669C"/>
    <w:rsid w:val="494A7DB3"/>
    <w:rsid w:val="494B6C4D"/>
    <w:rsid w:val="49513989"/>
    <w:rsid w:val="495711BC"/>
    <w:rsid w:val="49575660"/>
    <w:rsid w:val="496C2214"/>
    <w:rsid w:val="496D45F2"/>
    <w:rsid w:val="496D7ED3"/>
    <w:rsid w:val="497247D5"/>
    <w:rsid w:val="497E2BEC"/>
    <w:rsid w:val="498521CD"/>
    <w:rsid w:val="49861160"/>
    <w:rsid w:val="498B765A"/>
    <w:rsid w:val="498F4DBB"/>
    <w:rsid w:val="49933A5A"/>
    <w:rsid w:val="499A379E"/>
    <w:rsid w:val="499C67BC"/>
    <w:rsid w:val="499F22AE"/>
    <w:rsid w:val="49A308A5"/>
    <w:rsid w:val="49A34401"/>
    <w:rsid w:val="49AF0FF8"/>
    <w:rsid w:val="49B44860"/>
    <w:rsid w:val="49C03205"/>
    <w:rsid w:val="49C2084A"/>
    <w:rsid w:val="49CA4084"/>
    <w:rsid w:val="49CA5E32"/>
    <w:rsid w:val="49D16BE6"/>
    <w:rsid w:val="49D40A5E"/>
    <w:rsid w:val="49D547D7"/>
    <w:rsid w:val="49DE190E"/>
    <w:rsid w:val="49EA2030"/>
    <w:rsid w:val="49EC224C"/>
    <w:rsid w:val="49F27137"/>
    <w:rsid w:val="49F7474D"/>
    <w:rsid w:val="49FD12F9"/>
    <w:rsid w:val="49FE3D2D"/>
    <w:rsid w:val="49FE5F91"/>
    <w:rsid w:val="4A001853"/>
    <w:rsid w:val="4A01737A"/>
    <w:rsid w:val="4A026F25"/>
    <w:rsid w:val="4A070E34"/>
    <w:rsid w:val="4A0E4BFD"/>
    <w:rsid w:val="4A1452FF"/>
    <w:rsid w:val="4A174DEF"/>
    <w:rsid w:val="4A1A5506"/>
    <w:rsid w:val="4A1A5F48"/>
    <w:rsid w:val="4A282B58"/>
    <w:rsid w:val="4A3459A1"/>
    <w:rsid w:val="4A372155"/>
    <w:rsid w:val="4A3749D0"/>
    <w:rsid w:val="4A3A62EE"/>
    <w:rsid w:val="4A3D7280"/>
    <w:rsid w:val="4A443E36"/>
    <w:rsid w:val="4A49144C"/>
    <w:rsid w:val="4A4D0811"/>
    <w:rsid w:val="4A4E6A63"/>
    <w:rsid w:val="4A553B36"/>
    <w:rsid w:val="4A5B1180"/>
    <w:rsid w:val="4A5B2F2E"/>
    <w:rsid w:val="4A5C2802"/>
    <w:rsid w:val="4A6504DB"/>
    <w:rsid w:val="4A657908"/>
    <w:rsid w:val="4A6726BA"/>
    <w:rsid w:val="4A71390E"/>
    <w:rsid w:val="4A783AE0"/>
    <w:rsid w:val="4A802994"/>
    <w:rsid w:val="4A82495E"/>
    <w:rsid w:val="4A8A55C1"/>
    <w:rsid w:val="4A8A736F"/>
    <w:rsid w:val="4A930987"/>
    <w:rsid w:val="4A9D70A2"/>
    <w:rsid w:val="4AA046CC"/>
    <w:rsid w:val="4AA448D5"/>
    <w:rsid w:val="4AAA2FAB"/>
    <w:rsid w:val="4AC22FAD"/>
    <w:rsid w:val="4AC9433B"/>
    <w:rsid w:val="4AD827D0"/>
    <w:rsid w:val="4AD8457E"/>
    <w:rsid w:val="4AD877C8"/>
    <w:rsid w:val="4AD9363D"/>
    <w:rsid w:val="4AD93E52"/>
    <w:rsid w:val="4AE271AB"/>
    <w:rsid w:val="4AEA67B3"/>
    <w:rsid w:val="4AEC6208"/>
    <w:rsid w:val="4AF22E11"/>
    <w:rsid w:val="4B090BDC"/>
    <w:rsid w:val="4B0E1D4E"/>
    <w:rsid w:val="4B1172F2"/>
    <w:rsid w:val="4B133808"/>
    <w:rsid w:val="4B1762EE"/>
    <w:rsid w:val="4B1959DE"/>
    <w:rsid w:val="4B1A06F3"/>
    <w:rsid w:val="4B1D4687"/>
    <w:rsid w:val="4B221C9D"/>
    <w:rsid w:val="4B2D29F5"/>
    <w:rsid w:val="4B306168"/>
    <w:rsid w:val="4B3C24D4"/>
    <w:rsid w:val="4B412124"/>
    <w:rsid w:val="4B49547C"/>
    <w:rsid w:val="4B58121B"/>
    <w:rsid w:val="4B5C51AF"/>
    <w:rsid w:val="4B5D2CD5"/>
    <w:rsid w:val="4B6021EA"/>
    <w:rsid w:val="4B663938"/>
    <w:rsid w:val="4B682DDF"/>
    <w:rsid w:val="4B692A55"/>
    <w:rsid w:val="4B6B0F4E"/>
    <w:rsid w:val="4B6E0A3F"/>
    <w:rsid w:val="4B6F679E"/>
    <w:rsid w:val="4B726781"/>
    <w:rsid w:val="4B7D6ED4"/>
    <w:rsid w:val="4B83273C"/>
    <w:rsid w:val="4BA426B2"/>
    <w:rsid w:val="4BA97CC9"/>
    <w:rsid w:val="4BB5666E"/>
    <w:rsid w:val="4BB943B0"/>
    <w:rsid w:val="4BC44B03"/>
    <w:rsid w:val="4BC845F3"/>
    <w:rsid w:val="4BCE14DD"/>
    <w:rsid w:val="4BDE5BC4"/>
    <w:rsid w:val="4BE13907"/>
    <w:rsid w:val="4BEB6533"/>
    <w:rsid w:val="4BEC7610"/>
    <w:rsid w:val="4BF30464"/>
    <w:rsid w:val="4BF52F0E"/>
    <w:rsid w:val="4BFE1DC3"/>
    <w:rsid w:val="4BFE6267"/>
    <w:rsid w:val="4BFF74B1"/>
    <w:rsid w:val="4C0D5795"/>
    <w:rsid w:val="4C107D48"/>
    <w:rsid w:val="4C1D417B"/>
    <w:rsid w:val="4C2555A1"/>
    <w:rsid w:val="4C266086"/>
    <w:rsid w:val="4C2F01CE"/>
    <w:rsid w:val="4C2F6420"/>
    <w:rsid w:val="4C3618DB"/>
    <w:rsid w:val="4C3D6719"/>
    <w:rsid w:val="4C4243A5"/>
    <w:rsid w:val="4C4A0BC4"/>
    <w:rsid w:val="4C4F0AB3"/>
    <w:rsid w:val="4C530FA2"/>
    <w:rsid w:val="4C531C47"/>
    <w:rsid w:val="4C572F7B"/>
    <w:rsid w:val="4C5D0796"/>
    <w:rsid w:val="4C5E0AB3"/>
    <w:rsid w:val="4C633D3F"/>
    <w:rsid w:val="4C6C192F"/>
    <w:rsid w:val="4C714E75"/>
    <w:rsid w:val="4C72455F"/>
    <w:rsid w:val="4C793B3F"/>
    <w:rsid w:val="4C7D58FE"/>
    <w:rsid w:val="4C8E1F3B"/>
    <w:rsid w:val="4C8E75EA"/>
    <w:rsid w:val="4C9269AF"/>
    <w:rsid w:val="4C982E02"/>
    <w:rsid w:val="4C9C194B"/>
    <w:rsid w:val="4CA54934"/>
    <w:rsid w:val="4CAF7561"/>
    <w:rsid w:val="4CC35BEB"/>
    <w:rsid w:val="4CCC0113"/>
    <w:rsid w:val="4CCE3E8B"/>
    <w:rsid w:val="4CCF60BD"/>
    <w:rsid w:val="4CD02929"/>
    <w:rsid w:val="4CD11285"/>
    <w:rsid w:val="4CD15729"/>
    <w:rsid w:val="4CD370C7"/>
    <w:rsid w:val="4CD52BD1"/>
    <w:rsid w:val="4CDE39A2"/>
    <w:rsid w:val="4CE41265"/>
    <w:rsid w:val="4CE76CFB"/>
    <w:rsid w:val="4CE94821"/>
    <w:rsid w:val="4CEA0599"/>
    <w:rsid w:val="4CEA7877"/>
    <w:rsid w:val="4CEE1E37"/>
    <w:rsid w:val="4CF17B79"/>
    <w:rsid w:val="4CF42FF5"/>
    <w:rsid w:val="4CF47178"/>
    <w:rsid w:val="4CFB079B"/>
    <w:rsid w:val="4D002688"/>
    <w:rsid w:val="4D075C93"/>
    <w:rsid w:val="4D103667"/>
    <w:rsid w:val="4D150064"/>
    <w:rsid w:val="4D185106"/>
    <w:rsid w:val="4D1A59F9"/>
    <w:rsid w:val="4D251398"/>
    <w:rsid w:val="4D2E01BE"/>
    <w:rsid w:val="4D363E53"/>
    <w:rsid w:val="4D3701CB"/>
    <w:rsid w:val="4D386DDA"/>
    <w:rsid w:val="4D491763"/>
    <w:rsid w:val="4D4B7AFC"/>
    <w:rsid w:val="4D551EB6"/>
    <w:rsid w:val="4D645C96"/>
    <w:rsid w:val="4D673998"/>
    <w:rsid w:val="4D7C735E"/>
    <w:rsid w:val="4D9229C5"/>
    <w:rsid w:val="4D9E1AAF"/>
    <w:rsid w:val="4DA501AA"/>
    <w:rsid w:val="4DA70238"/>
    <w:rsid w:val="4DAA3EA7"/>
    <w:rsid w:val="4DB50832"/>
    <w:rsid w:val="4DB51455"/>
    <w:rsid w:val="4DB72B71"/>
    <w:rsid w:val="4DBE4E9F"/>
    <w:rsid w:val="4DC112FA"/>
    <w:rsid w:val="4DC62FE4"/>
    <w:rsid w:val="4DCC2604"/>
    <w:rsid w:val="4DDC25D7"/>
    <w:rsid w:val="4DE1199C"/>
    <w:rsid w:val="4DED4BFE"/>
    <w:rsid w:val="4DEF230B"/>
    <w:rsid w:val="4DF72F6D"/>
    <w:rsid w:val="4DFB3E66"/>
    <w:rsid w:val="4E0568D0"/>
    <w:rsid w:val="4E061402"/>
    <w:rsid w:val="4E0B0FD9"/>
    <w:rsid w:val="4E0E6509"/>
    <w:rsid w:val="4E101E6E"/>
    <w:rsid w:val="4E1251ED"/>
    <w:rsid w:val="4E156F2E"/>
    <w:rsid w:val="4E186966"/>
    <w:rsid w:val="4E1C6E78"/>
    <w:rsid w:val="4E261B2B"/>
    <w:rsid w:val="4E3221F7"/>
    <w:rsid w:val="4E361CE8"/>
    <w:rsid w:val="4E3A10AC"/>
    <w:rsid w:val="4E3E0B9C"/>
    <w:rsid w:val="4E3E0D43"/>
    <w:rsid w:val="4E516B22"/>
    <w:rsid w:val="4E52289A"/>
    <w:rsid w:val="4E5263F6"/>
    <w:rsid w:val="4E5C4D9A"/>
    <w:rsid w:val="4E6600F3"/>
    <w:rsid w:val="4E6951D8"/>
    <w:rsid w:val="4E6D3230"/>
    <w:rsid w:val="4E78439B"/>
    <w:rsid w:val="4E796078"/>
    <w:rsid w:val="4E7B594C"/>
    <w:rsid w:val="4E8567CB"/>
    <w:rsid w:val="4E892302"/>
    <w:rsid w:val="4E8A3DE2"/>
    <w:rsid w:val="4E8C5DAC"/>
    <w:rsid w:val="4E992277"/>
    <w:rsid w:val="4EA2737D"/>
    <w:rsid w:val="4EA47A73"/>
    <w:rsid w:val="4EAA7FE0"/>
    <w:rsid w:val="4EB470B0"/>
    <w:rsid w:val="4EB92C0F"/>
    <w:rsid w:val="4EB95335"/>
    <w:rsid w:val="4EBB21ED"/>
    <w:rsid w:val="4EC8490A"/>
    <w:rsid w:val="4ED11A10"/>
    <w:rsid w:val="4ED27537"/>
    <w:rsid w:val="4ED65CB0"/>
    <w:rsid w:val="4EE3108F"/>
    <w:rsid w:val="4EE3335A"/>
    <w:rsid w:val="4EE71234"/>
    <w:rsid w:val="4EE84443"/>
    <w:rsid w:val="4EEF00E8"/>
    <w:rsid w:val="4EF676C9"/>
    <w:rsid w:val="4EFB6A8D"/>
    <w:rsid w:val="4F020998"/>
    <w:rsid w:val="4F033485"/>
    <w:rsid w:val="4F0352F3"/>
    <w:rsid w:val="4F041DE6"/>
    <w:rsid w:val="4F0E16C8"/>
    <w:rsid w:val="4F135B85"/>
    <w:rsid w:val="4F18763F"/>
    <w:rsid w:val="4F275616"/>
    <w:rsid w:val="4F277882"/>
    <w:rsid w:val="4F2D30F6"/>
    <w:rsid w:val="4F361873"/>
    <w:rsid w:val="4F3A75B6"/>
    <w:rsid w:val="4F3F2683"/>
    <w:rsid w:val="4F455F5A"/>
    <w:rsid w:val="4F4A3571"/>
    <w:rsid w:val="4F5368C9"/>
    <w:rsid w:val="4F58517B"/>
    <w:rsid w:val="4F5E5D57"/>
    <w:rsid w:val="4F5F526E"/>
    <w:rsid w:val="4F602D94"/>
    <w:rsid w:val="4F664600"/>
    <w:rsid w:val="4F6B3C13"/>
    <w:rsid w:val="4F6B59C1"/>
    <w:rsid w:val="4F6C109F"/>
    <w:rsid w:val="4F716D4F"/>
    <w:rsid w:val="4F734876"/>
    <w:rsid w:val="4F786A15"/>
    <w:rsid w:val="4F792DE3"/>
    <w:rsid w:val="4F7A20A8"/>
    <w:rsid w:val="4F806F93"/>
    <w:rsid w:val="4F846A83"/>
    <w:rsid w:val="4F90367A"/>
    <w:rsid w:val="4F9567A4"/>
    <w:rsid w:val="4F98252E"/>
    <w:rsid w:val="4F993C1F"/>
    <w:rsid w:val="4F9A0054"/>
    <w:rsid w:val="4F9A241D"/>
    <w:rsid w:val="4F9F1B0F"/>
    <w:rsid w:val="4FA52839"/>
    <w:rsid w:val="4FA830FD"/>
    <w:rsid w:val="4FA831D2"/>
    <w:rsid w:val="4FA964E9"/>
    <w:rsid w:val="4FAE3B00"/>
    <w:rsid w:val="4FB6798D"/>
    <w:rsid w:val="4FB7118C"/>
    <w:rsid w:val="4FB82BD0"/>
    <w:rsid w:val="4FB8497E"/>
    <w:rsid w:val="4FBC575D"/>
    <w:rsid w:val="4FBF7ABB"/>
    <w:rsid w:val="4FC1120E"/>
    <w:rsid w:val="4FC13833"/>
    <w:rsid w:val="4FC275AB"/>
    <w:rsid w:val="4FC7696F"/>
    <w:rsid w:val="4FD35314"/>
    <w:rsid w:val="4FD77F76"/>
    <w:rsid w:val="4FDC68BF"/>
    <w:rsid w:val="4FDF1F0B"/>
    <w:rsid w:val="4FEC63D6"/>
    <w:rsid w:val="4FEE5732"/>
    <w:rsid w:val="4FEE65F2"/>
    <w:rsid w:val="4FF260E2"/>
    <w:rsid w:val="4FFC486B"/>
    <w:rsid w:val="50025BF9"/>
    <w:rsid w:val="5003209D"/>
    <w:rsid w:val="500B0F52"/>
    <w:rsid w:val="500B3F63"/>
    <w:rsid w:val="50100316"/>
    <w:rsid w:val="50165391"/>
    <w:rsid w:val="501716A5"/>
    <w:rsid w:val="501A73E7"/>
    <w:rsid w:val="50210776"/>
    <w:rsid w:val="502142D2"/>
    <w:rsid w:val="502D711A"/>
    <w:rsid w:val="503469BD"/>
    <w:rsid w:val="503844DC"/>
    <w:rsid w:val="503E6C32"/>
    <w:rsid w:val="50412BC6"/>
    <w:rsid w:val="504E0E81"/>
    <w:rsid w:val="50501A26"/>
    <w:rsid w:val="50506965"/>
    <w:rsid w:val="5055041F"/>
    <w:rsid w:val="5057648D"/>
    <w:rsid w:val="505B18D4"/>
    <w:rsid w:val="505E72D4"/>
    <w:rsid w:val="50621059"/>
    <w:rsid w:val="50630D8E"/>
    <w:rsid w:val="506D5769"/>
    <w:rsid w:val="506F328F"/>
    <w:rsid w:val="5076286F"/>
    <w:rsid w:val="5076288D"/>
    <w:rsid w:val="50827466"/>
    <w:rsid w:val="508A5DF4"/>
    <w:rsid w:val="50940F47"/>
    <w:rsid w:val="50962F12"/>
    <w:rsid w:val="50970A38"/>
    <w:rsid w:val="509B4084"/>
    <w:rsid w:val="509B4D1B"/>
    <w:rsid w:val="50A26728"/>
    <w:rsid w:val="50A32F39"/>
    <w:rsid w:val="50A54F03"/>
    <w:rsid w:val="50A70C7B"/>
    <w:rsid w:val="50A8054F"/>
    <w:rsid w:val="50A820D4"/>
    <w:rsid w:val="50AD422D"/>
    <w:rsid w:val="50AD4A4F"/>
    <w:rsid w:val="50B11AF9"/>
    <w:rsid w:val="50B9275C"/>
    <w:rsid w:val="50B96C00"/>
    <w:rsid w:val="50BB2978"/>
    <w:rsid w:val="50BB64D4"/>
    <w:rsid w:val="50BE7D72"/>
    <w:rsid w:val="50C35389"/>
    <w:rsid w:val="50C555A5"/>
    <w:rsid w:val="50C8299F"/>
    <w:rsid w:val="50CA2BBB"/>
    <w:rsid w:val="50D37CC2"/>
    <w:rsid w:val="50D41344"/>
    <w:rsid w:val="50D57015"/>
    <w:rsid w:val="50DB599F"/>
    <w:rsid w:val="50E84DEF"/>
    <w:rsid w:val="50EC0D83"/>
    <w:rsid w:val="50F1639A"/>
    <w:rsid w:val="50F56EA0"/>
    <w:rsid w:val="50F639B0"/>
    <w:rsid w:val="50F6750C"/>
    <w:rsid w:val="50FB2D75"/>
    <w:rsid w:val="51002139"/>
    <w:rsid w:val="5107796B"/>
    <w:rsid w:val="5108607B"/>
    <w:rsid w:val="511107EA"/>
    <w:rsid w:val="51171918"/>
    <w:rsid w:val="511B41EA"/>
    <w:rsid w:val="512C73D2"/>
    <w:rsid w:val="512C7ED2"/>
    <w:rsid w:val="512F2A1E"/>
    <w:rsid w:val="51361FFF"/>
    <w:rsid w:val="51402E7D"/>
    <w:rsid w:val="51450494"/>
    <w:rsid w:val="5148134E"/>
    <w:rsid w:val="514E559A"/>
    <w:rsid w:val="51510BE7"/>
    <w:rsid w:val="515B3813"/>
    <w:rsid w:val="51600E2A"/>
    <w:rsid w:val="5164091A"/>
    <w:rsid w:val="51677F27"/>
    <w:rsid w:val="516D0A56"/>
    <w:rsid w:val="51703763"/>
    <w:rsid w:val="518F170F"/>
    <w:rsid w:val="51907961"/>
    <w:rsid w:val="5191714E"/>
    <w:rsid w:val="51917235"/>
    <w:rsid w:val="51A056CA"/>
    <w:rsid w:val="51A451BA"/>
    <w:rsid w:val="51A46F68"/>
    <w:rsid w:val="51AB479B"/>
    <w:rsid w:val="51B80BAA"/>
    <w:rsid w:val="51B86EB8"/>
    <w:rsid w:val="51BF28E4"/>
    <w:rsid w:val="51C1288B"/>
    <w:rsid w:val="51CE0489"/>
    <w:rsid w:val="51DC2283"/>
    <w:rsid w:val="51E11F6A"/>
    <w:rsid w:val="51E657D3"/>
    <w:rsid w:val="51EA1F0C"/>
    <w:rsid w:val="51FB798D"/>
    <w:rsid w:val="51FC4FF6"/>
    <w:rsid w:val="51FF0643"/>
    <w:rsid w:val="52081BED"/>
    <w:rsid w:val="520B348B"/>
    <w:rsid w:val="521560B8"/>
    <w:rsid w:val="52181704"/>
    <w:rsid w:val="522400A9"/>
    <w:rsid w:val="522B58DB"/>
    <w:rsid w:val="522E0F28"/>
    <w:rsid w:val="523F3135"/>
    <w:rsid w:val="523F4EE3"/>
    <w:rsid w:val="52471944"/>
    <w:rsid w:val="52477F24"/>
    <w:rsid w:val="52495D62"/>
    <w:rsid w:val="524B7D2C"/>
    <w:rsid w:val="524F15CA"/>
    <w:rsid w:val="52501DAB"/>
    <w:rsid w:val="52636E23"/>
    <w:rsid w:val="52651081"/>
    <w:rsid w:val="526679D0"/>
    <w:rsid w:val="5268443A"/>
    <w:rsid w:val="526B23B2"/>
    <w:rsid w:val="52701540"/>
    <w:rsid w:val="52730B44"/>
    <w:rsid w:val="52733A71"/>
    <w:rsid w:val="5277467D"/>
    <w:rsid w:val="52846D9A"/>
    <w:rsid w:val="52850DC6"/>
    <w:rsid w:val="52972F71"/>
    <w:rsid w:val="529C0587"/>
    <w:rsid w:val="529F5982"/>
    <w:rsid w:val="52A15B9E"/>
    <w:rsid w:val="52A33A2B"/>
    <w:rsid w:val="52AE4870"/>
    <w:rsid w:val="52B70F1D"/>
    <w:rsid w:val="52BD5936"/>
    <w:rsid w:val="52C378C2"/>
    <w:rsid w:val="52C61160"/>
    <w:rsid w:val="52C8137C"/>
    <w:rsid w:val="52C86D86"/>
    <w:rsid w:val="52CA05EC"/>
    <w:rsid w:val="52CB49C9"/>
    <w:rsid w:val="52D27B05"/>
    <w:rsid w:val="52E141EC"/>
    <w:rsid w:val="52E53CDC"/>
    <w:rsid w:val="52E55A8A"/>
    <w:rsid w:val="52E73435"/>
    <w:rsid w:val="52EB0BC7"/>
    <w:rsid w:val="52EC6E19"/>
    <w:rsid w:val="52EF6909"/>
    <w:rsid w:val="53000B16"/>
    <w:rsid w:val="5311062D"/>
    <w:rsid w:val="531C2A96"/>
    <w:rsid w:val="531E2D4A"/>
    <w:rsid w:val="531F200F"/>
    <w:rsid w:val="53332C9A"/>
    <w:rsid w:val="53364538"/>
    <w:rsid w:val="533802B0"/>
    <w:rsid w:val="5342371F"/>
    <w:rsid w:val="5349426B"/>
    <w:rsid w:val="534B1B2D"/>
    <w:rsid w:val="53570DD0"/>
    <w:rsid w:val="535C7948"/>
    <w:rsid w:val="535E75EB"/>
    <w:rsid w:val="53672943"/>
    <w:rsid w:val="536C61AC"/>
    <w:rsid w:val="537979E1"/>
    <w:rsid w:val="537B63EF"/>
    <w:rsid w:val="537D2167"/>
    <w:rsid w:val="537D3F15"/>
    <w:rsid w:val="53861A20"/>
    <w:rsid w:val="538B4884"/>
    <w:rsid w:val="539D0113"/>
    <w:rsid w:val="539D6F14"/>
    <w:rsid w:val="53A616BE"/>
    <w:rsid w:val="53AD7D9F"/>
    <w:rsid w:val="53B33F6B"/>
    <w:rsid w:val="53B536AF"/>
    <w:rsid w:val="53BD18F1"/>
    <w:rsid w:val="53C73DC0"/>
    <w:rsid w:val="53CB1124"/>
    <w:rsid w:val="53CB2ED2"/>
    <w:rsid w:val="53D0673A"/>
    <w:rsid w:val="53D36321"/>
    <w:rsid w:val="53D4408D"/>
    <w:rsid w:val="53D8114B"/>
    <w:rsid w:val="53E04DBD"/>
    <w:rsid w:val="53E126F6"/>
    <w:rsid w:val="53EC33B3"/>
    <w:rsid w:val="53EF674A"/>
    <w:rsid w:val="53F57F4F"/>
    <w:rsid w:val="53F669EB"/>
    <w:rsid w:val="53FA754C"/>
    <w:rsid w:val="53FE2BF7"/>
    <w:rsid w:val="54041F40"/>
    <w:rsid w:val="540B0A8E"/>
    <w:rsid w:val="540B6285"/>
    <w:rsid w:val="54181E8F"/>
    <w:rsid w:val="541859EC"/>
    <w:rsid w:val="5420228D"/>
    <w:rsid w:val="54215965"/>
    <w:rsid w:val="54216F96"/>
    <w:rsid w:val="54322F51"/>
    <w:rsid w:val="543547EF"/>
    <w:rsid w:val="543D1818"/>
    <w:rsid w:val="543F11CA"/>
    <w:rsid w:val="54414F42"/>
    <w:rsid w:val="54475B4B"/>
    <w:rsid w:val="544B3EE9"/>
    <w:rsid w:val="54501629"/>
    <w:rsid w:val="54556C40"/>
    <w:rsid w:val="545D78A2"/>
    <w:rsid w:val="546538BA"/>
    <w:rsid w:val="5468108F"/>
    <w:rsid w:val="547277F2"/>
    <w:rsid w:val="547370C6"/>
    <w:rsid w:val="54756AF5"/>
    <w:rsid w:val="547E6196"/>
    <w:rsid w:val="5483555B"/>
    <w:rsid w:val="548968E9"/>
    <w:rsid w:val="548A4B3B"/>
    <w:rsid w:val="549A28A4"/>
    <w:rsid w:val="549A6186"/>
    <w:rsid w:val="549E4143"/>
    <w:rsid w:val="549E6353"/>
    <w:rsid w:val="549F69EF"/>
    <w:rsid w:val="54B30B40"/>
    <w:rsid w:val="54B33197"/>
    <w:rsid w:val="54B4698A"/>
    <w:rsid w:val="54BB4F7A"/>
    <w:rsid w:val="54BC6CBF"/>
    <w:rsid w:val="54D1276A"/>
    <w:rsid w:val="54D45DB6"/>
    <w:rsid w:val="54D51413"/>
    <w:rsid w:val="54E0475B"/>
    <w:rsid w:val="54E56216"/>
    <w:rsid w:val="54EA382C"/>
    <w:rsid w:val="54EA6C0E"/>
    <w:rsid w:val="54EB1352"/>
    <w:rsid w:val="54FE72D7"/>
    <w:rsid w:val="5503044A"/>
    <w:rsid w:val="550D3076"/>
    <w:rsid w:val="55180399"/>
    <w:rsid w:val="551E5284"/>
    <w:rsid w:val="55201C9C"/>
    <w:rsid w:val="5520724E"/>
    <w:rsid w:val="552B0501"/>
    <w:rsid w:val="552F123F"/>
    <w:rsid w:val="552F56E3"/>
    <w:rsid w:val="553E76D4"/>
    <w:rsid w:val="554051FA"/>
    <w:rsid w:val="5549554B"/>
    <w:rsid w:val="554D1A31"/>
    <w:rsid w:val="554F7B33"/>
    <w:rsid w:val="55546EF7"/>
    <w:rsid w:val="555F0C24"/>
    <w:rsid w:val="5563538C"/>
    <w:rsid w:val="55652EB2"/>
    <w:rsid w:val="556F5ADF"/>
    <w:rsid w:val="557355CF"/>
    <w:rsid w:val="55782BA3"/>
    <w:rsid w:val="55807CEC"/>
    <w:rsid w:val="558A2919"/>
    <w:rsid w:val="558F7F2F"/>
    <w:rsid w:val="55911EF9"/>
    <w:rsid w:val="5592206E"/>
    <w:rsid w:val="55992B5C"/>
    <w:rsid w:val="559D089E"/>
    <w:rsid w:val="559E632D"/>
    <w:rsid w:val="55A27C63"/>
    <w:rsid w:val="55A35789"/>
    <w:rsid w:val="55AC0AE1"/>
    <w:rsid w:val="55B33C1E"/>
    <w:rsid w:val="55BA31FE"/>
    <w:rsid w:val="55BD4A9D"/>
    <w:rsid w:val="55C23E61"/>
    <w:rsid w:val="55C776C9"/>
    <w:rsid w:val="55DB2EFA"/>
    <w:rsid w:val="55DD6540"/>
    <w:rsid w:val="55E53FF3"/>
    <w:rsid w:val="55EB160A"/>
    <w:rsid w:val="55EB238D"/>
    <w:rsid w:val="55F34962"/>
    <w:rsid w:val="55F87E98"/>
    <w:rsid w:val="55FD758F"/>
    <w:rsid w:val="56097CE2"/>
    <w:rsid w:val="560A5808"/>
    <w:rsid w:val="560B1CAC"/>
    <w:rsid w:val="560F068E"/>
    <w:rsid w:val="561346BC"/>
    <w:rsid w:val="561548D9"/>
    <w:rsid w:val="561A3C9D"/>
    <w:rsid w:val="56200B13"/>
    <w:rsid w:val="56226FF5"/>
    <w:rsid w:val="562B4FD7"/>
    <w:rsid w:val="562C277F"/>
    <w:rsid w:val="562E4C15"/>
    <w:rsid w:val="56382375"/>
    <w:rsid w:val="56384123"/>
    <w:rsid w:val="563F1955"/>
    <w:rsid w:val="563F5053"/>
    <w:rsid w:val="564E1B99"/>
    <w:rsid w:val="56521689"/>
    <w:rsid w:val="56535401"/>
    <w:rsid w:val="5655106E"/>
    <w:rsid w:val="565C6063"/>
    <w:rsid w:val="565F5B54"/>
    <w:rsid w:val="566B62A7"/>
    <w:rsid w:val="566C201F"/>
    <w:rsid w:val="56725887"/>
    <w:rsid w:val="56772E01"/>
    <w:rsid w:val="567E247E"/>
    <w:rsid w:val="56861332"/>
    <w:rsid w:val="5689497F"/>
    <w:rsid w:val="569752EE"/>
    <w:rsid w:val="569D24F0"/>
    <w:rsid w:val="569F23F4"/>
    <w:rsid w:val="569F41A2"/>
    <w:rsid w:val="56A874FB"/>
    <w:rsid w:val="56AA5F28"/>
    <w:rsid w:val="56AD12F0"/>
    <w:rsid w:val="56B506F1"/>
    <w:rsid w:val="56B7303F"/>
    <w:rsid w:val="56B934B6"/>
    <w:rsid w:val="56BA722E"/>
    <w:rsid w:val="56D02B61"/>
    <w:rsid w:val="56D627B6"/>
    <w:rsid w:val="56D71B8E"/>
    <w:rsid w:val="56DF6C95"/>
    <w:rsid w:val="56F00EA2"/>
    <w:rsid w:val="56F3750C"/>
    <w:rsid w:val="56F40992"/>
    <w:rsid w:val="56F44F15"/>
    <w:rsid w:val="57081D47"/>
    <w:rsid w:val="571406EC"/>
    <w:rsid w:val="57305C46"/>
    <w:rsid w:val="573174F0"/>
    <w:rsid w:val="573214BA"/>
    <w:rsid w:val="57392849"/>
    <w:rsid w:val="57454D4A"/>
    <w:rsid w:val="574A2360"/>
    <w:rsid w:val="57547004"/>
    <w:rsid w:val="575B27BF"/>
    <w:rsid w:val="575C2093"/>
    <w:rsid w:val="57601B83"/>
    <w:rsid w:val="57631EDC"/>
    <w:rsid w:val="5765363E"/>
    <w:rsid w:val="57671164"/>
    <w:rsid w:val="576F0018"/>
    <w:rsid w:val="576F626A"/>
    <w:rsid w:val="5774562F"/>
    <w:rsid w:val="57776ECD"/>
    <w:rsid w:val="57833AC4"/>
    <w:rsid w:val="578A30A4"/>
    <w:rsid w:val="578D049F"/>
    <w:rsid w:val="57917F8F"/>
    <w:rsid w:val="579857A6"/>
    <w:rsid w:val="57A36349"/>
    <w:rsid w:val="57A51C8C"/>
    <w:rsid w:val="57AC4DC9"/>
    <w:rsid w:val="57B44CCE"/>
    <w:rsid w:val="57C245EC"/>
    <w:rsid w:val="57C675ED"/>
    <w:rsid w:val="57C71C02"/>
    <w:rsid w:val="57DA4E42"/>
    <w:rsid w:val="57E24C8E"/>
    <w:rsid w:val="57E74DAE"/>
    <w:rsid w:val="57E8186C"/>
    <w:rsid w:val="57EC3417"/>
    <w:rsid w:val="57F76E7D"/>
    <w:rsid w:val="580249E9"/>
    <w:rsid w:val="580544D9"/>
    <w:rsid w:val="580C5867"/>
    <w:rsid w:val="5814471C"/>
    <w:rsid w:val="58187D01"/>
    <w:rsid w:val="581D1822"/>
    <w:rsid w:val="582D2B73"/>
    <w:rsid w:val="583F52BD"/>
    <w:rsid w:val="584315C4"/>
    <w:rsid w:val="5846521D"/>
    <w:rsid w:val="584F2D6B"/>
    <w:rsid w:val="58501BF8"/>
    <w:rsid w:val="58515970"/>
    <w:rsid w:val="58692CBA"/>
    <w:rsid w:val="586E207E"/>
    <w:rsid w:val="586E3461"/>
    <w:rsid w:val="586E7274"/>
    <w:rsid w:val="5870229A"/>
    <w:rsid w:val="58711B6E"/>
    <w:rsid w:val="58801DB1"/>
    <w:rsid w:val="58957990"/>
    <w:rsid w:val="589917F1"/>
    <w:rsid w:val="589D0BB5"/>
    <w:rsid w:val="58BC103B"/>
    <w:rsid w:val="58BF6D7E"/>
    <w:rsid w:val="58C12EE1"/>
    <w:rsid w:val="58DE5456"/>
    <w:rsid w:val="58E16365"/>
    <w:rsid w:val="58F76517"/>
    <w:rsid w:val="59060509"/>
    <w:rsid w:val="5906675A"/>
    <w:rsid w:val="590F1B78"/>
    <w:rsid w:val="59162E41"/>
    <w:rsid w:val="591744C4"/>
    <w:rsid w:val="5923730C"/>
    <w:rsid w:val="59246BE1"/>
    <w:rsid w:val="592D018B"/>
    <w:rsid w:val="592F7A5F"/>
    <w:rsid w:val="593307DD"/>
    <w:rsid w:val="594204CF"/>
    <w:rsid w:val="594A2AEB"/>
    <w:rsid w:val="59513E7A"/>
    <w:rsid w:val="5952374E"/>
    <w:rsid w:val="59544BDF"/>
    <w:rsid w:val="59745DBA"/>
    <w:rsid w:val="597A0260"/>
    <w:rsid w:val="597B2CA5"/>
    <w:rsid w:val="59854011"/>
    <w:rsid w:val="5988716F"/>
    <w:rsid w:val="598A738C"/>
    <w:rsid w:val="599223FD"/>
    <w:rsid w:val="59941601"/>
    <w:rsid w:val="59965D30"/>
    <w:rsid w:val="59973856"/>
    <w:rsid w:val="59A117BD"/>
    <w:rsid w:val="59B03041"/>
    <w:rsid w:val="59BA45FA"/>
    <w:rsid w:val="59C33F06"/>
    <w:rsid w:val="59C962AE"/>
    <w:rsid w:val="59D2488F"/>
    <w:rsid w:val="59D625D1"/>
    <w:rsid w:val="59DD74BB"/>
    <w:rsid w:val="59DE3233"/>
    <w:rsid w:val="59E00D5A"/>
    <w:rsid w:val="59E36A9C"/>
    <w:rsid w:val="59FB5B93"/>
    <w:rsid w:val="59FE5684"/>
    <w:rsid w:val="5A040EEC"/>
    <w:rsid w:val="5A0A04CC"/>
    <w:rsid w:val="5A126AC9"/>
    <w:rsid w:val="5A1D5B0A"/>
    <w:rsid w:val="5A20479B"/>
    <w:rsid w:val="5A221372"/>
    <w:rsid w:val="5A405C9C"/>
    <w:rsid w:val="5A47527D"/>
    <w:rsid w:val="5A4E2167"/>
    <w:rsid w:val="5A566980"/>
    <w:rsid w:val="5A594B8D"/>
    <w:rsid w:val="5A661E4F"/>
    <w:rsid w:val="5A6C2FE9"/>
    <w:rsid w:val="5A7122F9"/>
    <w:rsid w:val="5A731BCE"/>
    <w:rsid w:val="5A767910"/>
    <w:rsid w:val="5A7B0A82"/>
    <w:rsid w:val="5A7C4F26"/>
    <w:rsid w:val="5A8111AE"/>
    <w:rsid w:val="5A815048"/>
    <w:rsid w:val="5A84202D"/>
    <w:rsid w:val="5A871B1D"/>
    <w:rsid w:val="5A8C0EE1"/>
    <w:rsid w:val="5A8E36CC"/>
    <w:rsid w:val="5A98196C"/>
    <w:rsid w:val="5A993C86"/>
    <w:rsid w:val="5AAC3332"/>
    <w:rsid w:val="5AB81CD6"/>
    <w:rsid w:val="5ABF4E13"/>
    <w:rsid w:val="5AC16DDD"/>
    <w:rsid w:val="5AC3781F"/>
    <w:rsid w:val="5AC93EE4"/>
    <w:rsid w:val="5ACC7530"/>
    <w:rsid w:val="5AD71A00"/>
    <w:rsid w:val="5AD82E87"/>
    <w:rsid w:val="5AE64A95"/>
    <w:rsid w:val="5B0720EF"/>
    <w:rsid w:val="5B101B12"/>
    <w:rsid w:val="5B13515F"/>
    <w:rsid w:val="5B1A64ED"/>
    <w:rsid w:val="5B21162A"/>
    <w:rsid w:val="5B2335F4"/>
    <w:rsid w:val="5B242EC8"/>
    <w:rsid w:val="5B280C0A"/>
    <w:rsid w:val="5B305D11"/>
    <w:rsid w:val="5B307ABF"/>
    <w:rsid w:val="5B351579"/>
    <w:rsid w:val="5B3976A5"/>
    <w:rsid w:val="5B3E6680"/>
    <w:rsid w:val="5B413A7A"/>
    <w:rsid w:val="5B4325A2"/>
    <w:rsid w:val="5B435A44"/>
    <w:rsid w:val="5B4672E2"/>
    <w:rsid w:val="5B4E481E"/>
    <w:rsid w:val="5B527A35"/>
    <w:rsid w:val="5B601CC1"/>
    <w:rsid w:val="5B6360E6"/>
    <w:rsid w:val="5B636542"/>
    <w:rsid w:val="5B636E11"/>
    <w:rsid w:val="5B7A6F8C"/>
    <w:rsid w:val="5B7B51DE"/>
    <w:rsid w:val="5B813346"/>
    <w:rsid w:val="5B871DD5"/>
    <w:rsid w:val="5B8C73EB"/>
    <w:rsid w:val="5BA11CDC"/>
    <w:rsid w:val="5BA46CE2"/>
    <w:rsid w:val="5BBA55DA"/>
    <w:rsid w:val="5BBC5C29"/>
    <w:rsid w:val="5BC64B0E"/>
    <w:rsid w:val="5BCE7981"/>
    <w:rsid w:val="5BD112A2"/>
    <w:rsid w:val="5BD41136"/>
    <w:rsid w:val="5BD424E2"/>
    <w:rsid w:val="5BD54692"/>
    <w:rsid w:val="5BD92F2A"/>
    <w:rsid w:val="5BE2525D"/>
    <w:rsid w:val="5BE32D83"/>
    <w:rsid w:val="5BE92A98"/>
    <w:rsid w:val="5BEA4FCD"/>
    <w:rsid w:val="5BEC1C38"/>
    <w:rsid w:val="5BF131C0"/>
    <w:rsid w:val="5BF46D3E"/>
    <w:rsid w:val="5BF84A80"/>
    <w:rsid w:val="5BF907F8"/>
    <w:rsid w:val="5BFA4B6A"/>
    <w:rsid w:val="5C003935"/>
    <w:rsid w:val="5C043425"/>
    <w:rsid w:val="5C0763B0"/>
    <w:rsid w:val="5C0F5926"/>
    <w:rsid w:val="5C115B42"/>
    <w:rsid w:val="5C1178F0"/>
    <w:rsid w:val="5C124BEB"/>
    <w:rsid w:val="5C182A2D"/>
    <w:rsid w:val="5C1B251D"/>
    <w:rsid w:val="5C1D05D0"/>
    <w:rsid w:val="5C1F498A"/>
    <w:rsid w:val="5C205D85"/>
    <w:rsid w:val="5C25339C"/>
    <w:rsid w:val="5C274784"/>
    <w:rsid w:val="5C292E8C"/>
    <w:rsid w:val="5C390BF5"/>
    <w:rsid w:val="5C3E7FB9"/>
    <w:rsid w:val="5C3F26AF"/>
    <w:rsid w:val="5C4708E2"/>
    <w:rsid w:val="5C4B3416"/>
    <w:rsid w:val="5C4D0F4D"/>
    <w:rsid w:val="5C4F21C6"/>
    <w:rsid w:val="5C504241"/>
    <w:rsid w:val="5C533A65"/>
    <w:rsid w:val="5C550CA5"/>
    <w:rsid w:val="5C5A1297"/>
    <w:rsid w:val="5C5B298D"/>
    <w:rsid w:val="5C6550CC"/>
    <w:rsid w:val="5C7731D7"/>
    <w:rsid w:val="5C7834CB"/>
    <w:rsid w:val="5C796129"/>
    <w:rsid w:val="5C7A3C12"/>
    <w:rsid w:val="5C826B51"/>
    <w:rsid w:val="5C8C6F77"/>
    <w:rsid w:val="5C983B6D"/>
    <w:rsid w:val="5C993DFF"/>
    <w:rsid w:val="5C9F314E"/>
    <w:rsid w:val="5CA47E6E"/>
    <w:rsid w:val="5CA50038"/>
    <w:rsid w:val="5CA61CCA"/>
    <w:rsid w:val="5CA61FE4"/>
    <w:rsid w:val="5CAB1AF3"/>
    <w:rsid w:val="5CAC7619"/>
    <w:rsid w:val="5CB84210"/>
    <w:rsid w:val="5CC6692D"/>
    <w:rsid w:val="5CC67A06"/>
    <w:rsid w:val="5CD526CC"/>
    <w:rsid w:val="5CD718AB"/>
    <w:rsid w:val="5CDA23D8"/>
    <w:rsid w:val="5CE609DA"/>
    <w:rsid w:val="5CEB1EEF"/>
    <w:rsid w:val="5CEE5E83"/>
    <w:rsid w:val="5CF36FF6"/>
    <w:rsid w:val="5CF76AE6"/>
    <w:rsid w:val="5CF84A82"/>
    <w:rsid w:val="5D017965"/>
    <w:rsid w:val="5D064F7B"/>
    <w:rsid w:val="5D094A6B"/>
    <w:rsid w:val="5D131446"/>
    <w:rsid w:val="5D1551BE"/>
    <w:rsid w:val="5D213E13"/>
    <w:rsid w:val="5D292A17"/>
    <w:rsid w:val="5D2C3FDA"/>
    <w:rsid w:val="5D301FF8"/>
    <w:rsid w:val="5D333896"/>
    <w:rsid w:val="5D3D7B55"/>
    <w:rsid w:val="5D3F64F7"/>
    <w:rsid w:val="5D4D4B67"/>
    <w:rsid w:val="5D5C68C4"/>
    <w:rsid w:val="5D5F2D6E"/>
    <w:rsid w:val="5D680DAC"/>
    <w:rsid w:val="5D692B4A"/>
    <w:rsid w:val="5D753EAF"/>
    <w:rsid w:val="5D760DFE"/>
    <w:rsid w:val="5D8133DA"/>
    <w:rsid w:val="5D867E6A"/>
    <w:rsid w:val="5D8A5BAC"/>
    <w:rsid w:val="5D9545A0"/>
    <w:rsid w:val="5D972077"/>
    <w:rsid w:val="5D995DEF"/>
    <w:rsid w:val="5D9F2CDA"/>
    <w:rsid w:val="5DA87DE0"/>
    <w:rsid w:val="5DAB1143"/>
    <w:rsid w:val="5DB17D02"/>
    <w:rsid w:val="5DC0337C"/>
    <w:rsid w:val="5DC56BE4"/>
    <w:rsid w:val="5DCA7D57"/>
    <w:rsid w:val="5DCC7F73"/>
    <w:rsid w:val="5DCF2503"/>
    <w:rsid w:val="5DD619A0"/>
    <w:rsid w:val="5DD97B2E"/>
    <w:rsid w:val="5DE0757A"/>
    <w:rsid w:val="5DE33377"/>
    <w:rsid w:val="5DF179D9"/>
    <w:rsid w:val="5DF50B4C"/>
    <w:rsid w:val="5E082F75"/>
    <w:rsid w:val="5E110C5E"/>
    <w:rsid w:val="5E121A48"/>
    <w:rsid w:val="5E183CFF"/>
    <w:rsid w:val="5E1E394A"/>
    <w:rsid w:val="5E2B7EEF"/>
    <w:rsid w:val="5E2C0A11"/>
    <w:rsid w:val="5E337FF2"/>
    <w:rsid w:val="5E3B6EA6"/>
    <w:rsid w:val="5E40626B"/>
    <w:rsid w:val="5E416216"/>
    <w:rsid w:val="5E4A70E9"/>
    <w:rsid w:val="5E4A7851"/>
    <w:rsid w:val="5E4C10B3"/>
    <w:rsid w:val="5E4D6861"/>
    <w:rsid w:val="5E525F9E"/>
    <w:rsid w:val="5E52616B"/>
    <w:rsid w:val="5E532442"/>
    <w:rsid w:val="5E5B12F6"/>
    <w:rsid w:val="5E5C29D8"/>
    <w:rsid w:val="5E6261E1"/>
    <w:rsid w:val="5E631F59"/>
    <w:rsid w:val="5E67417C"/>
    <w:rsid w:val="5E6C3504"/>
    <w:rsid w:val="5E8048B9"/>
    <w:rsid w:val="5E897C12"/>
    <w:rsid w:val="5E912F6A"/>
    <w:rsid w:val="5E914D18"/>
    <w:rsid w:val="5E9345EC"/>
    <w:rsid w:val="5E961741"/>
    <w:rsid w:val="5E993BCD"/>
    <w:rsid w:val="5E99597B"/>
    <w:rsid w:val="5EA05BE0"/>
    <w:rsid w:val="5EAE7678"/>
    <w:rsid w:val="5EAF0F3F"/>
    <w:rsid w:val="5EB63CF0"/>
    <w:rsid w:val="5EBA601D"/>
    <w:rsid w:val="5ED30E8D"/>
    <w:rsid w:val="5EDA04C2"/>
    <w:rsid w:val="5EE673AD"/>
    <w:rsid w:val="5EE94B54"/>
    <w:rsid w:val="5EE96902"/>
    <w:rsid w:val="5EEE216B"/>
    <w:rsid w:val="5EF05EE3"/>
    <w:rsid w:val="5EFC4888"/>
    <w:rsid w:val="5F0C25F1"/>
    <w:rsid w:val="5F180F96"/>
    <w:rsid w:val="5F182D44"/>
    <w:rsid w:val="5F1A6ABC"/>
    <w:rsid w:val="5F1C2834"/>
    <w:rsid w:val="5F1E133D"/>
    <w:rsid w:val="5F223BC2"/>
    <w:rsid w:val="5F2F716C"/>
    <w:rsid w:val="5F304531"/>
    <w:rsid w:val="5F3A715E"/>
    <w:rsid w:val="5F443B39"/>
    <w:rsid w:val="5F4955F3"/>
    <w:rsid w:val="5F5244A8"/>
    <w:rsid w:val="5F553F98"/>
    <w:rsid w:val="5F597925"/>
    <w:rsid w:val="5F5E109E"/>
    <w:rsid w:val="5F5F0972"/>
    <w:rsid w:val="5F6146EB"/>
    <w:rsid w:val="5F6441ED"/>
    <w:rsid w:val="5F6661A5"/>
    <w:rsid w:val="5F6A6AC8"/>
    <w:rsid w:val="5F6E0BB6"/>
    <w:rsid w:val="5F6F6A29"/>
    <w:rsid w:val="5F731F95"/>
    <w:rsid w:val="5F751F44"/>
    <w:rsid w:val="5F772160"/>
    <w:rsid w:val="5F773F0E"/>
    <w:rsid w:val="5F7A1C50"/>
    <w:rsid w:val="5F7A57AC"/>
    <w:rsid w:val="5F8403D9"/>
    <w:rsid w:val="5F84250C"/>
    <w:rsid w:val="5F866EC2"/>
    <w:rsid w:val="5F867CB5"/>
    <w:rsid w:val="5F8D4FB7"/>
    <w:rsid w:val="5F8F3BF3"/>
    <w:rsid w:val="5F8F74AA"/>
    <w:rsid w:val="5F903222"/>
    <w:rsid w:val="5F960108"/>
    <w:rsid w:val="5F994C9B"/>
    <w:rsid w:val="5F9A5E4E"/>
    <w:rsid w:val="5F9E1348"/>
    <w:rsid w:val="5FA12D39"/>
    <w:rsid w:val="5FA34D03"/>
    <w:rsid w:val="5FA742C9"/>
    <w:rsid w:val="5FAA42E4"/>
    <w:rsid w:val="5FAE77AB"/>
    <w:rsid w:val="5FB521ED"/>
    <w:rsid w:val="5FBF6E35"/>
    <w:rsid w:val="5FC058B5"/>
    <w:rsid w:val="5FC133DB"/>
    <w:rsid w:val="5FC353A5"/>
    <w:rsid w:val="5FC41398"/>
    <w:rsid w:val="5FC8476A"/>
    <w:rsid w:val="5FD0361E"/>
    <w:rsid w:val="5FD44EBD"/>
    <w:rsid w:val="5FD90725"/>
    <w:rsid w:val="5FE311ED"/>
    <w:rsid w:val="5FE42E7C"/>
    <w:rsid w:val="5FF437B1"/>
    <w:rsid w:val="5FF87C5D"/>
    <w:rsid w:val="5FFC2665"/>
    <w:rsid w:val="600225BA"/>
    <w:rsid w:val="600315B6"/>
    <w:rsid w:val="600E3B45"/>
    <w:rsid w:val="60135CBB"/>
    <w:rsid w:val="601954DE"/>
    <w:rsid w:val="601B2AEB"/>
    <w:rsid w:val="60234096"/>
    <w:rsid w:val="60255718"/>
    <w:rsid w:val="60273055"/>
    <w:rsid w:val="6028345A"/>
    <w:rsid w:val="603242D9"/>
    <w:rsid w:val="60363DC9"/>
    <w:rsid w:val="604638E0"/>
    <w:rsid w:val="604858AA"/>
    <w:rsid w:val="604F0DD1"/>
    <w:rsid w:val="60502D88"/>
    <w:rsid w:val="60522285"/>
    <w:rsid w:val="605C5A30"/>
    <w:rsid w:val="60600E46"/>
    <w:rsid w:val="60787F3E"/>
    <w:rsid w:val="60795A64"/>
    <w:rsid w:val="60883EF9"/>
    <w:rsid w:val="609917DB"/>
    <w:rsid w:val="60996FA9"/>
    <w:rsid w:val="609A718E"/>
    <w:rsid w:val="609B00D0"/>
    <w:rsid w:val="60A26D69"/>
    <w:rsid w:val="60B149D0"/>
    <w:rsid w:val="60B70030"/>
    <w:rsid w:val="60C63929"/>
    <w:rsid w:val="60CC64DC"/>
    <w:rsid w:val="60CE52FF"/>
    <w:rsid w:val="60D1764E"/>
    <w:rsid w:val="60D333C6"/>
    <w:rsid w:val="60D443A1"/>
    <w:rsid w:val="60D94755"/>
    <w:rsid w:val="60DC2CC3"/>
    <w:rsid w:val="60E750C3"/>
    <w:rsid w:val="60EE1FAE"/>
    <w:rsid w:val="60F17CF0"/>
    <w:rsid w:val="60FB0B6F"/>
    <w:rsid w:val="610A2B60"/>
    <w:rsid w:val="611A7247"/>
    <w:rsid w:val="611D0AE5"/>
    <w:rsid w:val="612159BC"/>
    <w:rsid w:val="612C2AD6"/>
    <w:rsid w:val="612F1AD1"/>
    <w:rsid w:val="6131633F"/>
    <w:rsid w:val="61371BA7"/>
    <w:rsid w:val="613720DD"/>
    <w:rsid w:val="613B24D6"/>
    <w:rsid w:val="614B5652"/>
    <w:rsid w:val="614E6EF1"/>
    <w:rsid w:val="615755BD"/>
    <w:rsid w:val="615D2A65"/>
    <w:rsid w:val="615E35D8"/>
    <w:rsid w:val="61613BEB"/>
    <w:rsid w:val="61647572"/>
    <w:rsid w:val="61693D2A"/>
    <w:rsid w:val="616B1851"/>
    <w:rsid w:val="616B35FF"/>
    <w:rsid w:val="616D0E76"/>
    <w:rsid w:val="617629CD"/>
    <w:rsid w:val="61796574"/>
    <w:rsid w:val="617D4D88"/>
    <w:rsid w:val="61880654"/>
    <w:rsid w:val="6189617B"/>
    <w:rsid w:val="61903065"/>
    <w:rsid w:val="61930DA7"/>
    <w:rsid w:val="619568CD"/>
    <w:rsid w:val="619E04DC"/>
    <w:rsid w:val="619E4563"/>
    <w:rsid w:val="61A3723C"/>
    <w:rsid w:val="61B2122D"/>
    <w:rsid w:val="61B41449"/>
    <w:rsid w:val="61B825BC"/>
    <w:rsid w:val="61C64CD9"/>
    <w:rsid w:val="61C827FF"/>
    <w:rsid w:val="61C96577"/>
    <w:rsid w:val="61E0223F"/>
    <w:rsid w:val="61E06BEB"/>
    <w:rsid w:val="61FC4B9F"/>
    <w:rsid w:val="61FC694D"/>
    <w:rsid w:val="62033520"/>
    <w:rsid w:val="621F43E9"/>
    <w:rsid w:val="62404A8B"/>
    <w:rsid w:val="62410803"/>
    <w:rsid w:val="6244292D"/>
    <w:rsid w:val="624C78D4"/>
    <w:rsid w:val="625978FB"/>
    <w:rsid w:val="625C0D21"/>
    <w:rsid w:val="625F79DD"/>
    <w:rsid w:val="62671448"/>
    <w:rsid w:val="626867DC"/>
    <w:rsid w:val="626C4459"/>
    <w:rsid w:val="626D15F8"/>
    <w:rsid w:val="62726C0F"/>
    <w:rsid w:val="62733CFD"/>
    <w:rsid w:val="62782477"/>
    <w:rsid w:val="6280757E"/>
    <w:rsid w:val="62854B94"/>
    <w:rsid w:val="62875A90"/>
    <w:rsid w:val="628D57F7"/>
    <w:rsid w:val="6291178B"/>
    <w:rsid w:val="629762BF"/>
    <w:rsid w:val="629B7F14"/>
    <w:rsid w:val="629D0130"/>
    <w:rsid w:val="62AD7C47"/>
    <w:rsid w:val="62B56ACB"/>
    <w:rsid w:val="62BD432E"/>
    <w:rsid w:val="62C0797A"/>
    <w:rsid w:val="62C30852"/>
    <w:rsid w:val="62C3746A"/>
    <w:rsid w:val="62CD07FB"/>
    <w:rsid w:val="62CF4061"/>
    <w:rsid w:val="62CF5E0F"/>
    <w:rsid w:val="62D41677"/>
    <w:rsid w:val="62DD677E"/>
    <w:rsid w:val="62E011A2"/>
    <w:rsid w:val="62E01DCA"/>
    <w:rsid w:val="62E31D83"/>
    <w:rsid w:val="62FA0C93"/>
    <w:rsid w:val="63065CD5"/>
    <w:rsid w:val="630737FB"/>
    <w:rsid w:val="630C2BBF"/>
    <w:rsid w:val="63133F4E"/>
    <w:rsid w:val="631421D2"/>
    <w:rsid w:val="6315416A"/>
    <w:rsid w:val="631A3E21"/>
    <w:rsid w:val="632C3261"/>
    <w:rsid w:val="632F73B2"/>
    <w:rsid w:val="633012F7"/>
    <w:rsid w:val="633914DA"/>
    <w:rsid w:val="63584057"/>
    <w:rsid w:val="636C0637"/>
    <w:rsid w:val="63721D0E"/>
    <w:rsid w:val="63732C3E"/>
    <w:rsid w:val="637846F9"/>
    <w:rsid w:val="637864A7"/>
    <w:rsid w:val="63844E4C"/>
    <w:rsid w:val="639E415F"/>
    <w:rsid w:val="63A64DC2"/>
    <w:rsid w:val="63AA2F5C"/>
    <w:rsid w:val="63AB062A"/>
    <w:rsid w:val="63AB4186"/>
    <w:rsid w:val="63AB687C"/>
    <w:rsid w:val="63AC7EFE"/>
    <w:rsid w:val="63B374DF"/>
    <w:rsid w:val="63C60FC0"/>
    <w:rsid w:val="63C65464"/>
    <w:rsid w:val="63C67212"/>
    <w:rsid w:val="63C96D02"/>
    <w:rsid w:val="63D77671"/>
    <w:rsid w:val="63DA0F0F"/>
    <w:rsid w:val="63DC4C88"/>
    <w:rsid w:val="63DD455C"/>
    <w:rsid w:val="63E2768C"/>
    <w:rsid w:val="63F21E60"/>
    <w:rsid w:val="63F7386F"/>
    <w:rsid w:val="63F7561D"/>
    <w:rsid w:val="63FF44D2"/>
    <w:rsid w:val="640146EE"/>
    <w:rsid w:val="640A6B8A"/>
    <w:rsid w:val="640B731B"/>
    <w:rsid w:val="640D4E41"/>
    <w:rsid w:val="6417181C"/>
    <w:rsid w:val="641C5084"/>
    <w:rsid w:val="64243F39"/>
    <w:rsid w:val="643423CE"/>
    <w:rsid w:val="643E4FFA"/>
    <w:rsid w:val="64430863"/>
    <w:rsid w:val="64441708"/>
    <w:rsid w:val="64482C5A"/>
    <w:rsid w:val="644B2E9F"/>
    <w:rsid w:val="64583BDF"/>
    <w:rsid w:val="646A4041"/>
    <w:rsid w:val="646B7DB9"/>
    <w:rsid w:val="64746C6E"/>
    <w:rsid w:val="64805613"/>
    <w:rsid w:val="648616AF"/>
    <w:rsid w:val="648A0240"/>
    <w:rsid w:val="648A46E4"/>
    <w:rsid w:val="648D5F82"/>
    <w:rsid w:val="648F1A25"/>
    <w:rsid w:val="64A5151D"/>
    <w:rsid w:val="64AC31D6"/>
    <w:rsid w:val="64AF5EF8"/>
    <w:rsid w:val="64B038BC"/>
    <w:rsid w:val="64B11C70"/>
    <w:rsid w:val="64B259E8"/>
    <w:rsid w:val="64B74DAD"/>
    <w:rsid w:val="64BD5DA3"/>
    <w:rsid w:val="64C37BF6"/>
    <w:rsid w:val="64C9520C"/>
    <w:rsid w:val="64D27AC2"/>
    <w:rsid w:val="64DE2339"/>
    <w:rsid w:val="64E42046"/>
    <w:rsid w:val="64EA5182"/>
    <w:rsid w:val="64EC297E"/>
    <w:rsid w:val="64EE4C72"/>
    <w:rsid w:val="64F102BF"/>
    <w:rsid w:val="64FE364A"/>
    <w:rsid w:val="65091C99"/>
    <w:rsid w:val="650C50F9"/>
    <w:rsid w:val="650C5E5D"/>
    <w:rsid w:val="650D2C1F"/>
    <w:rsid w:val="651641C9"/>
    <w:rsid w:val="651A5A67"/>
    <w:rsid w:val="651B358E"/>
    <w:rsid w:val="652D1B5C"/>
    <w:rsid w:val="65317DAE"/>
    <w:rsid w:val="65337EC4"/>
    <w:rsid w:val="65436640"/>
    <w:rsid w:val="654D7C2E"/>
    <w:rsid w:val="65505F7C"/>
    <w:rsid w:val="65515201"/>
    <w:rsid w:val="65526EC4"/>
    <w:rsid w:val="655A2EB6"/>
    <w:rsid w:val="655D3BA6"/>
    <w:rsid w:val="65654809"/>
    <w:rsid w:val="6569254B"/>
    <w:rsid w:val="656B0071"/>
    <w:rsid w:val="656C3DE9"/>
    <w:rsid w:val="657038D9"/>
    <w:rsid w:val="65757142"/>
    <w:rsid w:val="65765F2C"/>
    <w:rsid w:val="657E45EB"/>
    <w:rsid w:val="657F1D6E"/>
    <w:rsid w:val="658729D1"/>
    <w:rsid w:val="6591260E"/>
    <w:rsid w:val="6593581A"/>
    <w:rsid w:val="65AA59AB"/>
    <w:rsid w:val="65B37971"/>
    <w:rsid w:val="65C41297"/>
    <w:rsid w:val="65CB0B10"/>
    <w:rsid w:val="65D969F1"/>
    <w:rsid w:val="65EB2F60"/>
    <w:rsid w:val="65EB7404"/>
    <w:rsid w:val="65F1704F"/>
    <w:rsid w:val="65F468C3"/>
    <w:rsid w:val="65F53DDF"/>
    <w:rsid w:val="65FA13F5"/>
    <w:rsid w:val="6607508D"/>
    <w:rsid w:val="66081D64"/>
    <w:rsid w:val="660B1854"/>
    <w:rsid w:val="660B53B0"/>
    <w:rsid w:val="66144897"/>
    <w:rsid w:val="661623D3"/>
    <w:rsid w:val="661669E2"/>
    <w:rsid w:val="661B76D3"/>
    <w:rsid w:val="661F70AE"/>
    <w:rsid w:val="662B74D0"/>
    <w:rsid w:val="662D3578"/>
    <w:rsid w:val="66342B59"/>
    <w:rsid w:val="66380F8D"/>
    <w:rsid w:val="663E5786"/>
    <w:rsid w:val="663F14FE"/>
    <w:rsid w:val="66415147"/>
    <w:rsid w:val="664803B2"/>
    <w:rsid w:val="664D7777"/>
    <w:rsid w:val="665B6338"/>
    <w:rsid w:val="665C3E5E"/>
    <w:rsid w:val="665F56FC"/>
    <w:rsid w:val="666C0620"/>
    <w:rsid w:val="66703465"/>
    <w:rsid w:val="66756CCD"/>
    <w:rsid w:val="66763171"/>
    <w:rsid w:val="6679056C"/>
    <w:rsid w:val="667D51BE"/>
    <w:rsid w:val="667E6793"/>
    <w:rsid w:val="66860EDB"/>
    <w:rsid w:val="66967370"/>
    <w:rsid w:val="669C0748"/>
    <w:rsid w:val="66A33109"/>
    <w:rsid w:val="66A51361"/>
    <w:rsid w:val="66A55799"/>
    <w:rsid w:val="66A80E51"/>
    <w:rsid w:val="66A8260B"/>
    <w:rsid w:val="66A82BFF"/>
    <w:rsid w:val="66AB3962"/>
    <w:rsid w:val="66BC4185"/>
    <w:rsid w:val="66C0619B"/>
    <w:rsid w:val="66C12C09"/>
    <w:rsid w:val="66C15989"/>
    <w:rsid w:val="66C35C8B"/>
    <w:rsid w:val="66C739CD"/>
    <w:rsid w:val="66C814F3"/>
    <w:rsid w:val="66C832A1"/>
    <w:rsid w:val="66D952C7"/>
    <w:rsid w:val="66DB4D83"/>
    <w:rsid w:val="66DE6A20"/>
    <w:rsid w:val="66E6060C"/>
    <w:rsid w:val="66F10A4A"/>
    <w:rsid w:val="66F145A6"/>
    <w:rsid w:val="66F26570"/>
    <w:rsid w:val="66F45E44"/>
    <w:rsid w:val="66F627FA"/>
    <w:rsid w:val="66F83B86"/>
    <w:rsid w:val="67000C8D"/>
    <w:rsid w:val="67002A3B"/>
    <w:rsid w:val="6703077D"/>
    <w:rsid w:val="6703252B"/>
    <w:rsid w:val="67055E1B"/>
    <w:rsid w:val="6707201B"/>
    <w:rsid w:val="67077707"/>
    <w:rsid w:val="670D5158"/>
    <w:rsid w:val="672277D6"/>
    <w:rsid w:val="672506F4"/>
    <w:rsid w:val="67254250"/>
    <w:rsid w:val="67290209"/>
    <w:rsid w:val="672F50CE"/>
    <w:rsid w:val="67355406"/>
    <w:rsid w:val="6739040E"/>
    <w:rsid w:val="673A47F6"/>
    <w:rsid w:val="673D5A3D"/>
    <w:rsid w:val="674D37A6"/>
    <w:rsid w:val="67515045"/>
    <w:rsid w:val="675A65EF"/>
    <w:rsid w:val="675D60DF"/>
    <w:rsid w:val="676129D2"/>
    <w:rsid w:val="67636EEB"/>
    <w:rsid w:val="67700301"/>
    <w:rsid w:val="67746F85"/>
    <w:rsid w:val="67784CC7"/>
    <w:rsid w:val="677B7C35"/>
    <w:rsid w:val="6782404B"/>
    <w:rsid w:val="678673E4"/>
    <w:rsid w:val="678A6C8A"/>
    <w:rsid w:val="67923695"/>
    <w:rsid w:val="67931B01"/>
    <w:rsid w:val="67955879"/>
    <w:rsid w:val="67955CDD"/>
    <w:rsid w:val="67A521C9"/>
    <w:rsid w:val="67A91325"/>
    <w:rsid w:val="67A96C2F"/>
    <w:rsid w:val="67B57CC9"/>
    <w:rsid w:val="67B657F0"/>
    <w:rsid w:val="67C021CA"/>
    <w:rsid w:val="67D0065F"/>
    <w:rsid w:val="67D31EFE"/>
    <w:rsid w:val="67D619EE"/>
    <w:rsid w:val="67E22141"/>
    <w:rsid w:val="67E916C6"/>
    <w:rsid w:val="67E934CF"/>
    <w:rsid w:val="67ED05CE"/>
    <w:rsid w:val="67FC3439"/>
    <w:rsid w:val="67FD6F7B"/>
    <w:rsid w:val="67FE19E3"/>
    <w:rsid w:val="67FF0F45"/>
    <w:rsid w:val="68064081"/>
    <w:rsid w:val="68071BA7"/>
    <w:rsid w:val="68125890"/>
    <w:rsid w:val="6817003C"/>
    <w:rsid w:val="682409AB"/>
    <w:rsid w:val="682E5386"/>
    <w:rsid w:val="68356714"/>
    <w:rsid w:val="68376930"/>
    <w:rsid w:val="683926A8"/>
    <w:rsid w:val="683A1F7D"/>
    <w:rsid w:val="683F7593"/>
    <w:rsid w:val="684233E6"/>
    <w:rsid w:val="684352D5"/>
    <w:rsid w:val="684A6664"/>
    <w:rsid w:val="684B23DC"/>
    <w:rsid w:val="684F3C7A"/>
    <w:rsid w:val="68520577"/>
    <w:rsid w:val="68556DB7"/>
    <w:rsid w:val="68577118"/>
    <w:rsid w:val="68614624"/>
    <w:rsid w:val="68660FC4"/>
    <w:rsid w:val="686B482C"/>
    <w:rsid w:val="687B49C3"/>
    <w:rsid w:val="687E00BB"/>
    <w:rsid w:val="68996CA3"/>
    <w:rsid w:val="689C6793"/>
    <w:rsid w:val="68A1024E"/>
    <w:rsid w:val="68A67612"/>
    <w:rsid w:val="68AE414D"/>
    <w:rsid w:val="68BE2BAE"/>
    <w:rsid w:val="68C55CEA"/>
    <w:rsid w:val="68C6767F"/>
    <w:rsid w:val="68CD1043"/>
    <w:rsid w:val="68E24AEE"/>
    <w:rsid w:val="68EB171F"/>
    <w:rsid w:val="68EB3277"/>
    <w:rsid w:val="68ED6FEF"/>
    <w:rsid w:val="68EF4B15"/>
    <w:rsid w:val="68F44821"/>
    <w:rsid w:val="68F53861"/>
    <w:rsid w:val="68FA6539"/>
    <w:rsid w:val="69045669"/>
    <w:rsid w:val="69061428"/>
    <w:rsid w:val="690F3409"/>
    <w:rsid w:val="691B0000"/>
    <w:rsid w:val="6927078B"/>
    <w:rsid w:val="69286279"/>
    <w:rsid w:val="692E7D33"/>
    <w:rsid w:val="6931512E"/>
    <w:rsid w:val="69322B2E"/>
    <w:rsid w:val="69392234"/>
    <w:rsid w:val="693C3091"/>
    <w:rsid w:val="693F5EA4"/>
    <w:rsid w:val="69460607"/>
    <w:rsid w:val="694858F0"/>
    <w:rsid w:val="6951757E"/>
    <w:rsid w:val="69550BFB"/>
    <w:rsid w:val="69605006"/>
    <w:rsid w:val="696A458A"/>
    <w:rsid w:val="696A6B29"/>
    <w:rsid w:val="69715E72"/>
    <w:rsid w:val="69750E21"/>
    <w:rsid w:val="69765236"/>
    <w:rsid w:val="697B284D"/>
    <w:rsid w:val="698536CB"/>
    <w:rsid w:val="6985687C"/>
    <w:rsid w:val="698A0CE2"/>
    <w:rsid w:val="69913E1E"/>
    <w:rsid w:val="699851AD"/>
    <w:rsid w:val="699D0A15"/>
    <w:rsid w:val="699F29DF"/>
    <w:rsid w:val="69A048BD"/>
    <w:rsid w:val="69A71034"/>
    <w:rsid w:val="69A91168"/>
    <w:rsid w:val="69A9560C"/>
    <w:rsid w:val="69B70154"/>
    <w:rsid w:val="69BD4DE0"/>
    <w:rsid w:val="69C27B02"/>
    <w:rsid w:val="69D64202"/>
    <w:rsid w:val="69E55F18"/>
    <w:rsid w:val="69E623BC"/>
    <w:rsid w:val="69ED6F02"/>
    <w:rsid w:val="69EE7223"/>
    <w:rsid w:val="69FD14B4"/>
    <w:rsid w:val="69FF338E"/>
    <w:rsid w:val="6A010FA4"/>
    <w:rsid w:val="6A0E1913"/>
    <w:rsid w:val="6A162576"/>
    <w:rsid w:val="6A1C0949"/>
    <w:rsid w:val="6A2E3F76"/>
    <w:rsid w:val="6A2E73C3"/>
    <w:rsid w:val="6A42336B"/>
    <w:rsid w:val="6A4729C1"/>
    <w:rsid w:val="6A503CD9"/>
    <w:rsid w:val="6A5135AE"/>
    <w:rsid w:val="6A535578"/>
    <w:rsid w:val="6A5F3F1C"/>
    <w:rsid w:val="6A633A0D"/>
    <w:rsid w:val="6A646982"/>
    <w:rsid w:val="6A667059"/>
    <w:rsid w:val="6A687275"/>
    <w:rsid w:val="6A70612A"/>
    <w:rsid w:val="6A7A48B2"/>
    <w:rsid w:val="6A7D43A3"/>
    <w:rsid w:val="6A7F45BF"/>
    <w:rsid w:val="6A8120E5"/>
    <w:rsid w:val="6A817C2F"/>
    <w:rsid w:val="6A94006A"/>
    <w:rsid w:val="6A987C6F"/>
    <w:rsid w:val="6AB57FE0"/>
    <w:rsid w:val="6AB77A1F"/>
    <w:rsid w:val="6AC00E5F"/>
    <w:rsid w:val="6AC33F7B"/>
    <w:rsid w:val="6AC72890"/>
    <w:rsid w:val="6AC83870"/>
    <w:rsid w:val="6AC87871"/>
    <w:rsid w:val="6ACB3360"/>
    <w:rsid w:val="6ACB47D4"/>
    <w:rsid w:val="6AD20B92"/>
    <w:rsid w:val="6AD73E3C"/>
    <w:rsid w:val="6ADC731B"/>
    <w:rsid w:val="6AE461D0"/>
    <w:rsid w:val="6AE83309"/>
    <w:rsid w:val="6AEB19C5"/>
    <w:rsid w:val="6AF40B09"/>
    <w:rsid w:val="6AF6662F"/>
    <w:rsid w:val="6AF705F9"/>
    <w:rsid w:val="6AF97ECD"/>
    <w:rsid w:val="6AFB1E97"/>
    <w:rsid w:val="6B0625EA"/>
    <w:rsid w:val="6B064398"/>
    <w:rsid w:val="6B1271E1"/>
    <w:rsid w:val="6B1E5B86"/>
    <w:rsid w:val="6B2313EE"/>
    <w:rsid w:val="6B235DBA"/>
    <w:rsid w:val="6B241899"/>
    <w:rsid w:val="6B2B3DFF"/>
    <w:rsid w:val="6B2C2051"/>
    <w:rsid w:val="6B3453A9"/>
    <w:rsid w:val="6B347157"/>
    <w:rsid w:val="6B3B6738"/>
    <w:rsid w:val="6B450D39"/>
    <w:rsid w:val="6B4A1FF9"/>
    <w:rsid w:val="6B5275DD"/>
    <w:rsid w:val="6B560E7C"/>
    <w:rsid w:val="6B581098"/>
    <w:rsid w:val="6B633598"/>
    <w:rsid w:val="6B6712DB"/>
    <w:rsid w:val="6B68018C"/>
    <w:rsid w:val="6B6D2669"/>
    <w:rsid w:val="6B7E44A8"/>
    <w:rsid w:val="6B7E6624"/>
    <w:rsid w:val="6B7F073E"/>
    <w:rsid w:val="6B802B7B"/>
    <w:rsid w:val="6B851761"/>
    <w:rsid w:val="6B855C05"/>
    <w:rsid w:val="6B8E4AB9"/>
    <w:rsid w:val="6B9D2F4E"/>
    <w:rsid w:val="6BA22313"/>
    <w:rsid w:val="6BA442DD"/>
    <w:rsid w:val="6BAF1DFC"/>
    <w:rsid w:val="6BAF67DE"/>
    <w:rsid w:val="6BB32772"/>
    <w:rsid w:val="6BB641D1"/>
    <w:rsid w:val="6BB72213"/>
    <w:rsid w:val="6BD46244"/>
    <w:rsid w:val="6BD67709"/>
    <w:rsid w:val="6BD91AAD"/>
    <w:rsid w:val="6BDD77EF"/>
    <w:rsid w:val="6BE75F78"/>
    <w:rsid w:val="6BF16DF6"/>
    <w:rsid w:val="6BFB26B9"/>
    <w:rsid w:val="6C003F58"/>
    <w:rsid w:val="6C007039"/>
    <w:rsid w:val="6C035F49"/>
    <w:rsid w:val="6C066D46"/>
    <w:rsid w:val="6C121EEA"/>
    <w:rsid w:val="6C1E27FB"/>
    <w:rsid w:val="6C2125B9"/>
    <w:rsid w:val="6C21592D"/>
    <w:rsid w:val="6C264CF2"/>
    <w:rsid w:val="6C270A6A"/>
    <w:rsid w:val="6C2E2F51"/>
    <w:rsid w:val="6C3311BD"/>
    <w:rsid w:val="6C3A079D"/>
    <w:rsid w:val="6C3F4006"/>
    <w:rsid w:val="6C45127D"/>
    <w:rsid w:val="6C477A48"/>
    <w:rsid w:val="6C4D6279"/>
    <w:rsid w:val="6C5555D7"/>
    <w:rsid w:val="6C613F7C"/>
    <w:rsid w:val="6C67458B"/>
    <w:rsid w:val="6C6B4DFB"/>
    <w:rsid w:val="6C6E0447"/>
    <w:rsid w:val="6C705F6D"/>
    <w:rsid w:val="6C731F01"/>
    <w:rsid w:val="6C7454B2"/>
    <w:rsid w:val="6C80161C"/>
    <w:rsid w:val="6C8C7A1A"/>
    <w:rsid w:val="6C922387"/>
    <w:rsid w:val="6C9C1458"/>
    <w:rsid w:val="6CAA1C24"/>
    <w:rsid w:val="6CAB21FB"/>
    <w:rsid w:val="6CAB51F7"/>
    <w:rsid w:val="6CAC1E84"/>
    <w:rsid w:val="6CB542C8"/>
    <w:rsid w:val="6CBF0CA2"/>
    <w:rsid w:val="6CBF6EF4"/>
    <w:rsid w:val="6CC5763D"/>
    <w:rsid w:val="6CC664D5"/>
    <w:rsid w:val="6CCA7D73"/>
    <w:rsid w:val="6CCB5899"/>
    <w:rsid w:val="6CD7449F"/>
    <w:rsid w:val="6CE8148E"/>
    <w:rsid w:val="6CF05300"/>
    <w:rsid w:val="6CF43A7A"/>
    <w:rsid w:val="6CF803B7"/>
    <w:rsid w:val="6CFC7FBF"/>
    <w:rsid w:val="6D003795"/>
    <w:rsid w:val="6D0D7C60"/>
    <w:rsid w:val="6D1250D9"/>
    <w:rsid w:val="6D140FEE"/>
    <w:rsid w:val="6D162FB8"/>
    <w:rsid w:val="6D1919FD"/>
    <w:rsid w:val="6D1C6C99"/>
    <w:rsid w:val="6D266F73"/>
    <w:rsid w:val="6D281E21"/>
    <w:rsid w:val="6D295F60"/>
    <w:rsid w:val="6D347596"/>
    <w:rsid w:val="6D350F65"/>
    <w:rsid w:val="6D463172"/>
    <w:rsid w:val="6D4713C4"/>
    <w:rsid w:val="6D4E476D"/>
    <w:rsid w:val="6D596E90"/>
    <w:rsid w:val="6D68758C"/>
    <w:rsid w:val="6D6F4477"/>
    <w:rsid w:val="6D716441"/>
    <w:rsid w:val="6D763A57"/>
    <w:rsid w:val="6D7E7B0E"/>
    <w:rsid w:val="6D82064E"/>
    <w:rsid w:val="6D851EEC"/>
    <w:rsid w:val="6D940200"/>
    <w:rsid w:val="6DA07862"/>
    <w:rsid w:val="6DA22A9E"/>
    <w:rsid w:val="6DA7490C"/>
    <w:rsid w:val="6DAD31F1"/>
    <w:rsid w:val="6DAE7C8E"/>
    <w:rsid w:val="6DBB590E"/>
    <w:rsid w:val="6DC36570"/>
    <w:rsid w:val="6DD8201C"/>
    <w:rsid w:val="6DD864C0"/>
    <w:rsid w:val="6DE2733E"/>
    <w:rsid w:val="6DE33684"/>
    <w:rsid w:val="6DE60B88"/>
    <w:rsid w:val="6DF1132F"/>
    <w:rsid w:val="6DF30C1B"/>
    <w:rsid w:val="6DF33D76"/>
    <w:rsid w:val="6DF40A60"/>
    <w:rsid w:val="6DF42BCE"/>
    <w:rsid w:val="6DFA6436"/>
    <w:rsid w:val="6DFD3487"/>
    <w:rsid w:val="6E061D25"/>
    <w:rsid w:val="6E080427"/>
    <w:rsid w:val="6E0F7A08"/>
    <w:rsid w:val="6E102D68"/>
    <w:rsid w:val="6E1B45FE"/>
    <w:rsid w:val="6E245261"/>
    <w:rsid w:val="6E2E4063"/>
    <w:rsid w:val="6E3A4A84"/>
    <w:rsid w:val="6E3C285F"/>
    <w:rsid w:val="6E587601"/>
    <w:rsid w:val="6E5E6D9D"/>
    <w:rsid w:val="6E5F44EB"/>
    <w:rsid w:val="6E6B2E90"/>
    <w:rsid w:val="6E7004A6"/>
    <w:rsid w:val="6E75610B"/>
    <w:rsid w:val="6E772037"/>
    <w:rsid w:val="6E775CD9"/>
    <w:rsid w:val="6E7F4B8D"/>
    <w:rsid w:val="6E846A90"/>
    <w:rsid w:val="6E87552E"/>
    <w:rsid w:val="6E8977BA"/>
    <w:rsid w:val="6E8A2144"/>
    <w:rsid w:val="6E8E4DD0"/>
    <w:rsid w:val="6E8E6B7E"/>
    <w:rsid w:val="6E934195"/>
    <w:rsid w:val="6E9543B1"/>
    <w:rsid w:val="6E963C85"/>
    <w:rsid w:val="6E9929AC"/>
    <w:rsid w:val="6E9D5013"/>
    <w:rsid w:val="6EAE733F"/>
    <w:rsid w:val="6EB505AF"/>
    <w:rsid w:val="6EC425A0"/>
    <w:rsid w:val="6EC922AC"/>
    <w:rsid w:val="6ECB4CD8"/>
    <w:rsid w:val="6ECE1BA8"/>
    <w:rsid w:val="6ECF5D6D"/>
    <w:rsid w:val="6ED22F0F"/>
    <w:rsid w:val="6EE175F6"/>
    <w:rsid w:val="6EE3336E"/>
    <w:rsid w:val="6EE67590"/>
    <w:rsid w:val="6EE70FDE"/>
    <w:rsid w:val="6EEA69AD"/>
    <w:rsid w:val="6EEB3447"/>
    <w:rsid w:val="6EF94940"/>
    <w:rsid w:val="6EFA2466"/>
    <w:rsid w:val="6EFD1D73"/>
    <w:rsid w:val="6EFD5AB2"/>
    <w:rsid w:val="6F0D3F47"/>
    <w:rsid w:val="6F143527"/>
    <w:rsid w:val="6F1B6067"/>
    <w:rsid w:val="6F1E4323"/>
    <w:rsid w:val="6F2620DC"/>
    <w:rsid w:val="6F28453E"/>
    <w:rsid w:val="6F2D283B"/>
    <w:rsid w:val="6F2F65B3"/>
    <w:rsid w:val="6F435BBB"/>
    <w:rsid w:val="6F4656AB"/>
    <w:rsid w:val="6F49551F"/>
    <w:rsid w:val="6F4A519B"/>
    <w:rsid w:val="6F4B0F13"/>
    <w:rsid w:val="6F4D07E7"/>
    <w:rsid w:val="6F4E27BA"/>
    <w:rsid w:val="6F54601A"/>
    <w:rsid w:val="6F626E48"/>
    <w:rsid w:val="6F72024E"/>
    <w:rsid w:val="6F7400F2"/>
    <w:rsid w:val="6F742218"/>
    <w:rsid w:val="6F7E3097"/>
    <w:rsid w:val="6F812184"/>
    <w:rsid w:val="6F8166E3"/>
    <w:rsid w:val="6F8D3F04"/>
    <w:rsid w:val="6F8D4047"/>
    <w:rsid w:val="6F9500AA"/>
    <w:rsid w:val="6F970471"/>
    <w:rsid w:val="6F974654"/>
    <w:rsid w:val="6F997ED1"/>
    <w:rsid w:val="6F9C52CB"/>
    <w:rsid w:val="6FAD1286"/>
    <w:rsid w:val="6FB10D76"/>
    <w:rsid w:val="6FB27214"/>
    <w:rsid w:val="6FB70357"/>
    <w:rsid w:val="6FB97C2B"/>
    <w:rsid w:val="6FC51A41"/>
    <w:rsid w:val="6FC532F8"/>
    <w:rsid w:val="6FD26F3F"/>
    <w:rsid w:val="6FD40F09"/>
    <w:rsid w:val="6FD902CD"/>
    <w:rsid w:val="6FE32EFA"/>
    <w:rsid w:val="6FE86762"/>
    <w:rsid w:val="6FEC1DAE"/>
    <w:rsid w:val="6FEC6252"/>
    <w:rsid w:val="6FF84BF7"/>
    <w:rsid w:val="70003AAC"/>
    <w:rsid w:val="700B6F04"/>
    <w:rsid w:val="701017BB"/>
    <w:rsid w:val="70131A31"/>
    <w:rsid w:val="70207CAA"/>
    <w:rsid w:val="70300C7F"/>
    <w:rsid w:val="70333E81"/>
    <w:rsid w:val="70385739"/>
    <w:rsid w:val="7040034C"/>
    <w:rsid w:val="704020FA"/>
    <w:rsid w:val="70457711"/>
    <w:rsid w:val="704A5564"/>
    <w:rsid w:val="705A140E"/>
    <w:rsid w:val="705A5513"/>
    <w:rsid w:val="705B5186"/>
    <w:rsid w:val="705F4C76"/>
    <w:rsid w:val="7062706D"/>
    <w:rsid w:val="70710506"/>
    <w:rsid w:val="70751679"/>
    <w:rsid w:val="707D50FC"/>
    <w:rsid w:val="707E07AB"/>
    <w:rsid w:val="70812E3F"/>
    <w:rsid w:val="708446DD"/>
    <w:rsid w:val="70853FB1"/>
    <w:rsid w:val="7089584F"/>
    <w:rsid w:val="708C533F"/>
    <w:rsid w:val="70981E9C"/>
    <w:rsid w:val="709F2104"/>
    <w:rsid w:val="70A1528F"/>
    <w:rsid w:val="70A47E6A"/>
    <w:rsid w:val="70AB7EBB"/>
    <w:rsid w:val="70AE0489"/>
    <w:rsid w:val="70B12FF8"/>
    <w:rsid w:val="70C36F04"/>
    <w:rsid w:val="70CC1BE0"/>
    <w:rsid w:val="70D319E7"/>
    <w:rsid w:val="70D75F53"/>
    <w:rsid w:val="70D80585"/>
    <w:rsid w:val="70E6077F"/>
    <w:rsid w:val="70E62CA2"/>
    <w:rsid w:val="70EC468E"/>
    <w:rsid w:val="70EE7DA8"/>
    <w:rsid w:val="70F76C5D"/>
    <w:rsid w:val="70F829D5"/>
    <w:rsid w:val="71062254"/>
    <w:rsid w:val="710812D5"/>
    <w:rsid w:val="71125845"/>
    <w:rsid w:val="71145A61"/>
    <w:rsid w:val="71202DBA"/>
    <w:rsid w:val="71241A1C"/>
    <w:rsid w:val="712D267F"/>
    <w:rsid w:val="71311A98"/>
    <w:rsid w:val="713779A1"/>
    <w:rsid w:val="71397275"/>
    <w:rsid w:val="71397773"/>
    <w:rsid w:val="71452266"/>
    <w:rsid w:val="714B6FA9"/>
    <w:rsid w:val="714D4ACF"/>
    <w:rsid w:val="71520337"/>
    <w:rsid w:val="71520A3E"/>
    <w:rsid w:val="715220E5"/>
    <w:rsid w:val="715C7408"/>
    <w:rsid w:val="716D6F1F"/>
    <w:rsid w:val="716F161B"/>
    <w:rsid w:val="717B5D98"/>
    <w:rsid w:val="717C3606"/>
    <w:rsid w:val="718F158B"/>
    <w:rsid w:val="71902BFF"/>
    <w:rsid w:val="71950F82"/>
    <w:rsid w:val="71956476"/>
    <w:rsid w:val="71995F66"/>
    <w:rsid w:val="719E2E4D"/>
    <w:rsid w:val="71A74762"/>
    <w:rsid w:val="71BA28B0"/>
    <w:rsid w:val="71CA611F"/>
    <w:rsid w:val="71D76943"/>
    <w:rsid w:val="71F633B8"/>
    <w:rsid w:val="72035AD5"/>
    <w:rsid w:val="720930EC"/>
    <w:rsid w:val="720C2BDC"/>
    <w:rsid w:val="72125FA4"/>
    <w:rsid w:val="72127AC6"/>
    <w:rsid w:val="72135D18"/>
    <w:rsid w:val="72190E55"/>
    <w:rsid w:val="72200435"/>
    <w:rsid w:val="72225F5B"/>
    <w:rsid w:val="722A4E10"/>
    <w:rsid w:val="72345C8F"/>
    <w:rsid w:val="7238577F"/>
    <w:rsid w:val="72395053"/>
    <w:rsid w:val="724759C2"/>
    <w:rsid w:val="724F0D1A"/>
    <w:rsid w:val="72516841"/>
    <w:rsid w:val="725241B4"/>
    <w:rsid w:val="72565C05"/>
    <w:rsid w:val="726522EC"/>
    <w:rsid w:val="726A16B0"/>
    <w:rsid w:val="726F7761"/>
    <w:rsid w:val="72760055"/>
    <w:rsid w:val="72780225"/>
    <w:rsid w:val="72783DCD"/>
    <w:rsid w:val="727B38BE"/>
    <w:rsid w:val="727F33AE"/>
    <w:rsid w:val="72816D82"/>
    <w:rsid w:val="7285473C"/>
    <w:rsid w:val="728926EB"/>
    <w:rsid w:val="728E35F1"/>
    <w:rsid w:val="729C3F60"/>
    <w:rsid w:val="72B56DCF"/>
    <w:rsid w:val="72B70089"/>
    <w:rsid w:val="72B73C27"/>
    <w:rsid w:val="72C45265"/>
    <w:rsid w:val="72C7009D"/>
    <w:rsid w:val="72DF209E"/>
    <w:rsid w:val="72DF3E4C"/>
    <w:rsid w:val="72E66F89"/>
    <w:rsid w:val="72E7195E"/>
    <w:rsid w:val="72E76F8D"/>
    <w:rsid w:val="7306762B"/>
    <w:rsid w:val="730B55B9"/>
    <w:rsid w:val="730E64E0"/>
    <w:rsid w:val="731A1328"/>
    <w:rsid w:val="731A30D6"/>
    <w:rsid w:val="731F249B"/>
    <w:rsid w:val="73253671"/>
    <w:rsid w:val="73306456"/>
    <w:rsid w:val="73317A27"/>
    <w:rsid w:val="733817AF"/>
    <w:rsid w:val="733B6CD0"/>
    <w:rsid w:val="73463ECB"/>
    <w:rsid w:val="734E2D80"/>
    <w:rsid w:val="735008A6"/>
    <w:rsid w:val="73526E9E"/>
    <w:rsid w:val="735859AD"/>
    <w:rsid w:val="735B6DB7"/>
    <w:rsid w:val="735C2691"/>
    <w:rsid w:val="73682094"/>
    <w:rsid w:val="736E6F7E"/>
    <w:rsid w:val="7370719A"/>
    <w:rsid w:val="737353DE"/>
    <w:rsid w:val="73767F05"/>
    <w:rsid w:val="7379604F"/>
    <w:rsid w:val="737C5B3F"/>
    <w:rsid w:val="738806AE"/>
    <w:rsid w:val="73886292"/>
    <w:rsid w:val="73890FDE"/>
    <w:rsid w:val="738B7B30"/>
    <w:rsid w:val="73903399"/>
    <w:rsid w:val="73A62438"/>
    <w:rsid w:val="73BA3CC2"/>
    <w:rsid w:val="73BB49CC"/>
    <w:rsid w:val="73BE02D8"/>
    <w:rsid w:val="73C117A4"/>
    <w:rsid w:val="73D50144"/>
    <w:rsid w:val="73D56FFD"/>
    <w:rsid w:val="73DD4830"/>
    <w:rsid w:val="73E060CE"/>
    <w:rsid w:val="73E97A4A"/>
    <w:rsid w:val="73ED07EB"/>
    <w:rsid w:val="73EF1E6D"/>
    <w:rsid w:val="73F54808"/>
    <w:rsid w:val="73F602AE"/>
    <w:rsid w:val="74051691"/>
    <w:rsid w:val="740D1EA9"/>
    <w:rsid w:val="74116287"/>
    <w:rsid w:val="74161AF0"/>
    <w:rsid w:val="741B7106"/>
    <w:rsid w:val="741E5489"/>
    <w:rsid w:val="742F7A23"/>
    <w:rsid w:val="74325266"/>
    <w:rsid w:val="74335059"/>
    <w:rsid w:val="743D707D"/>
    <w:rsid w:val="744B56A6"/>
    <w:rsid w:val="744D4DE6"/>
    <w:rsid w:val="7452064E"/>
    <w:rsid w:val="745443C6"/>
    <w:rsid w:val="74575619"/>
    <w:rsid w:val="74590478"/>
    <w:rsid w:val="74634609"/>
    <w:rsid w:val="74685677"/>
    <w:rsid w:val="746F1200"/>
    <w:rsid w:val="74771AD8"/>
    <w:rsid w:val="747E1443"/>
    <w:rsid w:val="74884070"/>
    <w:rsid w:val="74895730"/>
    <w:rsid w:val="74934EEE"/>
    <w:rsid w:val="74943E9C"/>
    <w:rsid w:val="749B1FF5"/>
    <w:rsid w:val="749D4236"/>
    <w:rsid w:val="74A0551B"/>
    <w:rsid w:val="74A30713"/>
    <w:rsid w:val="74B82BA7"/>
    <w:rsid w:val="74B84955"/>
    <w:rsid w:val="74B86703"/>
    <w:rsid w:val="74BB61F3"/>
    <w:rsid w:val="74C40BE9"/>
    <w:rsid w:val="74C72DEA"/>
    <w:rsid w:val="74CA6436"/>
    <w:rsid w:val="74CE3E3B"/>
    <w:rsid w:val="74D067FF"/>
    <w:rsid w:val="74DB0643"/>
    <w:rsid w:val="74DF4D01"/>
    <w:rsid w:val="74E25E76"/>
    <w:rsid w:val="74EE481B"/>
    <w:rsid w:val="74F71921"/>
    <w:rsid w:val="74FB2A94"/>
    <w:rsid w:val="75003489"/>
    <w:rsid w:val="75033304"/>
    <w:rsid w:val="75063912"/>
    <w:rsid w:val="750A2CD7"/>
    <w:rsid w:val="750C462A"/>
    <w:rsid w:val="751029E3"/>
    <w:rsid w:val="75181898"/>
    <w:rsid w:val="751D118B"/>
    <w:rsid w:val="75241FEA"/>
    <w:rsid w:val="75271ADB"/>
    <w:rsid w:val="75275B9B"/>
    <w:rsid w:val="752873BF"/>
    <w:rsid w:val="752A6BC5"/>
    <w:rsid w:val="753560F9"/>
    <w:rsid w:val="753B10E2"/>
    <w:rsid w:val="75402C0D"/>
    <w:rsid w:val="7544443B"/>
    <w:rsid w:val="75466A7F"/>
    <w:rsid w:val="754937FF"/>
    <w:rsid w:val="75497CA3"/>
    <w:rsid w:val="754D1541"/>
    <w:rsid w:val="755A3C5E"/>
    <w:rsid w:val="756D573F"/>
    <w:rsid w:val="757271FA"/>
    <w:rsid w:val="75752FE2"/>
    <w:rsid w:val="75792D9E"/>
    <w:rsid w:val="757A7E5C"/>
    <w:rsid w:val="758A424E"/>
    <w:rsid w:val="758D4498"/>
    <w:rsid w:val="758E3C4E"/>
    <w:rsid w:val="758F1B5A"/>
    <w:rsid w:val="759251A6"/>
    <w:rsid w:val="75932CCC"/>
    <w:rsid w:val="75947170"/>
    <w:rsid w:val="75A05F49"/>
    <w:rsid w:val="75A44ED9"/>
    <w:rsid w:val="75A629FF"/>
    <w:rsid w:val="75AB2AFD"/>
    <w:rsid w:val="75B72D40"/>
    <w:rsid w:val="75BB6DDA"/>
    <w:rsid w:val="75BC0475"/>
    <w:rsid w:val="75C4732A"/>
    <w:rsid w:val="75CE1F56"/>
    <w:rsid w:val="75D94137"/>
    <w:rsid w:val="75DA08FB"/>
    <w:rsid w:val="75E85141"/>
    <w:rsid w:val="760A3051"/>
    <w:rsid w:val="760B4F58"/>
    <w:rsid w:val="760B6D06"/>
    <w:rsid w:val="760F2C9B"/>
    <w:rsid w:val="761262E7"/>
    <w:rsid w:val="76155DFB"/>
    <w:rsid w:val="761B163F"/>
    <w:rsid w:val="76230272"/>
    <w:rsid w:val="762D1373"/>
    <w:rsid w:val="76360227"/>
    <w:rsid w:val="76371C9A"/>
    <w:rsid w:val="764861AD"/>
    <w:rsid w:val="76562678"/>
    <w:rsid w:val="76581B86"/>
    <w:rsid w:val="765A1DB4"/>
    <w:rsid w:val="765A68B9"/>
    <w:rsid w:val="7662023E"/>
    <w:rsid w:val="76750167"/>
    <w:rsid w:val="76805946"/>
    <w:rsid w:val="7684793E"/>
    <w:rsid w:val="76852F5D"/>
    <w:rsid w:val="768E0063"/>
    <w:rsid w:val="76946CFC"/>
    <w:rsid w:val="76992564"/>
    <w:rsid w:val="76A235BC"/>
    <w:rsid w:val="76A258BD"/>
    <w:rsid w:val="76AC2297"/>
    <w:rsid w:val="76AF3B36"/>
    <w:rsid w:val="76BD44A5"/>
    <w:rsid w:val="76C02622"/>
    <w:rsid w:val="76C53359"/>
    <w:rsid w:val="76D02273"/>
    <w:rsid w:val="76DF266D"/>
    <w:rsid w:val="76E00193"/>
    <w:rsid w:val="76E618C8"/>
    <w:rsid w:val="76F01A11"/>
    <w:rsid w:val="76F62536"/>
    <w:rsid w:val="76F63F8E"/>
    <w:rsid w:val="76FD2AF3"/>
    <w:rsid w:val="77122026"/>
    <w:rsid w:val="7731679C"/>
    <w:rsid w:val="773F310C"/>
    <w:rsid w:val="77456248"/>
    <w:rsid w:val="77541DD9"/>
    <w:rsid w:val="775B3563"/>
    <w:rsid w:val="776808B4"/>
    <w:rsid w:val="776B3F01"/>
    <w:rsid w:val="777032C5"/>
    <w:rsid w:val="77737259"/>
    <w:rsid w:val="77752FD1"/>
    <w:rsid w:val="77785FC0"/>
    <w:rsid w:val="777C69F4"/>
    <w:rsid w:val="778B3D80"/>
    <w:rsid w:val="778E4B3B"/>
    <w:rsid w:val="779852C0"/>
    <w:rsid w:val="779D6D1F"/>
    <w:rsid w:val="77A13DC6"/>
    <w:rsid w:val="77A17922"/>
    <w:rsid w:val="77AE3DED"/>
    <w:rsid w:val="77B37656"/>
    <w:rsid w:val="77B43AFA"/>
    <w:rsid w:val="77B83A96"/>
    <w:rsid w:val="77C3377A"/>
    <w:rsid w:val="77C35AEB"/>
    <w:rsid w:val="77C655DB"/>
    <w:rsid w:val="77C74EAF"/>
    <w:rsid w:val="77CC7885"/>
    <w:rsid w:val="77D01FB6"/>
    <w:rsid w:val="77D870BC"/>
    <w:rsid w:val="77DE46D3"/>
    <w:rsid w:val="77E12415"/>
    <w:rsid w:val="77E45A61"/>
    <w:rsid w:val="77E617D9"/>
    <w:rsid w:val="77F35CA4"/>
    <w:rsid w:val="77F43EF6"/>
    <w:rsid w:val="77FB78AA"/>
    <w:rsid w:val="77FE5A01"/>
    <w:rsid w:val="78024049"/>
    <w:rsid w:val="78054355"/>
    <w:rsid w:val="780802FA"/>
    <w:rsid w:val="780D6D66"/>
    <w:rsid w:val="78177082"/>
    <w:rsid w:val="78212811"/>
    <w:rsid w:val="78232A2D"/>
    <w:rsid w:val="783B1E8A"/>
    <w:rsid w:val="784B788E"/>
    <w:rsid w:val="78520C1D"/>
    <w:rsid w:val="785E75C1"/>
    <w:rsid w:val="78632E2A"/>
    <w:rsid w:val="78650950"/>
    <w:rsid w:val="78714A9B"/>
    <w:rsid w:val="78727E4E"/>
    <w:rsid w:val="78793335"/>
    <w:rsid w:val="787B63C5"/>
    <w:rsid w:val="787D213D"/>
    <w:rsid w:val="787E5EB6"/>
    <w:rsid w:val="78872FBC"/>
    <w:rsid w:val="78886D34"/>
    <w:rsid w:val="788D434B"/>
    <w:rsid w:val="78964FAD"/>
    <w:rsid w:val="78A23952"/>
    <w:rsid w:val="78AA2807"/>
    <w:rsid w:val="78AE072B"/>
    <w:rsid w:val="78AE0DB3"/>
    <w:rsid w:val="78B27304"/>
    <w:rsid w:val="78BC0AF2"/>
    <w:rsid w:val="78BE5D96"/>
    <w:rsid w:val="78C0027C"/>
    <w:rsid w:val="78C7160B"/>
    <w:rsid w:val="78CE6947"/>
    <w:rsid w:val="78D110AD"/>
    <w:rsid w:val="78D66F48"/>
    <w:rsid w:val="78DC790C"/>
    <w:rsid w:val="78E1748A"/>
    <w:rsid w:val="78EE4DE9"/>
    <w:rsid w:val="78F148D9"/>
    <w:rsid w:val="790243F1"/>
    <w:rsid w:val="79091C23"/>
    <w:rsid w:val="790F4D60"/>
    <w:rsid w:val="79132AA2"/>
    <w:rsid w:val="791505C8"/>
    <w:rsid w:val="791B3704"/>
    <w:rsid w:val="791D122B"/>
    <w:rsid w:val="79264CEE"/>
    <w:rsid w:val="79294073"/>
    <w:rsid w:val="792B7DEB"/>
    <w:rsid w:val="793B3DA7"/>
    <w:rsid w:val="79415FFC"/>
    <w:rsid w:val="79420C91"/>
    <w:rsid w:val="79442C5B"/>
    <w:rsid w:val="794D412D"/>
    <w:rsid w:val="79584959"/>
    <w:rsid w:val="795D5ACB"/>
    <w:rsid w:val="795F5CE7"/>
    <w:rsid w:val="796C5D0E"/>
    <w:rsid w:val="798217B4"/>
    <w:rsid w:val="79821A9D"/>
    <w:rsid w:val="79823784"/>
    <w:rsid w:val="798D4602"/>
    <w:rsid w:val="799139C7"/>
    <w:rsid w:val="7995549D"/>
    <w:rsid w:val="79984D55"/>
    <w:rsid w:val="799A287B"/>
    <w:rsid w:val="799B3E33"/>
    <w:rsid w:val="79A27982"/>
    <w:rsid w:val="79A454A8"/>
    <w:rsid w:val="79A75DED"/>
    <w:rsid w:val="79A90FEB"/>
    <w:rsid w:val="79A951B4"/>
    <w:rsid w:val="79B17BC5"/>
    <w:rsid w:val="79B576B5"/>
    <w:rsid w:val="79BB0B66"/>
    <w:rsid w:val="79BB48AD"/>
    <w:rsid w:val="79C36276"/>
    <w:rsid w:val="79D02741"/>
    <w:rsid w:val="79D0629D"/>
    <w:rsid w:val="79D35D8D"/>
    <w:rsid w:val="79DA25B1"/>
    <w:rsid w:val="79DF2984"/>
    <w:rsid w:val="79E1494E"/>
    <w:rsid w:val="79E41D48"/>
    <w:rsid w:val="79E461EC"/>
    <w:rsid w:val="79E927CD"/>
    <w:rsid w:val="79F20909"/>
    <w:rsid w:val="79F24465"/>
    <w:rsid w:val="7A016D9E"/>
    <w:rsid w:val="7A096D9E"/>
    <w:rsid w:val="7A0E5017"/>
    <w:rsid w:val="7A116EA2"/>
    <w:rsid w:val="7A1268B5"/>
    <w:rsid w:val="7A1350B3"/>
    <w:rsid w:val="7A17211E"/>
    <w:rsid w:val="7A2041A1"/>
    <w:rsid w:val="7A266805"/>
    <w:rsid w:val="7A320D06"/>
    <w:rsid w:val="7A3525A4"/>
    <w:rsid w:val="7A37456E"/>
    <w:rsid w:val="7A4A42A1"/>
    <w:rsid w:val="7A4B0019"/>
    <w:rsid w:val="7A4D2AE1"/>
    <w:rsid w:val="7A572FE3"/>
    <w:rsid w:val="7A613399"/>
    <w:rsid w:val="7A801DA9"/>
    <w:rsid w:val="7A8772A3"/>
    <w:rsid w:val="7A886B78"/>
    <w:rsid w:val="7A8D0632"/>
    <w:rsid w:val="7A940CEF"/>
    <w:rsid w:val="7A965738"/>
    <w:rsid w:val="7A9B4AFD"/>
    <w:rsid w:val="7A9D6AC7"/>
    <w:rsid w:val="7AA8546C"/>
    <w:rsid w:val="7AAA19E4"/>
    <w:rsid w:val="7AB20098"/>
    <w:rsid w:val="7AB30796"/>
    <w:rsid w:val="7AB505DC"/>
    <w:rsid w:val="7AB908C6"/>
    <w:rsid w:val="7AB97154"/>
    <w:rsid w:val="7ABC4A73"/>
    <w:rsid w:val="7ABE60B5"/>
    <w:rsid w:val="7ABE6A3D"/>
    <w:rsid w:val="7AC06311"/>
    <w:rsid w:val="7AC83418"/>
    <w:rsid w:val="7ACF0C4A"/>
    <w:rsid w:val="7AD26045"/>
    <w:rsid w:val="7ADE0E8D"/>
    <w:rsid w:val="7ADE2C3C"/>
    <w:rsid w:val="7AE04C06"/>
    <w:rsid w:val="7AE70843"/>
    <w:rsid w:val="7AE83ABA"/>
    <w:rsid w:val="7AEE42B9"/>
    <w:rsid w:val="7AEF6BF7"/>
    <w:rsid w:val="7AF97A75"/>
    <w:rsid w:val="7B036659"/>
    <w:rsid w:val="7B0A57DF"/>
    <w:rsid w:val="7B113011"/>
    <w:rsid w:val="7B310FBD"/>
    <w:rsid w:val="7B40682E"/>
    <w:rsid w:val="7B476A33"/>
    <w:rsid w:val="7B48546D"/>
    <w:rsid w:val="7B4F0850"/>
    <w:rsid w:val="7B5353D8"/>
    <w:rsid w:val="7B5F5B2A"/>
    <w:rsid w:val="7B6475E5"/>
    <w:rsid w:val="7B6C6499"/>
    <w:rsid w:val="7B7610C6"/>
    <w:rsid w:val="7B76172D"/>
    <w:rsid w:val="7B767318"/>
    <w:rsid w:val="7B8437E3"/>
    <w:rsid w:val="7B864A64"/>
    <w:rsid w:val="7B8E6410"/>
    <w:rsid w:val="7B973491"/>
    <w:rsid w:val="7BB87930"/>
    <w:rsid w:val="7BBB2A32"/>
    <w:rsid w:val="7BC142DE"/>
    <w:rsid w:val="7BC2430B"/>
    <w:rsid w:val="7BC63DFB"/>
    <w:rsid w:val="7BC736D0"/>
    <w:rsid w:val="7BC9569A"/>
    <w:rsid w:val="7BCE3BEB"/>
    <w:rsid w:val="7BD15117"/>
    <w:rsid w:val="7BD242A4"/>
    <w:rsid w:val="7BD27A5D"/>
    <w:rsid w:val="7BD71D77"/>
    <w:rsid w:val="7BDF0A19"/>
    <w:rsid w:val="7BE1477E"/>
    <w:rsid w:val="7BE656D4"/>
    <w:rsid w:val="7BED5740"/>
    <w:rsid w:val="7BEE5100"/>
    <w:rsid w:val="7BF70459"/>
    <w:rsid w:val="7BFD5343"/>
    <w:rsid w:val="7C010D1F"/>
    <w:rsid w:val="7C073499"/>
    <w:rsid w:val="7C077F70"/>
    <w:rsid w:val="7C085991"/>
    <w:rsid w:val="7C09018C"/>
    <w:rsid w:val="7C091F3A"/>
    <w:rsid w:val="7C0B3F04"/>
    <w:rsid w:val="7C0D36B6"/>
    <w:rsid w:val="7C127041"/>
    <w:rsid w:val="7C1728A9"/>
    <w:rsid w:val="7C29166A"/>
    <w:rsid w:val="7C307716"/>
    <w:rsid w:val="7C32323F"/>
    <w:rsid w:val="7C352D2F"/>
    <w:rsid w:val="7C3A6597"/>
    <w:rsid w:val="7C4411C4"/>
    <w:rsid w:val="7C445F6B"/>
    <w:rsid w:val="7C465062"/>
    <w:rsid w:val="7C484810"/>
    <w:rsid w:val="7C4A67DB"/>
    <w:rsid w:val="7C550AA2"/>
    <w:rsid w:val="7C72188D"/>
    <w:rsid w:val="7C725D31"/>
    <w:rsid w:val="7C73578A"/>
    <w:rsid w:val="7C75137E"/>
    <w:rsid w:val="7C7F3FAA"/>
    <w:rsid w:val="7C8B294F"/>
    <w:rsid w:val="7C8D2B6B"/>
    <w:rsid w:val="7C8F68E3"/>
    <w:rsid w:val="7C923CDE"/>
    <w:rsid w:val="7C9C1750"/>
    <w:rsid w:val="7CA0289E"/>
    <w:rsid w:val="7CB63E70"/>
    <w:rsid w:val="7CB71996"/>
    <w:rsid w:val="7CC04CEF"/>
    <w:rsid w:val="7CCF6CE0"/>
    <w:rsid w:val="7CD97B5E"/>
    <w:rsid w:val="7CDC13FD"/>
    <w:rsid w:val="7CE8247F"/>
    <w:rsid w:val="7CEA3B1A"/>
    <w:rsid w:val="7CEA7AB5"/>
    <w:rsid w:val="7CF90201"/>
    <w:rsid w:val="7CFB1883"/>
    <w:rsid w:val="7D0A7D18"/>
    <w:rsid w:val="7D1564DB"/>
    <w:rsid w:val="7D1A3036"/>
    <w:rsid w:val="7D1B3B82"/>
    <w:rsid w:val="7D212011"/>
    <w:rsid w:val="7D2A2168"/>
    <w:rsid w:val="7D2A660C"/>
    <w:rsid w:val="7D2B2528"/>
    <w:rsid w:val="7D366731"/>
    <w:rsid w:val="7D3D1E9B"/>
    <w:rsid w:val="7D474AC8"/>
    <w:rsid w:val="7D4A0A5C"/>
    <w:rsid w:val="7D4F2DA7"/>
    <w:rsid w:val="7D5176F5"/>
    <w:rsid w:val="7D5353F5"/>
    <w:rsid w:val="7D5412BE"/>
    <w:rsid w:val="7D584EB5"/>
    <w:rsid w:val="7D5D253D"/>
    <w:rsid w:val="7D615C92"/>
    <w:rsid w:val="7D6A6A08"/>
    <w:rsid w:val="7D750FF3"/>
    <w:rsid w:val="7D782ED3"/>
    <w:rsid w:val="7D7B1F42"/>
    <w:rsid w:val="7D7D04EA"/>
    <w:rsid w:val="7D8A2C07"/>
    <w:rsid w:val="7D8B6E4D"/>
    <w:rsid w:val="7D8D0136"/>
    <w:rsid w:val="7D8E1243"/>
    <w:rsid w:val="7D910439"/>
    <w:rsid w:val="7D935F5F"/>
    <w:rsid w:val="7D943A85"/>
    <w:rsid w:val="7D9B03F2"/>
    <w:rsid w:val="7DA168CE"/>
    <w:rsid w:val="7DA95783"/>
    <w:rsid w:val="7DAA70EE"/>
    <w:rsid w:val="7DC8349B"/>
    <w:rsid w:val="7DD32800"/>
    <w:rsid w:val="7DD52BE0"/>
    <w:rsid w:val="7DDA3B8E"/>
    <w:rsid w:val="7DE40569"/>
    <w:rsid w:val="7DE467BB"/>
    <w:rsid w:val="7DE92023"/>
    <w:rsid w:val="7DEC38C1"/>
    <w:rsid w:val="7DEE3196"/>
    <w:rsid w:val="7DF05160"/>
    <w:rsid w:val="7DFA4230"/>
    <w:rsid w:val="7DFA7D8C"/>
    <w:rsid w:val="7DFB021F"/>
    <w:rsid w:val="7DFD162B"/>
    <w:rsid w:val="7DFD787D"/>
    <w:rsid w:val="7E012B5A"/>
    <w:rsid w:val="7E09289C"/>
    <w:rsid w:val="7E096221"/>
    <w:rsid w:val="7E133C92"/>
    <w:rsid w:val="7E135A11"/>
    <w:rsid w:val="7E14262D"/>
    <w:rsid w:val="7E150010"/>
    <w:rsid w:val="7E156974"/>
    <w:rsid w:val="7E1A4D7A"/>
    <w:rsid w:val="7E221091"/>
    <w:rsid w:val="7E2D63B4"/>
    <w:rsid w:val="7E2E3EDA"/>
    <w:rsid w:val="7E4159BB"/>
    <w:rsid w:val="7E454AE8"/>
    <w:rsid w:val="7E4963B9"/>
    <w:rsid w:val="7E4E1E86"/>
    <w:rsid w:val="7E525835"/>
    <w:rsid w:val="7E525E1A"/>
    <w:rsid w:val="7E5E47BF"/>
    <w:rsid w:val="7E5F4018"/>
    <w:rsid w:val="7E635932"/>
    <w:rsid w:val="7E6943E0"/>
    <w:rsid w:val="7E6E05F5"/>
    <w:rsid w:val="7E7434D8"/>
    <w:rsid w:val="7E7E10FB"/>
    <w:rsid w:val="7E8C712F"/>
    <w:rsid w:val="7E8F2BCB"/>
    <w:rsid w:val="7E906943"/>
    <w:rsid w:val="7E993502"/>
    <w:rsid w:val="7E9975A5"/>
    <w:rsid w:val="7EA6304A"/>
    <w:rsid w:val="7EA87DB4"/>
    <w:rsid w:val="7EAF0B77"/>
    <w:rsid w:val="7EAF7C44"/>
    <w:rsid w:val="7EB0669D"/>
    <w:rsid w:val="7EB27693"/>
    <w:rsid w:val="7EC565EC"/>
    <w:rsid w:val="7EC87E8B"/>
    <w:rsid w:val="7ECA3E11"/>
    <w:rsid w:val="7ECD54A1"/>
    <w:rsid w:val="7ED33FC6"/>
    <w:rsid w:val="7ED405DD"/>
    <w:rsid w:val="7ED62316"/>
    <w:rsid w:val="7EDE145C"/>
    <w:rsid w:val="7EE03426"/>
    <w:rsid w:val="7EE36A72"/>
    <w:rsid w:val="7EEC1DCB"/>
    <w:rsid w:val="7EED71F8"/>
    <w:rsid w:val="7EF770D6"/>
    <w:rsid w:val="7EFC5D86"/>
    <w:rsid w:val="7EFE1AFE"/>
    <w:rsid w:val="7F0A04A3"/>
    <w:rsid w:val="7F0A3FFF"/>
    <w:rsid w:val="7F0F7867"/>
    <w:rsid w:val="7F196938"/>
    <w:rsid w:val="7F231565"/>
    <w:rsid w:val="7F3177DE"/>
    <w:rsid w:val="7F3379FA"/>
    <w:rsid w:val="7F402117"/>
    <w:rsid w:val="7F46773E"/>
    <w:rsid w:val="7F4A41BC"/>
    <w:rsid w:val="7F4D213E"/>
    <w:rsid w:val="7F4E570E"/>
    <w:rsid w:val="7F511C2E"/>
    <w:rsid w:val="7F547970"/>
    <w:rsid w:val="7F58120E"/>
    <w:rsid w:val="7F6851CA"/>
    <w:rsid w:val="7F6F0306"/>
    <w:rsid w:val="7F6F47AA"/>
    <w:rsid w:val="7F6F6558"/>
    <w:rsid w:val="7F735A2D"/>
    <w:rsid w:val="7F762FA4"/>
    <w:rsid w:val="7F7B4EFD"/>
    <w:rsid w:val="7F820039"/>
    <w:rsid w:val="7F911521"/>
    <w:rsid w:val="7F923FF5"/>
    <w:rsid w:val="7F967F89"/>
    <w:rsid w:val="7FAE0E2E"/>
    <w:rsid w:val="7FB03369"/>
    <w:rsid w:val="7FBD3767"/>
    <w:rsid w:val="7FBF128D"/>
    <w:rsid w:val="7FC56DC0"/>
    <w:rsid w:val="7FCA19E0"/>
    <w:rsid w:val="7FD523D2"/>
    <w:rsid w:val="7FD85EAB"/>
    <w:rsid w:val="7FDD10FC"/>
    <w:rsid w:val="7FE44850"/>
    <w:rsid w:val="7FEC1957"/>
    <w:rsid w:val="7FEE1B73"/>
    <w:rsid w:val="7FF1341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1"/>
    <w:rPr>
      <w:sz w:val="28"/>
      <w:szCs w:val="28"/>
    </w:rPr>
  </w:style>
  <w:style w:type="paragraph" w:styleId="4">
    <w:name w:val="toc 5"/>
    <w:basedOn w:val="1"/>
    <w:next w:val="1"/>
    <w:qFormat/>
    <w:uiPriority w:val="0"/>
    <w:pPr>
      <w:ind w:left="1680" w:leftChars="800"/>
    </w:pPr>
    <w:rPr>
      <w:rFonts w:ascii="Times New Roman" w:hAnsi="Times New Roman" w:eastAsia="宋体" w:cs="Times New Roman"/>
      <w:szCs w:val="24"/>
    </w:rPr>
  </w:style>
  <w:style w:type="paragraph" w:styleId="5">
    <w:name w:val="Body Text Indent"/>
    <w:basedOn w:val="1"/>
    <w:qFormat/>
    <w:uiPriority w:val="0"/>
    <w:pPr>
      <w:ind w:firstLine="720" w:firstLineChars="257"/>
    </w:pPr>
    <w:rPr>
      <w:rFonts w:ascii="Calibri" w:hAnsi="Calibri"/>
      <w:sz w:val="20"/>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autoRedefine/>
    <w:qFormat/>
    <w:uiPriority w:val="0"/>
    <w:pPr>
      <w:ind w:left="420" w:leftChars="200"/>
    </w:pPr>
  </w:style>
  <w:style w:type="paragraph" w:styleId="11">
    <w:name w:val="Normal (Web)"/>
    <w:basedOn w:val="1"/>
    <w:qFormat/>
    <w:uiPriority w:val="0"/>
    <w:pPr>
      <w:spacing w:beforeAutospacing="1" w:afterAutospacing="1"/>
    </w:pPr>
  </w:style>
  <w:style w:type="paragraph" w:styleId="12">
    <w:name w:val="Body Text First Indent 2"/>
    <w:basedOn w:val="5"/>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Table Text"/>
    <w:basedOn w:val="1"/>
    <w:autoRedefine/>
    <w:semiHidden/>
    <w:qFormat/>
    <w:uiPriority w:val="0"/>
    <w:rPr>
      <w:rFonts w:ascii="宋体" w:hAnsi="宋体" w:eastAsia="宋体" w:cs="宋体"/>
      <w:sz w:val="18"/>
      <w:szCs w:val="18"/>
      <w:lang w:eastAsia="en-US"/>
    </w:rPr>
  </w:style>
  <w:style w:type="character" w:customStyle="1" w:styleId="18">
    <w:name w:val="font41"/>
    <w:basedOn w:val="15"/>
    <w:autoRedefine/>
    <w:qFormat/>
    <w:uiPriority w:val="0"/>
    <w:rPr>
      <w:rFonts w:hint="eastAsia" w:ascii="宋体" w:hAnsi="宋体" w:eastAsia="宋体" w:cs="宋体"/>
      <w:color w:val="000000"/>
      <w:sz w:val="18"/>
      <w:szCs w:val="18"/>
      <w:u w:val="none"/>
    </w:rPr>
  </w:style>
  <w:style w:type="character" w:customStyle="1" w:styleId="19">
    <w:name w:val="font51"/>
    <w:basedOn w:val="15"/>
    <w:autoRedefine/>
    <w:qFormat/>
    <w:uiPriority w:val="0"/>
    <w:rPr>
      <w:rFonts w:hint="eastAsia" w:ascii="宋体" w:hAnsi="宋体" w:eastAsia="宋体" w:cs="宋体"/>
      <w:color w:val="000000"/>
      <w:sz w:val="18"/>
      <w:szCs w:val="18"/>
      <w:u w:val="none"/>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character" w:customStyle="1" w:styleId="22">
    <w:name w:val="font01"/>
    <w:basedOn w:val="15"/>
    <w:qFormat/>
    <w:uiPriority w:val="0"/>
    <w:rPr>
      <w:rFonts w:hint="eastAsia" w:ascii="宋体" w:hAnsi="宋体" w:eastAsia="宋体" w:cs="宋体"/>
      <w:color w:val="000000"/>
      <w:sz w:val="22"/>
      <w:szCs w:val="22"/>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31"/>
    <w:basedOn w:val="15"/>
    <w:qFormat/>
    <w:uiPriority w:val="0"/>
    <w:rPr>
      <w:rFonts w:hint="eastAsia" w:ascii="宋体" w:hAnsi="宋体" w:eastAsia="宋体" w:cs="宋体"/>
      <w:color w:val="000000"/>
      <w:sz w:val="16"/>
      <w:szCs w:val="16"/>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4790</Words>
  <Characters>5046</Characters>
  <Lines>1202</Lines>
  <Paragraphs>1174</Paragraphs>
  <TotalTime>6</TotalTime>
  <ScaleCrop>false</ScaleCrop>
  <LinksUpToDate>false</LinksUpToDate>
  <CharactersWithSpaces>5162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2025-11-13T07:57:00Z</cp:lastPrinted>
  <dcterms:modified xsi:type="dcterms:W3CDTF">2025-12-15T08:31:15Z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C20386CB317C4B52BB1774D0C49A95ED_13</vt:lpwstr>
  </property>
  <property fmtid="{D5CDD505-2E9C-101B-9397-08002B2CF9AE}" pid="4" name="KSOTemplateDocerSaveRecord">
    <vt:lpwstr>eyJoZGlkIjoiZjIxODY5ZmQ4NzRjMmVhOWE1NDFmYmY4MDIwY2YyNGYiLCJ1c2VySWQiOiIzODE3MjE5NDQifQ==</vt:lpwstr>
  </property>
</Properties>
</file>