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846A6">
      <w:pPr>
        <w:widowControl w:val="0"/>
        <w:jc w:val="distribute"/>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湖南浩元会计师事务所（普通合伙）</w:t>
      </w:r>
      <w:r>
        <w:rPr>
          <w:sz w:val="36"/>
        </w:rPr>
        <mc:AlternateContent>
          <mc:Choice Requires="wps">
            <w:drawing>
              <wp:anchor distT="0" distB="0" distL="114300" distR="114300" simplePos="0" relativeHeight="251662336" behindDoc="0" locked="0" layoutInCell="1" allowOverlap="1">
                <wp:simplePos x="0" y="0"/>
                <wp:positionH relativeFrom="column">
                  <wp:posOffset>5339715</wp:posOffset>
                </wp:positionH>
                <wp:positionV relativeFrom="paragraph">
                  <wp:posOffset>-565150</wp:posOffset>
                </wp:positionV>
                <wp:extent cx="666750" cy="592455"/>
                <wp:effectExtent l="0" t="0" r="0" b="17145"/>
                <wp:wrapNone/>
                <wp:docPr id="10" name="文本框 10"/>
                <wp:cNvGraphicFramePr/>
                <a:graphic xmlns:a="http://schemas.openxmlformats.org/drawingml/2006/main">
                  <a:graphicData uri="http://schemas.microsoft.com/office/word/2010/wordprocessingShape">
                    <wps:wsp>
                      <wps:cNvSpPr txBox="1"/>
                      <wps:spPr>
                        <a:xfrm>
                          <a:off x="0" y="0"/>
                          <a:ext cx="666750" cy="5924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DD29C4">
                            <w:pPr>
                              <w:jc w:val="center"/>
                              <w:rPr>
                                <w:rFonts w:hint="default"/>
                                <w:b/>
                                <w:bCs/>
                                <w:sz w:val="32"/>
                                <w:szCs w:val="32"/>
                                <w:lang w:val="en-US" w:eastAsia="zh-CN"/>
                              </w:rPr>
                            </w:pPr>
                            <w:r>
                              <w:rPr>
                                <w:rFonts w:hint="eastAsia"/>
                                <w:b/>
                                <w:bCs/>
                                <w:sz w:val="32"/>
                                <w:szCs w:val="32"/>
                                <w:lang w:val="en-US" w:eastAsia="zh-CN"/>
                              </w:rPr>
                              <w:t>D15</w:t>
                            </w:r>
                          </w:p>
                          <w:p w14:paraId="2C473F4B">
                            <w:pPr>
                              <w:jc w:val="center"/>
                              <w:rPr>
                                <w:rFonts w:hint="default"/>
                                <w:b/>
                                <w:bCs/>
                                <w:sz w:val="32"/>
                                <w:szCs w:val="3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0.45pt;margin-top:-44.5pt;height:46.65pt;width:52.5pt;z-index:251662336;mso-width-relative:page;mso-height-relative:page;" fillcolor="#FFFFFF [3201]" filled="t" stroked="f" coordsize="21600,21600" o:gfxdata="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Ja1t2tUAAAAJAQAADwAAAAAAAAAB&#10;ACAAAAAiAAAAZHJzL2Rvd25yZXYueG1sUEsBAhQAFAAAAAgAh07iQL3ZZDZMAgAAkAQAAA4AAAAA&#10;AAAAAQAgAAAAJAEAAGRycy9lMm9Eb2MueG1sUEsFBgAAAAAGAAYAWQEAAOIFAAAAAA==&#10;">
                <v:fill on="t" focussize="0,0"/>
                <v:stroke on="f" weight="0.5pt"/>
                <v:imagedata o:title=""/>
                <o:lock v:ext="edit" aspectratio="f"/>
                <v:textbox>
                  <w:txbxContent>
                    <w:p w14:paraId="47DD29C4">
                      <w:pPr>
                        <w:jc w:val="center"/>
                        <w:rPr>
                          <w:rFonts w:hint="default"/>
                          <w:b/>
                          <w:bCs/>
                          <w:sz w:val="32"/>
                          <w:szCs w:val="32"/>
                          <w:lang w:val="en-US" w:eastAsia="zh-CN"/>
                        </w:rPr>
                      </w:pPr>
                      <w:r>
                        <w:rPr>
                          <w:rFonts w:hint="eastAsia"/>
                          <w:b/>
                          <w:bCs/>
                          <w:sz w:val="32"/>
                          <w:szCs w:val="32"/>
                          <w:lang w:val="en-US" w:eastAsia="zh-CN"/>
                        </w:rPr>
                        <w:t>D15</w:t>
                      </w:r>
                    </w:p>
                    <w:p w14:paraId="2C473F4B">
                      <w:pPr>
                        <w:jc w:val="center"/>
                        <w:rPr>
                          <w:rFonts w:hint="default"/>
                          <w:b/>
                          <w:bCs/>
                          <w:sz w:val="32"/>
                          <w:szCs w:val="32"/>
                          <w:lang w:val="en-US" w:eastAsia="zh-CN"/>
                        </w:rPr>
                      </w:pPr>
                    </w:p>
                  </w:txbxContent>
                </v:textbox>
              </v:shape>
            </w:pict>
          </mc:Fallback>
        </mc:AlternateContent>
      </w:r>
    </w:p>
    <w:p w14:paraId="2EE52B05">
      <w:pPr>
        <w:widowControl w:val="0"/>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Hunan Haoyuan Certified Public Accountants GP</w:t>
      </w:r>
    </w:p>
    <w:p w14:paraId="05C4277D">
      <w:pPr>
        <w:widowControl w:val="0"/>
        <w:jc w:val="center"/>
        <w:rPr>
          <w:rFonts w:hint="eastAsia" w:ascii="仿宋" w:hAnsi="仿宋" w:eastAsia="仿宋" w:cs="仿宋"/>
          <w:sz w:val="32"/>
          <w:szCs w:val="32"/>
          <w:lang w:eastAsia="zh-CN"/>
        </w:rPr>
      </w:pPr>
    </w:p>
    <w:p w14:paraId="2CE24707">
      <w:pPr>
        <w:widowControl w:val="0"/>
        <w:jc w:val="both"/>
        <w:rPr>
          <w:rFonts w:hint="eastAsia" w:ascii="仿宋" w:hAnsi="仿宋" w:eastAsia="仿宋" w:cs="仿宋"/>
          <w:sz w:val="32"/>
          <w:szCs w:val="32"/>
          <w:lang w:eastAsia="zh-CN"/>
        </w:rPr>
      </w:pPr>
    </w:p>
    <w:p w14:paraId="4BA2C105">
      <w:pPr>
        <w:widowControl w:val="0"/>
        <w:jc w:val="both"/>
        <w:rPr>
          <w:rFonts w:hint="eastAsia" w:ascii="仿宋" w:hAnsi="仿宋" w:eastAsia="仿宋" w:cs="仿宋"/>
          <w:sz w:val="32"/>
          <w:szCs w:val="32"/>
          <w:lang w:eastAsia="zh-CN"/>
        </w:rPr>
      </w:pPr>
    </w:p>
    <w:p w14:paraId="7F0AE20D">
      <w:pPr>
        <w:widowControl w:val="0"/>
        <w:jc w:val="center"/>
        <w:rPr>
          <w:rFonts w:hint="eastAsia" w:ascii="方正隶二简体" w:hAnsi="方正隶二简体" w:eastAsia="方正隶二简体" w:cs="方正隶二简体"/>
          <w:sz w:val="72"/>
          <w:szCs w:val="72"/>
          <w:lang w:eastAsia="zh-CN"/>
        </w:rPr>
      </w:pPr>
      <w:r>
        <w:rPr>
          <w:rFonts w:hint="eastAsia" w:ascii="方正隶二简体" w:hAnsi="方正隶二简体" w:eastAsia="方正隶二简体" w:cs="方正隶二简体"/>
          <w:sz w:val="72"/>
          <w:szCs w:val="72"/>
          <w:lang w:val="en-US" w:eastAsia="zh-CN"/>
        </w:rPr>
        <w:t>绩效评价</w:t>
      </w:r>
      <w:r>
        <w:rPr>
          <w:rFonts w:hint="eastAsia" w:ascii="方正隶二简体" w:hAnsi="方正隶二简体" w:eastAsia="方正隶二简体" w:cs="方正隶二简体"/>
          <w:sz w:val="72"/>
          <w:szCs w:val="72"/>
          <w:lang w:eastAsia="zh-CN"/>
        </w:rPr>
        <w:t>报告</w:t>
      </w:r>
    </w:p>
    <w:p w14:paraId="59FC2698">
      <w:pPr>
        <w:widowControl w:val="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湘浩元</w:t>
      </w:r>
      <w:r>
        <w:rPr>
          <w:rFonts w:hint="eastAsia" w:ascii="仿宋" w:hAnsi="仿宋" w:eastAsia="仿宋" w:cs="仿宋"/>
          <w:sz w:val="32"/>
          <w:szCs w:val="32"/>
          <w:lang w:val="en-US" w:eastAsia="zh-CN"/>
        </w:rPr>
        <w:t>评</w:t>
      </w:r>
      <w:r>
        <w:rPr>
          <w:rFonts w:hint="eastAsia" w:ascii="仿宋" w:hAnsi="仿宋" w:eastAsia="仿宋" w:cs="仿宋"/>
          <w:sz w:val="32"/>
          <w:szCs w:val="32"/>
          <w:lang w:eastAsia="zh-CN"/>
        </w:rPr>
        <w:t>字[202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]第号</w:t>
      </w:r>
    </w:p>
    <w:p w14:paraId="5FA7B718">
      <w:pPr>
        <w:widowControl w:val="0"/>
        <w:jc w:val="center"/>
        <w:rPr>
          <w:rFonts w:hint="eastAsia" w:ascii="仿宋" w:hAnsi="仿宋" w:eastAsia="仿宋" w:cs="仿宋"/>
          <w:sz w:val="32"/>
          <w:szCs w:val="32"/>
          <w:lang w:eastAsia="zh-CN"/>
        </w:rPr>
      </w:pPr>
    </w:p>
    <w:p w14:paraId="24348FBC">
      <w:pPr>
        <w:widowControl w:val="0"/>
        <w:jc w:val="both"/>
        <w:rPr>
          <w:rFonts w:hint="eastAsia" w:ascii="仿宋" w:hAnsi="仿宋" w:eastAsia="仿宋" w:cs="仿宋"/>
          <w:sz w:val="32"/>
          <w:szCs w:val="32"/>
          <w:lang w:eastAsia="zh-CN"/>
        </w:rPr>
      </w:pPr>
    </w:p>
    <w:p w14:paraId="60A0E5B7">
      <w:pPr>
        <w:widowControl w:val="0"/>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2024年中共雁峰区委统一战线工作部</w:t>
      </w:r>
    </w:p>
    <w:p w14:paraId="08E74D41">
      <w:pPr>
        <w:widowControl w:val="0"/>
        <w:jc w:val="center"/>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部门整体支出</w:t>
      </w:r>
    </w:p>
    <w:p w14:paraId="4B8D29C5">
      <w:pPr>
        <w:keepNext w:val="0"/>
        <w:keepLines w:val="0"/>
        <w:pageBreakBefore w:val="0"/>
        <w:widowControl/>
        <w:kinsoku/>
        <w:wordWrap/>
        <w:overflowPunct/>
        <w:topLinePunct w:val="0"/>
        <w:autoSpaceDE/>
        <w:autoSpaceDN/>
        <w:bidi w:val="0"/>
        <w:adjustRightInd/>
        <w:snapToGrid/>
        <w:spacing w:before="567" w:line="360" w:lineRule="auto"/>
        <w:jc w:val="both"/>
        <w:textAlignment w:val="auto"/>
        <w:rPr>
          <w:rFonts w:hint="eastAsia" w:ascii="黑体" w:hAnsi="黑体" w:eastAsia="黑体" w:cs="黑体"/>
          <w:sz w:val="52"/>
          <w:szCs w:val="52"/>
          <w:u w:val="none"/>
          <w:lang w:eastAsia="zh-CN"/>
        </w:rPr>
      </w:pPr>
    </w:p>
    <w:p w14:paraId="73DC98A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textAlignment w:val="auto"/>
        <w:rPr>
          <w:rFonts w:hint="default"/>
          <w:u w:val="none"/>
          <w:lang w:val="en-US" w:eastAsia="zh-CN"/>
        </w:rPr>
      </w:pPr>
    </w:p>
    <w:p w14:paraId="568F011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u w:val="none"/>
          <w:lang w:val="en-US" w:eastAsia="zh-CN"/>
        </w:rPr>
      </w:pPr>
    </w:p>
    <w:p w14:paraId="69164F4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u w:val="none"/>
          <w:lang w:val="en-US" w:eastAsia="zh-CN"/>
        </w:rPr>
      </w:pPr>
    </w:p>
    <w:p w14:paraId="2214E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项目单位：中共雁峰区委统一战线工作部</w:t>
      </w:r>
    </w:p>
    <w:p w14:paraId="4665F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主管单位</w:t>
      </w:r>
      <w:r>
        <w:rPr>
          <w:rFonts w:hint="eastAsia" w:ascii="宋体" w:hAnsi="宋体" w:eastAsia="宋体" w:cs="宋体"/>
          <w:b/>
          <w:bCs/>
          <w:sz w:val="32"/>
          <w:szCs w:val="32"/>
          <w:highlight w:val="none"/>
          <w:u w:val="none"/>
          <w:lang w:val="en-US" w:eastAsia="zh-CN"/>
        </w:rPr>
        <w:t>：雁峰区人民政府</w:t>
      </w:r>
    </w:p>
    <w:p w14:paraId="7BC4045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sz w:val="32"/>
          <w:szCs w:val="32"/>
          <w:u w:val="none"/>
          <w:lang w:val="en-US" w:eastAsia="zh-CN"/>
        </w:rPr>
      </w:pPr>
      <w:r>
        <w:rPr>
          <w:rFonts w:hint="eastAsia" w:ascii="宋体" w:hAnsi="宋体" w:eastAsia="宋体" w:cs="宋体"/>
          <w:b/>
          <w:bCs/>
          <w:sz w:val="32"/>
          <w:szCs w:val="32"/>
          <w:u w:val="none"/>
          <w:lang w:val="en-US" w:eastAsia="zh-CN"/>
        </w:rPr>
        <w:t>委托单位：雁峰区财政局</w:t>
      </w:r>
    </w:p>
    <w:p w14:paraId="0179B9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bCs/>
          <w:sz w:val="32"/>
          <w:szCs w:val="32"/>
          <w:u w:val="none"/>
          <w:lang w:val="en-US" w:eastAsia="zh-CN"/>
        </w:rPr>
      </w:pPr>
      <w:r>
        <w:rPr>
          <w:rFonts w:hint="eastAsia" w:ascii="宋体" w:hAnsi="宋体" w:eastAsia="宋体" w:cs="宋体"/>
          <w:b/>
          <w:bCs/>
          <w:spacing w:val="320"/>
          <w:kern w:val="0"/>
          <w:sz w:val="32"/>
          <w:szCs w:val="32"/>
          <w:u w:val="none"/>
          <w:fitText w:val="1280" w:id="2085554003"/>
          <w:lang w:val="en-US" w:eastAsia="zh-CN"/>
        </w:rPr>
        <w:t>日</w:t>
      </w:r>
      <w:r>
        <w:rPr>
          <w:rFonts w:hint="eastAsia" w:ascii="宋体" w:hAnsi="宋体" w:eastAsia="宋体" w:cs="宋体"/>
          <w:b/>
          <w:bCs/>
          <w:spacing w:val="0"/>
          <w:kern w:val="0"/>
          <w:sz w:val="32"/>
          <w:szCs w:val="32"/>
          <w:u w:val="none"/>
          <w:fitText w:val="1280" w:id="2085554003"/>
          <w:lang w:val="en-US" w:eastAsia="zh-CN"/>
        </w:rPr>
        <w:t>期</w:t>
      </w:r>
      <w:r>
        <w:rPr>
          <w:rFonts w:hint="eastAsia" w:ascii="宋体" w:hAnsi="宋体" w:eastAsia="宋体" w:cs="宋体"/>
          <w:b/>
          <w:bCs/>
          <w:sz w:val="32"/>
          <w:szCs w:val="32"/>
          <w:u w:val="none"/>
          <w:lang w:val="en-US" w:eastAsia="zh-CN"/>
        </w:rPr>
        <w:t>：2025年7月23日</w:t>
      </w:r>
    </w:p>
    <w:p w14:paraId="482C60CD">
      <w:pPr>
        <w:pStyle w:val="8"/>
        <w:tabs>
          <w:tab w:val="right" w:leader="dot" w:pos="8306"/>
        </w:tabs>
        <w:ind w:firstLine="643" w:firstLineChars="200"/>
        <w:jc w:val="center"/>
        <w:rPr>
          <w:rFonts w:hint="default" w:asciiTheme="minorAscii" w:hAnsiTheme="minorAscii" w:eastAsiaTheme="minorEastAsia"/>
          <w:b/>
          <w:bCs/>
          <w:sz w:val="32"/>
          <w:szCs w:val="36"/>
          <w:u w:val="none"/>
          <w:lang w:val="en-US" w:eastAsia="zh-CN"/>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32" w:charSpace="0"/>
        </w:sectPr>
      </w:pPr>
    </w:p>
    <w:p w14:paraId="3EF9BD3A">
      <w:pPr>
        <w:pStyle w:val="8"/>
        <w:keepNext w:val="0"/>
        <w:keepLines w:val="0"/>
        <w:pageBreakBefore w:val="0"/>
        <w:widowControl/>
        <w:tabs>
          <w:tab w:val="center" w:pos="4210"/>
          <w:tab w:val="left" w:pos="5980"/>
          <w:tab w:val="right" w:leader="dot" w:pos="8300"/>
        </w:tabs>
        <w:kinsoku/>
        <w:wordWrap/>
        <w:overflowPunct/>
        <w:topLinePunct w:val="0"/>
        <w:autoSpaceDE/>
        <w:autoSpaceDN/>
        <w:bidi w:val="0"/>
        <w:adjustRightInd/>
        <w:snapToGrid/>
        <w:spacing w:line="560" w:lineRule="exact"/>
        <w:jc w:val="left"/>
        <w:textAlignment w:val="auto"/>
        <w:rPr>
          <w:rFonts w:hint="eastAsia"/>
          <w:sz w:val="36"/>
          <w:szCs w:val="36"/>
          <w:lang w:val="en-US" w:eastAsia="zh-CN"/>
        </w:rPr>
      </w:pPr>
      <w:r>
        <w:rPr>
          <w:rFonts w:hint="eastAsia"/>
          <w:kern w:val="0"/>
          <w:sz w:val="36"/>
          <w:szCs w:val="36"/>
          <w:lang w:val="en-US" w:eastAsia="zh-CN"/>
        </w:rPr>
        <w:tab/>
      </w:r>
      <w:r>
        <w:rPr>
          <w:rFonts w:hint="eastAsia" w:ascii="黑体" w:hAnsi="黑体" w:eastAsia="黑体" w:cs="黑体"/>
          <w:spacing w:val="360"/>
          <w:kern w:val="0"/>
          <w:sz w:val="36"/>
          <w:szCs w:val="36"/>
          <w:fitText w:val="1440" w:id="1955599196"/>
          <w:lang w:val="en-US" w:eastAsia="zh-CN"/>
        </w:rPr>
        <w:t>目</w:t>
      </w:r>
      <w:r>
        <w:rPr>
          <w:rFonts w:hint="eastAsia" w:ascii="黑体" w:hAnsi="黑体" w:eastAsia="黑体" w:cs="黑体"/>
          <w:spacing w:val="0"/>
          <w:kern w:val="0"/>
          <w:sz w:val="36"/>
          <w:szCs w:val="36"/>
          <w:fitText w:val="1440" w:id="1955599196"/>
          <w:lang w:val="en-US" w:eastAsia="zh-CN"/>
        </w:rPr>
        <w:t>录</w:t>
      </w:r>
      <w:r>
        <w:rPr>
          <w:rFonts w:hint="eastAsia" w:ascii="黑体" w:hAnsi="黑体" w:eastAsia="黑体" w:cs="黑体"/>
          <w:kern w:val="0"/>
          <w:sz w:val="36"/>
          <w:szCs w:val="36"/>
          <w:lang w:val="en-US" w:eastAsia="zh-CN"/>
        </w:rPr>
        <w:tab/>
      </w:r>
    </w:p>
    <w:p w14:paraId="6BB4D558">
      <w:pPr>
        <w:pStyle w:val="8"/>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 w:val="28"/>
          <w:szCs w:val="28"/>
          <w:lang w:val="en-US" w:eastAsia="zh-CN"/>
        </w:rPr>
        <w:fldChar w:fldCharType="begin"/>
      </w:r>
      <w:r>
        <w:rPr>
          <w:rFonts w:hint="default"/>
          <w:sz w:val="28"/>
          <w:szCs w:val="28"/>
          <w:lang w:val="en-US" w:eastAsia="zh-CN"/>
        </w:rPr>
        <w:instrText xml:space="preserve">TOC \o "1-3" \h \u </w:instrText>
      </w:r>
      <w:r>
        <w:rPr>
          <w:rFonts w:hint="default"/>
          <w:sz w:val="28"/>
          <w:szCs w:val="28"/>
          <w:lang w:val="en-US" w:eastAsia="zh-CN"/>
        </w:rPr>
        <w:fldChar w:fldCharType="separate"/>
      </w:r>
      <w:r>
        <w:rPr>
          <w:rFonts w:hint="default"/>
          <w:szCs w:val="28"/>
          <w:lang w:val="en-US" w:eastAsia="zh-CN"/>
        </w:rPr>
        <w:fldChar w:fldCharType="begin"/>
      </w:r>
      <w:r>
        <w:rPr>
          <w:rFonts w:hint="default"/>
          <w:szCs w:val="28"/>
          <w:lang w:val="en-US" w:eastAsia="zh-CN"/>
        </w:rPr>
        <w:instrText xml:space="preserve"> HYPERLINK \l _Toc14071 </w:instrText>
      </w:r>
      <w:r>
        <w:rPr>
          <w:rFonts w:hint="default"/>
          <w:szCs w:val="28"/>
          <w:lang w:val="en-US" w:eastAsia="zh-CN"/>
        </w:rPr>
        <w:fldChar w:fldCharType="separate"/>
      </w:r>
      <w:r>
        <w:rPr>
          <w:rFonts w:hint="eastAsia" w:ascii="黑体" w:hAnsi="黑体" w:eastAsia="黑体" w:cs="黑体"/>
          <w:szCs w:val="32"/>
          <w:lang w:eastAsia="zh-CN"/>
        </w:rPr>
        <w:t>一、</w:t>
      </w:r>
      <w:r>
        <w:rPr>
          <w:rFonts w:hint="eastAsia" w:ascii="黑体" w:hAnsi="黑体" w:eastAsia="黑体" w:cs="黑体"/>
          <w:szCs w:val="32"/>
          <w:lang w:val="en-US" w:eastAsia="zh-CN"/>
        </w:rPr>
        <w:t>绩效评价基本</w:t>
      </w:r>
      <w:r>
        <w:rPr>
          <w:rFonts w:hint="eastAsia" w:ascii="黑体" w:hAnsi="黑体" w:eastAsia="黑体" w:cs="黑体"/>
          <w:szCs w:val="32"/>
        </w:rPr>
        <w:t>情况</w:t>
      </w:r>
      <w:r>
        <w:tab/>
      </w:r>
      <w:r>
        <w:fldChar w:fldCharType="begin"/>
      </w:r>
      <w:r>
        <w:instrText xml:space="preserve"> PAGEREF _Toc14071 \h </w:instrText>
      </w:r>
      <w:r>
        <w:fldChar w:fldCharType="separate"/>
      </w:r>
      <w:r>
        <w:t>1</w:t>
      </w:r>
      <w:r>
        <w:fldChar w:fldCharType="end"/>
      </w:r>
      <w:r>
        <w:rPr>
          <w:rFonts w:hint="default"/>
          <w:szCs w:val="28"/>
          <w:lang w:val="en-US" w:eastAsia="zh-CN"/>
        </w:rPr>
        <w:fldChar w:fldCharType="end"/>
      </w:r>
    </w:p>
    <w:p w14:paraId="56286D31">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_Toc12999 </w:instrText>
      </w:r>
      <w:r>
        <w:rPr>
          <w:rFonts w:hint="default"/>
          <w:szCs w:val="28"/>
          <w:lang w:val="en-US" w:eastAsia="zh-CN"/>
        </w:rPr>
        <w:fldChar w:fldCharType="separate"/>
      </w:r>
      <w:r>
        <w:rPr>
          <w:rFonts w:hint="eastAsia" w:ascii="楷体" w:hAnsi="楷体" w:eastAsia="楷体" w:cs="楷体"/>
          <w:bCs/>
          <w:szCs w:val="32"/>
        </w:rPr>
        <w:t>（一）</w:t>
      </w:r>
      <w:r>
        <w:rPr>
          <w:rFonts w:hint="eastAsia" w:ascii="楷体" w:hAnsi="楷体" w:eastAsia="楷体" w:cs="楷体"/>
          <w:bCs/>
          <w:szCs w:val="32"/>
          <w:lang w:val="en-US" w:eastAsia="zh-CN"/>
        </w:rPr>
        <w:t>评价</w:t>
      </w:r>
      <w:r>
        <w:rPr>
          <w:rFonts w:hint="eastAsia" w:ascii="楷体" w:hAnsi="楷体" w:eastAsia="楷体" w:cs="楷体"/>
          <w:bCs/>
          <w:szCs w:val="32"/>
        </w:rPr>
        <w:t>对象和范围</w:t>
      </w:r>
      <w:r>
        <w:tab/>
      </w:r>
      <w:r>
        <w:fldChar w:fldCharType="begin"/>
      </w:r>
      <w:r>
        <w:instrText xml:space="preserve"> PAGEREF _Toc12999 \h </w:instrText>
      </w:r>
      <w:r>
        <w:fldChar w:fldCharType="separate"/>
      </w:r>
      <w:r>
        <w:t>1</w:t>
      </w:r>
      <w:r>
        <w:fldChar w:fldCharType="end"/>
      </w:r>
      <w:r>
        <w:rPr>
          <w:rFonts w:hint="default"/>
          <w:szCs w:val="28"/>
          <w:lang w:val="en-US" w:eastAsia="zh-CN"/>
        </w:rPr>
        <w:fldChar w:fldCharType="end"/>
      </w:r>
    </w:p>
    <w:p w14:paraId="1DF06362">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_Toc16140 </w:instrText>
      </w:r>
      <w:r>
        <w:rPr>
          <w:rFonts w:hint="default"/>
          <w:szCs w:val="28"/>
          <w:lang w:val="en-US" w:eastAsia="zh-CN"/>
        </w:rPr>
        <w:fldChar w:fldCharType="separate"/>
      </w:r>
      <w:r>
        <w:rPr>
          <w:rFonts w:hint="eastAsia" w:ascii="楷体" w:hAnsi="楷体" w:eastAsia="楷体" w:cs="楷体"/>
          <w:bCs/>
          <w:szCs w:val="32"/>
        </w:rPr>
        <w:t>（二）</w:t>
      </w:r>
      <w:r>
        <w:rPr>
          <w:rFonts w:hint="eastAsia" w:ascii="楷体" w:hAnsi="楷体" w:eastAsia="楷体" w:cs="楷体"/>
          <w:bCs/>
          <w:szCs w:val="32"/>
          <w:lang w:val="en-US" w:eastAsia="zh-CN"/>
        </w:rPr>
        <w:t>评价</w:t>
      </w:r>
      <w:r>
        <w:rPr>
          <w:rFonts w:hint="eastAsia" w:ascii="楷体" w:hAnsi="楷体" w:eastAsia="楷体" w:cs="楷体"/>
          <w:bCs/>
          <w:szCs w:val="32"/>
        </w:rPr>
        <w:t>依据</w:t>
      </w:r>
      <w:r>
        <w:tab/>
      </w:r>
      <w:r>
        <w:fldChar w:fldCharType="begin"/>
      </w:r>
      <w:r>
        <w:instrText xml:space="preserve"> PAGEREF _Toc16140 \h </w:instrText>
      </w:r>
      <w:r>
        <w:fldChar w:fldCharType="separate"/>
      </w:r>
      <w:r>
        <w:t>2</w:t>
      </w:r>
      <w:r>
        <w:fldChar w:fldCharType="end"/>
      </w:r>
      <w:r>
        <w:rPr>
          <w:rFonts w:hint="default"/>
          <w:szCs w:val="28"/>
          <w:lang w:val="en-US" w:eastAsia="zh-CN"/>
        </w:rPr>
        <w:fldChar w:fldCharType="end"/>
      </w:r>
    </w:p>
    <w:p w14:paraId="2D53501D">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_Toc2004 </w:instrText>
      </w:r>
      <w:r>
        <w:rPr>
          <w:rFonts w:hint="default"/>
          <w:szCs w:val="28"/>
          <w:lang w:val="en-US" w:eastAsia="zh-CN"/>
        </w:rPr>
        <w:fldChar w:fldCharType="separate"/>
      </w:r>
      <w:r>
        <w:rPr>
          <w:rFonts w:hint="eastAsia" w:ascii="楷体" w:hAnsi="楷体" w:eastAsia="楷体" w:cs="楷体"/>
          <w:bCs/>
          <w:szCs w:val="32"/>
        </w:rPr>
        <w:t>（三）</w:t>
      </w:r>
      <w:r>
        <w:rPr>
          <w:rFonts w:hint="eastAsia" w:ascii="楷体" w:hAnsi="楷体" w:eastAsia="楷体" w:cs="楷体"/>
          <w:bCs/>
          <w:szCs w:val="32"/>
          <w:lang w:val="en-US" w:eastAsia="zh-CN"/>
        </w:rPr>
        <w:t>评价方法和目的</w:t>
      </w:r>
      <w:r>
        <w:tab/>
      </w:r>
      <w:r>
        <w:fldChar w:fldCharType="begin"/>
      </w:r>
      <w:r>
        <w:instrText xml:space="preserve"> PAGEREF _Toc2004 \h </w:instrText>
      </w:r>
      <w:r>
        <w:fldChar w:fldCharType="separate"/>
      </w:r>
      <w:r>
        <w:t>3</w:t>
      </w:r>
      <w:r>
        <w:fldChar w:fldCharType="end"/>
      </w:r>
      <w:r>
        <w:rPr>
          <w:rFonts w:hint="default"/>
          <w:szCs w:val="28"/>
          <w:lang w:val="en-US" w:eastAsia="zh-CN"/>
        </w:rPr>
        <w:fldChar w:fldCharType="end"/>
      </w:r>
    </w:p>
    <w:p w14:paraId="2858E532">
      <w:pPr>
        <w:pStyle w:val="8"/>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_Toc24234 </w:instrText>
      </w:r>
      <w:r>
        <w:rPr>
          <w:rFonts w:hint="default"/>
          <w:szCs w:val="28"/>
          <w:lang w:val="en-US" w:eastAsia="zh-CN"/>
        </w:rPr>
        <w:fldChar w:fldCharType="separate"/>
      </w:r>
      <w:r>
        <w:rPr>
          <w:rFonts w:hint="eastAsia" w:ascii="黑体" w:hAnsi="黑体" w:eastAsia="黑体" w:cs="黑体"/>
          <w:szCs w:val="32"/>
          <w:lang w:eastAsia="zh-CN"/>
        </w:rPr>
        <w:t>二、</w:t>
      </w:r>
      <w:r>
        <w:rPr>
          <w:rFonts w:hint="eastAsia" w:ascii="黑体" w:hAnsi="黑体" w:eastAsia="黑体" w:cs="黑体"/>
          <w:szCs w:val="32"/>
          <w:lang w:val="en-US" w:eastAsia="zh-CN"/>
        </w:rPr>
        <w:t>部门基本</w:t>
      </w:r>
      <w:r>
        <w:rPr>
          <w:rFonts w:hint="eastAsia" w:ascii="黑体" w:hAnsi="黑体" w:eastAsia="黑体" w:cs="黑体"/>
          <w:szCs w:val="32"/>
          <w:lang w:eastAsia="zh-CN"/>
        </w:rPr>
        <w:t>情况</w:t>
      </w:r>
      <w:r>
        <w:tab/>
      </w:r>
      <w:r>
        <w:fldChar w:fldCharType="begin"/>
      </w:r>
      <w:r>
        <w:instrText xml:space="preserve"> PAGEREF _Toc24234 \h </w:instrText>
      </w:r>
      <w:r>
        <w:fldChar w:fldCharType="separate"/>
      </w:r>
      <w:r>
        <w:t>4</w:t>
      </w:r>
      <w:r>
        <w:fldChar w:fldCharType="end"/>
      </w:r>
      <w:r>
        <w:rPr>
          <w:rFonts w:hint="default"/>
          <w:szCs w:val="28"/>
          <w:lang w:val="en-US" w:eastAsia="zh-CN"/>
        </w:rPr>
        <w:fldChar w:fldCharType="end"/>
      </w:r>
    </w:p>
    <w:p w14:paraId="69F5088C">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_Toc6346 </w:instrText>
      </w:r>
      <w:r>
        <w:rPr>
          <w:rFonts w:hint="default"/>
          <w:szCs w:val="28"/>
          <w:lang w:val="en-US" w:eastAsia="zh-CN"/>
        </w:rPr>
        <w:fldChar w:fldCharType="separate"/>
      </w:r>
      <w:r>
        <w:rPr>
          <w:rFonts w:hint="eastAsia" w:ascii="楷体" w:hAnsi="楷体" w:eastAsia="楷体" w:cs="楷体"/>
          <w:bCs/>
          <w:szCs w:val="32"/>
          <w:lang w:val="en-US" w:eastAsia="zh-CN"/>
        </w:rPr>
        <w:t>（一）</w:t>
      </w:r>
      <w:r>
        <w:rPr>
          <w:rFonts w:hint="eastAsia" w:ascii="楷体" w:hAnsi="楷体" w:eastAsia="楷体" w:cs="楷体"/>
          <w:bCs/>
          <w:szCs w:val="32"/>
          <w:lang w:eastAsia="zh-CN"/>
        </w:rPr>
        <w:t>部门</w:t>
      </w:r>
      <w:r>
        <w:rPr>
          <w:rFonts w:hint="eastAsia" w:ascii="楷体" w:hAnsi="楷体" w:eastAsia="楷体" w:cs="楷体"/>
          <w:bCs/>
          <w:szCs w:val="32"/>
          <w:lang w:val="en-US" w:eastAsia="zh-CN"/>
        </w:rPr>
        <w:t>基本信息</w:t>
      </w:r>
      <w:r>
        <w:tab/>
      </w:r>
      <w:r>
        <w:fldChar w:fldCharType="begin"/>
      </w:r>
      <w:r>
        <w:instrText xml:space="preserve"> PAGEREF _Toc6346 \h </w:instrText>
      </w:r>
      <w:r>
        <w:fldChar w:fldCharType="separate"/>
      </w:r>
      <w:r>
        <w:t>4</w:t>
      </w:r>
      <w:r>
        <w:fldChar w:fldCharType="end"/>
      </w:r>
      <w:r>
        <w:rPr>
          <w:rFonts w:hint="default"/>
          <w:szCs w:val="28"/>
          <w:lang w:val="en-US" w:eastAsia="zh-CN"/>
        </w:rPr>
        <w:fldChar w:fldCharType="end"/>
      </w:r>
    </w:p>
    <w:p w14:paraId="0FC04DCD">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_Toc30705 </w:instrText>
      </w:r>
      <w:r>
        <w:rPr>
          <w:rFonts w:hint="default"/>
          <w:szCs w:val="28"/>
          <w:lang w:val="en-US" w:eastAsia="zh-CN"/>
        </w:rPr>
        <w:fldChar w:fldCharType="separate"/>
      </w:r>
      <w:r>
        <w:rPr>
          <w:rFonts w:hint="eastAsia" w:ascii="楷体" w:hAnsi="楷体" w:eastAsia="楷体" w:cs="楷体"/>
          <w:bCs/>
          <w:szCs w:val="32"/>
          <w:lang w:eastAsia="zh-CN"/>
        </w:rPr>
        <w:t>（</w:t>
      </w:r>
      <w:r>
        <w:rPr>
          <w:rFonts w:hint="eastAsia" w:ascii="楷体" w:hAnsi="楷体" w:eastAsia="楷体" w:cs="楷体"/>
          <w:bCs/>
          <w:szCs w:val="32"/>
          <w:lang w:val="en-US" w:eastAsia="zh-CN"/>
        </w:rPr>
        <w:t>二</w:t>
      </w:r>
      <w:r>
        <w:rPr>
          <w:rFonts w:hint="eastAsia" w:ascii="楷体" w:hAnsi="楷体" w:eastAsia="楷体" w:cs="楷体"/>
          <w:bCs/>
          <w:szCs w:val="32"/>
          <w:lang w:eastAsia="zh-CN"/>
        </w:rPr>
        <w:t>）部门</w:t>
      </w:r>
      <w:r>
        <w:rPr>
          <w:rFonts w:hint="eastAsia" w:ascii="楷体" w:hAnsi="楷体" w:eastAsia="楷体" w:cs="楷体"/>
          <w:bCs/>
          <w:szCs w:val="32"/>
          <w:lang w:val="en-US" w:eastAsia="zh-CN"/>
        </w:rPr>
        <w:t>主要职责</w:t>
      </w:r>
      <w:r>
        <w:tab/>
      </w:r>
      <w:r>
        <w:fldChar w:fldCharType="begin"/>
      </w:r>
      <w:r>
        <w:instrText xml:space="preserve"> PAGEREF _Toc30705 \h </w:instrText>
      </w:r>
      <w:r>
        <w:fldChar w:fldCharType="separate"/>
      </w:r>
      <w:r>
        <w:t>4</w:t>
      </w:r>
      <w:r>
        <w:fldChar w:fldCharType="end"/>
      </w:r>
      <w:r>
        <w:rPr>
          <w:rFonts w:hint="default"/>
          <w:szCs w:val="28"/>
          <w:lang w:val="en-US" w:eastAsia="zh-CN"/>
        </w:rPr>
        <w:fldChar w:fldCharType="end"/>
      </w:r>
    </w:p>
    <w:p w14:paraId="690EC801">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_Toc5532 </w:instrText>
      </w:r>
      <w:r>
        <w:rPr>
          <w:rFonts w:hint="default"/>
          <w:szCs w:val="28"/>
          <w:lang w:val="en-US" w:eastAsia="zh-CN"/>
        </w:rPr>
        <w:fldChar w:fldCharType="separate"/>
      </w:r>
      <w:r>
        <w:rPr>
          <w:rFonts w:hint="eastAsia" w:ascii="楷体" w:hAnsi="楷体" w:eastAsia="楷体" w:cs="楷体"/>
          <w:bCs/>
          <w:szCs w:val="32"/>
          <w:lang w:eastAsia="zh-CN"/>
        </w:rPr>
        <w:t>（</w:t>
      </w:r>
      <w:r>
        <w:rPr>
          <w:rFonts w:hint="eastAsia" w:ascii="楷体" w:hAnsi="楷体" w:eastAsia="楷体" w:cs="楷体"/>
          <w:bCs/>
          <w:szCs w:val="32"/>
          <w:lang w:val="en-US" w:eastAsia="zh-CN"/>
        </w:rPr>
        <w:t>三</w:t>
      </w:r>
      <w:r>
        <w:rPr>
          <w:rFonts w:hint="eastAsia" w:ascii="楷体" w:hAnsi="楷体" w:eastAsia="楷体" w:cs="楷体"/>
          <w:bCs/>
          <w:szCs w:val="32"/>
          <w:lang w:eastAsia="zh-CN"/>
        </w:rPr>
        <w:t>）</w:t>
      </w:r>
      <w:r>
        <w:rPr>
          <w:rFonts w:hint="eastAsia" w:ascii="楷体" w:hAnsi="楷体" w:eastAsia="楷体" w:cs="楷体"/>
          <w:bCs/>
          <w:szCs w:val="32"/>
          <w:lang w:val="en-US" w:eastAsia="zh-CN"/>
        </w:rPr>
        <w:t>部门</w:t>
      </w:r>
      <w:r>
        <w:rPr>
          <w:rFonts w:hint="eastAsia" w:ascii="楷体" w:hAnsi="楷体" w:eastAsia="楷体" w:cs="楷体"/>
          <w:bCs/>
          <w:szCs w:val="32"/>
          <w:lang w:eastAsia="zh-CN"/>
        </w:rPr>
        <w:t>组织架构与人员</w:t>
      </w:r>
      <w:r>
        <w:tab/>
      </w:r>
      <w:r>
        <w:fldChar w:fldCharType="begin"/>
      </w:r>
      <w:r>
        <w:instrText xml:space="preserve"> PAGEREF _Toc5532 \h </w:instrText>
      </w:r>
      <w:r>
        <w:fldChar w:fldCharType="separate"/>
      </w:r>
      <w:r>
        <w:t>5</w:t>
      </w:r>
      <w:r>
        <w:fldChar w:fldCharType="end"/>
      </w:r>
      <w:r>
        <w:rPr>
          <w:rFonts w:hint="default"/>
          <w:szCs w:val="28"/>
          <w:lang w:val="en-US" w:eastAsia="zh-CN"/>
        </w:rPr>
        <w:fldChar w:fldCharType="end"/>
      </w:r>
    </w:p>
    <w:p w14:paraId="0868407C">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_Toc8232 </w:instrText>
      </w:r>
      <w:r>
        <w:rPr>
          <w:rFonts w:hint="default"/>
          <w:szCs w:val="28"/>
          <w:lang w:val="en-US" w:eastAsia="zh-CN"/>
        </w:rPr>
        <w:fldChar w:fldCharType="separate"/>
      </w:r>
      <w:r>
        <w:rPr>
          <w:rFonts w:hint="eastAsia" w:ascii="楷体" w:hAnsi="楷体" w:eastAsia="楷体" w:cs="楷体"/>
          <w:bCs/>
          <w:szCs w:val="32"/>
          <w:lang w:val="en-US" w:eastAsia="zh-CN"/>
        </w:rPr>
        <w:t>（四）部门2024年度职责履行及履职效益</w:t>
      </w:r>
      <w:r>
        <w:tab/>
      </w:r>
      <w:r>
        <w:fldChar w:fldCharType="begin"/>
      </w:r>
      <w:r>
        <w:instrText xml:space="preserve"> PAGEREF _Toc8232 \h </w:instrText>
      </w:r>
      <w:r>
        <w:fldChar w:fldCharType="separate"/>
      </w:r>
      <w:r>
        <w:t>5</w:t>
      </w:r>
      <w:r>
        <w:fldChar w:fldCharType="end"/>
      </w:r>
      <w:r>
        <w:rPr>
          <w:rFonts w:hint="default"/>
          <w:szCs w:val="28"/>
          <w:lang w:val="en-US" w:eastAsia="zh-CN"/>
        </w:rPr>
        <w:fldChar w:fldCharType="end"/>
      </w:r>
    </w:p>
    <w:p w14:paraId="33AC1D90">
      <w:pPr>
        <w:pStyle w:val="8"/>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_Toc22281 </w:instrText>
      </w:r>
      <w:r>
        <w:rPr>
          <w:rFonts w:hint="default"/>
          <w:szCs w:val="28"/>
          <w:lang w:val="en-US" w:eastAsia="zh-CN"/>
        </w:rPr>
        <w:fldChar w:fldCharType="separate"/>
      </w:r>
      <w:r>
        <w:rPr>
          <w:rFonts w:hint="eastAsia" w:ascii="黑体" w:hAnsi="黑体" w:eastAsia="黑体" w:cs="黑体"/>
          <w:szCs w:val="32"/>
          <w:lang w:eastAsia="zh-CN"/>
        </w:rPr>
        <w:t>三、部门</w:t>
      </w:r>
      <w:r>
        <w:rPr>
          <w:rFonts w:hint="eastAsia" w:ascii="黑体" w:hAnsi="黑体" w:eastAsia="黑体" w:cs="黑体"/>
          <w:szCs w:val="32"/>
          <w:lang w:val="en-US" w:eastAsia="zh-CN"/>
        </w:rPr>
        <w:t>预算及</w:t>
      </w:r>
      <w:r>
        <w:rPr>
          <w:rFonts w:hint="eastAsia" w:ascii="黑体" w:hAnsi="黑体" w:eastAsia="黑体" w:cs="黑体"/>
          <w:szCs w:val="32"/>
          <w:lang w:eastAsia="zh-CN"/>
        </w:rPr>
        <w:t>整体支出概况</w:t>
      </w:r>
      <w:r>
        <w:tab/>
      </w:r>
      <w:r>
        <w:fldChar w:fldCharType="begin"/>
      </w:r>
      <w:r>
        <w:instrText xml:space="preserve"> PAGEREF _Toc22281 \h </w:instrText>
      </w:r>
      <w:r>
        <w:fldChar w:fldCharType="separate"/>
      </w:r>
      <w:r>
        <w:t>11</w:t>
      </w:r>
      <w:r>
        <w:fldChar w:fldCharType="end"/>
      </w:r>
      <w:r>
        <w:rPr>
          <w:rFonts w:hint="default"/>
          <w:szCs w:val="28"/>
          <w:lang w:val="en-US" w:eastAsia="zh-CN"/>
        </w:rPr>
        <w:fldChar w:fldCharType="end"/>
      </w:r>
    </w:p>
    <w:p w14:paraId="30775592">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_Toc27465 </w:instrText>
      </w:r>
      <w:r>
        <w:rPr>
          <w:rFonts w:hint="default"/>
          <w:szCs w:val="28"/>
          <w:lang w:val="en-US" w:eastAsia="zh-CN"/>
        </w:rPr>
        <w:fldChar w:fldCharType="separate"/>
      </w:r>
      <w:r>
        <w:rPr>
          <w:rFonts w:hint="eastAsia" w:ascii="楷体" w:hAnsi="楷体" w:eastAsia="楷体" w:cs="楷体"/>
          <w:bCs/>
          <w:szCs w:val="32"/>
          <w:lang w:eastAsia="zh-CN"/>
        </w:rPr>
        <w:t>（一）预算</w:t>
      </w:r>
      <w:r>
        <w:rPr>
          <w:rFonts w:hint="eastAsia" w:ascii="楷体" w:hAnsi="楷体" w:eastAsia="楷体" w:cs="楷体"/>
          <w:bCs/>
          <w:szCs w:val="32"/>
          <w:lang w:val="en-US" w:eastAsia="zh-CN"/>
        </w:rPr>
        <w:t>配置</w:t>
      </w:r>
      <w:r>
        <w:rPr>
          <w:rFonts w:hint="eastAsia" w:ascii="楷体" w:hAnsi="楷体" w:eastAsia="楷体" w:cs="楷体"/>
          <w:bCs/>
          <w:szCs w:val="32"/>
          <w:lang w:eastAsia="zh-CN"/>
        </w:rPr>
        <w:t>情况</w:t>
      </w:r>
      <w:r>
        <w:rPr>
          <w:rFonts w:hint="eastAsia" w:ascii="楷体" w:hAnsi="楷体" w:eastAsia="楷体" w:cs="楷体"/>
          <w:bCs/>
          <w:szCs w:val="32"/>
          <w:lang w:val="en-US" w:eastAsia="zh-CN"/>
        </w:rPr>
        <w:t>及分析</w:t>
      </w:r>
      <w:r>
        <w:tab/>
      </w:r>
      <w:r>
        <w:fldChar w:fldCharType="begin"/>
      </w:r>
      <w:r>
        <w:instrText xml:space="preserve"> PAGEREF _Toc27465 \h </w:instrText>
      </w:r>
      <w:r>
        <w:fldChar w:fldCharType="separate"/>
      </w:r>
      <w:r>
        <w:t>11</w:t>
      </w:r>
      <w:r>
        <w:fldChar w:fldCharType="end"/>
      </w:r>
      <w:r>
        <w:rPr>
          <w:rFonts w:hint="default"/>
          <w:szCs w:val="28"/>
          <w:lang w:val="en-US" w:eastAsia="zh-CN"/>
        </w:rPr>
        <w:fldChar w:fldCharType="end"/>
      </w:r>
    </w:p>
    <w:p w14:paraId="4F8ED7AC">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_Toc3729 </w:instrText>
      </w:r>
      <w:r>
        <w:rPr>
          <w:rFonts w:hint="default"/>
          <w:szCs w:val="28"/>
          <w:lang w:val="en-US" w:eastAsia="zh-CN"/>
        </w:rPr>
        <w:fldChar w:fldCharType="separate"/>
      </w:r>
      <w:r>
        <w:rPr>
          <w:rFonts w:hint="eastAsia" w:ascii="楷体" w:hAnsi="楷体" w:eastAsia="楷体" w:cs="楷体"/>
          <w:bCs/>
          <w:szCs w:val="32"/>
          <w:lang w:eastAsia="zh-CN"/>
        </w:rPr>
        <w:t>（二）预算执行</w:t>
      </w:r>
      <w:r>
        <w:rPr>
          <w:rFonts w:hint="eastAsia" w:ascii="楷体" w:hAnsi="楷体" w:eastAsia="楷体" w:cs="楷体"/>
          <w:bCs/>
          <w:szCs w:val="32"/>
          <w:lang w:val="en-US" w:eastAsia="zh-CN"/>
        </w:rPr>
        <w:t>情况及分析</w:t>
      </w:r>
      <w:r>
        <w:tab/>
      </w:r>
      <w:r>
        <w:fldChar w:fldCharType="begin"/>
      </w:r>
      <w:r>
        <w:instrText xml:space="preserve"> PAGEREF _Toc3729 \h </w:instrText>
      </w:r>
      <w:r>
        <w:fldChar w:fldCharType="separate"/>
      </w:r>
      <w:r>
        <w:t>14</w:t>
      </w:r>
      <w:r>
        <w:fldChar w:fldCharType="end"/>
      </w:r>
      <w:r>
        <w:rPr>
          <w:rFonts w:hint="default"/>
          <w:szCs w:val="28"/>
          <w:lang w:val="en-US" w:eastAsia="zh-CN"/>
        </w:rPr>
        <w:fldChar w:fldCharType="end"/>
      </w:r>
    </w:p>
    <w:p w14:paraId="5FDAC57D">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_Toc9361 </w:instrText>
      </w:r>
      <w:r>
        <w:rPr>
          <w:rFonts w:hint="default"/>
          <w:szCs w:val="28"/>
          <w:lang w:val="en-US" w:eastAsia="zh-CN"/>
        </w:rPr>
        <w:fldChar w:fldCharType="separate"/>
      </w:r>
      <w:r>
        <w:rPr>
          <w:rFonts w:hint="eastAsia" w:ascii="仿宋" w:hAnsi="仿宋" w:eastAsia="仿宋" w:cs="仿宋"/>
          <w:bCs/>
          <w:szCs w:val="32"/>
          <w:lang w:val="en-US" w:eastAsia="zh-CN"/>
        </w:rPr>
        <w:t>（三）</w:t>
      </w:r>
      <w:r>
        <w:rPr>
          <w:rFonts w:hint="eastAsia" w:ascii="楷体" w:hAnsi="楷体" w:eastAsia="楷体" w:cs="楷体"/>
          <w:bCs/>
          <w:szCs w:val="32"/>
          <w:lang w:val="en-US" w:eastAsia="zh-CN"/>
        </w:rPr>
        <w:t>各类支出汇总及分析</w:t>
      </w:r>
      <w:r>
        <w:tab/>
      </w:r>
      <w:r>
        <w:fldChar w:fldCharType="begin"/>
      </w:r>
      <w:r>
        <w:instrText xml:space="preserve"> PAGEREF _Toc9361 \h </w:instrText>
      </w:r>
      <w:r>
        <w:fldChar w:fldCharType="separate"/>
      </w:r>
      <w:r>
        <w:t>20</w:t>
      </w:r>
      <w:r>
        <w:fldChar w:fldCharType="end"/>
      </w:r>
      <w:r>
        <w:rPr>
          <w:rFonts w:hint="default"/>
          <w:szCs w:val="28"/>
          <w:lang w:val="en-US" w:eastAsia="zh-CN"/>
        </w:rPr>
        <w:fldChar w:fldCharType="end"/>
      </w:r>
    </w:p>
    <w:p w14:paraId="2C7FE886">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_Toc17202 </w:instrText>
      </w:r>
      <w:r>
        <w:rPr>
          <w:rFonts w:hint="default"/>
          <w:szCs w:val="28"/>
          <w:lang w:val="en-US" w:eastAsia="zh-CN"/>
        </w:rPr>
        <w:fldChar w:fldCharType="separate"/>
      </w:r>
      <w:r>
        <w:rPr>
          <w:rFonts w:hint="eastAsia" w:ascii="楷体" w:hAnsi="楷体" w:eastAsia="楷体" w:cs="楷体"/>
          <w:bCs/>
          <w:szCs w:val="32"/>
          <w:lang w:val="en-US" w:eastAsia="zh-CN"/>
        </w:rPr>
        <w:t>（四）</w:t>
      </w:r>
      <w:r>
        <w:rPr>
          <w:rFonts w:hint="eastAsia" w:ascii="楷体" w:hAnsi="楷体" w:eastAsia="楷体" w:cs="楷体"/>
          <w:bCs/>
          <w:szCs w:val="32"/>
          <w:lang w:eastAsia="zh-CN"/>
        </w:rPr>
        <w:t>预算</w:t>
      </w:r>
      <w:r>
        <w:rPr>
          <w:rFonts w:hint="eastAsia" w:ascii="楷体" w:hAnsi="楷体" w:eastAsia="楷体" w:cs="楷体"/>
          <w:bCs/>
          <w:szCs w:val="32"/>
          <w:lang w:val="en-US" w:eastAsia="zh-CN"/>
        </w:rPr>
        <w:t>管理情况及分析</w:t>
      </w:r>
      <w:r>
        <w:tab/>
      </w:r>
      <w:r>
        <w:fldChar w:fldCharType="begin"/>
      </w:r>
      <w:r>
        <w:instrText xml:space="preserve"> PAGEREF _Toc17202 \h </w:instrText>
      </w:r>
      <w:r>
        <w:fldChar w:fldCharType="separate"/>
      </w:r>
      <w:r>
        <w:t>29</w:t>
      </w:r>
      <w:r>
        <w:fldChar w:fldCharType="end"/>
      </w:r>
      <w:r>
        <w:rPr>
          <w:rFonts w:hint="default"/>
          <w:szCs w:val="28"/>
          <w:lang w:val="en-US" w:eastAsia="zh-CN"/>
        </w:rPr>
        <w:fldChar w:fldCharType="end"/>
      </w:r>
    </w:p>
    <w:p w14:paraId="177416D4">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_Toc25821 </w:instrText>
      </w:r>
      <w:r>
        <w:rPr>
          <w:rFonts w:hint="default"/>
          <w:szCs w:val="28"/>
          <w:lang w:val="en-US" w:eastAsia="zh-CN"/>
        </w:rPr>
        <w:fldChar w:fldCharType="separate"/>
      </w:r>
      <w:r>
        <w:rPr>
          <w:rFonts w:hint="eastAsia" w:ascii="楷体" w:hAnsi="楷体" w:eastAsia="楷体" w:cs="楷体"/>
          <w:bCs/>
          <w:szCs w:val="32"/>
          <w:lang w:val="en-US" w:eastAsia="zh-CN"/>
        </w:rPr>
        <w:t>（五）工资管理情况及分析</w:t>
      </w:r>
      <w:r>
        <w:tab/>
      </w:r>
      <w:r>
        <w:fldChar w:fldCharType="begin"/>
      </w:r>
      <w:r>
        <w:instrText xml:space="preserve"> PAGEREF _Toc25821 \h </w:instrText>
      </w:r>
      <w:r>
        <w:fldChar w:fldCharType="separate"/>
      </w:r>
      <w:r>
        <w:t>30</w:t>
      </w:r>
      <w:r>
        <w:fldChar w:fldCharType="end"/>
      </w:r>
      <w:r>
        <w:rPr>
          <w:rFonts w:hint="default"/>
          <w:szCs w:val="28"/>
          <w:lang w:val="en-US" w:eastAsia="zh-CN"/>
        </w:rPr>
        <w:fldChar w:fldCharType="end"/>
      </w:r>
    </w:p>
    <w:p w14:paraId="2AD07D16">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_Toc26855 </w:instrText>
      </w:r>
      <w:r>
        <w:rPr>
          <w:rFonts w:hint="default"/>
          <w:szCs w:val="28"/>
          <w:lang w:val="en-US" w:eastAsia="zh-CN"/>
        </w:rPr>
        <w:fldChar w:fldCharType="separate"/>
      </w:r>
      <w:r>
        <w:rPr>
          <w:rFonts w:hint="eastAsia" w:ascii="仿宋" w:hAnsi="仿宋" w:eastAsia="仿宋" w:cs="仿宋"/>
          <w:bCs/>
          <w:szCs w:val="32"/>
          <w:lang w:val="en-US" w:eastAsia="zh-CN"/>
        </w:rPr>
        <w:t>（六）</w:t>
      </w:r>
      <w:r>
        <w:rPr>
          <w:rFonts w:hint="eastAsia" w:ascii="楷体" w:hAnsi="楷体" w:eastAsia="楷体" w:cs="楷体"/>
          <w:bCs/>
          <w:szCs w:val="32"/>
          <w:lang w:val="en-US" w:eastAsia="zh-CN"/>
        </w:rPr>
        <w:t>项目支出管理情况及分析</w:t>
      </w:r>
      <w:r>
        <w:tab/>
      </w:r>
      <w:r>
        <w:fldChar w:fldCharType="begin"/>
      </w:r>
      <w:r>
        <w:instrText xml:space="preserve"> PAGEREF _Toc26855 \h </w:instrText>
      </w:r>
      <w:r>
        <w:fldChar w:fldCharType="separate"/>
      </w:r>
      <w:r>
        <w:t>32</w:t>
      </w:r>
      <w:r>
        <w:fldChar w:fldCharType="end"/>
      </w:r>
      <w:r>
        <w:rPr>
          <w:rFonts w:hint="default"/>
          <w:szCs w:val="28"/>
          <w:lang w:val="en-US" w:eastAsia="zh-CN"/>
        </w:rPr>
        <w:fldChar w:fldCharType="end"/>
      </w:r>
    </w:p>
    <w:p w14:paraId="022D3709">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_Toc15513 </w:instrText>
      </w:r>
      <w:r>
        <w:rPr>
          <w:rFonts w:hint="default"/>
          <w:szCs w:val="28"/>
          <w:lang w:val="en-US" w:eastAsia="zh-CN"/>
        </w:rPr>
        <w:fldChar w:fldCharType="separate"/>
      </w:r>
      <w:r>
        <w:rPr>
          <w:rFonts w:hint="eastAsia" w:ascii="楷体" w:hAnsi="楷体" w:eastAsia="楷体" w:cs="楷体"/>
          <w:bCs/>
          <w:szCs w:val="32"/>
          <w:highlight w:val="none"/>
          <w:lang w:val="en-US" w:eastAsia="zh-CN"/>
        </w:rPr>
        <w:t>（七）固定资产管理情况及分析</w:t>
      </w:r>
      <w:r>
        <w:tab/>
      </w:r>
      <w:r>
        <w:fldChar w:fldCharType="begin"/>
      </w:r>
      <w:r>
        <w:instrText xml:space="preserve"> PAGEREF _Toc15513 \h </w:instrText>
      </w:r>
      <w:r>
        <w:fldChar w:fldCharType="separate"/>
      </w:r>
      <w:r>
        <w:t>36</w:t>
      </w:r>
      <w:r>
        <w:fldChar w:fldCharType="end"/>
      </w:r>
      <w:r>
        <w:rPr>
          <w:rFonts w:hint="default"/>
          <w:szCs w:val="28"/>
          <w:lang w:val="en-US" w:eastAsia="zh-CN"/>
        </w:rPr>
        <w:fldChar w:fldCharType="end"/>
      </w:r>
    </w:p>
    <w:p w14:paraId="62A3E79F">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_Toc4414 </w:instrText>
      </w:r>
      <w:r>
        <w:rPr>
          <w:rFonts w:hint="default"/>
          <w:szCs w:val="28"/>
          <w:lang w:val="en-US" w:eastAsia="zh-CN"/>
        </w:rPr>
        <w:fldChar w:fldCharType="separate"/>
      </w:r>
      <w:r>
        <w:rPr>
          <w:rFonts w:hint="eastAsia" w:ascii="楷体" w:hAnsi="楷体" w:eastAsia="楷体" w:cs="楷体"/>
          <w:bCs/>
          <w:szCs w:val="32"/>
          <w:highlight w:val="none"/>
          <w:lang w:val="en-US" w:eastAsia="zh-CN"/>
        </w:rPr>
        <w:t>（八）厉行节约保障措施的执行情况及其政策效果</w:t>
      </w:r>
      <w:r>
        <w:tab/>
      </w:r>
      <w:r>
        <w:fldChar w:fldCharType="begin"/>
      </w:r>
      <w:r>
        <w:instrText xml:space="preserve"> PAGEREF _Toc4414 \h </w:instrText>
      </w:r>
      <w:r>
        <w:fldChar w:fldCharType="separate"/>
      </w:r>
      <w:r>
        <w:t>38</w:t>
      </w:r>
      <w:r>
        <w:fldChar w:fldCharType="end"/>
      </w:r>
      <w:r>
        <w:rPr>
          <w:rFonts w:hint="default"/>
          <w:szCs w:val="28"/>
          <w:lang w:val="en-US" w:eastAsia="zh-CN"/>
        </w:rPr>
        <w:fldChar w:fldCharType="end"/>
      </w:r>
    </w:p>
    <w:p w14:paraId="671420F5">
      <w:pPr>
        <w:pStyle w:val="8"/>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_Toc5777 </w:instrText>
      </w:r>
      <w:r>
        <w:rPr>
          <w:rFonts w:hint="default"/>
          <w:szCs w:val="28"/>
          <w:lang w:val="en-US" w:eastAsia="zh-CN"/>
        </w:rPr>
        <w:fldChar w:fldCharType="separate"/>
      </w:r>
      <w:r>
        <w:rPr>
          <w:rFonts w:hint="eastAsia" w:ascii="黑体" w:hAnsi="黑体" w:eastAsia="黑体" w:cs="黑体"/>
          <w:szCs w:val="32"/>
          <w:lang w:val="en-US" w:eastAsia="zh-CN"/>
        </w:rPr>
        <w:t>四</w:t>
      </w:r>
      <w:r>
        <w:rPr>
          <w:rFonts w:hint="eastAsia" w:ascii="黑体" w:hAnsi="黑体" w:eastAsia="黑体" w:cs="黑体"/>
          <w:szCs w:val="32"/>
          <w:lang w:eastAsia="zh-CN"/>
        </w:rPr>
        <w:t>、</w:t>
      </w:r>
      <w:r>
        <w:rPr>
          <w:rFonts w:hint="eastAsia" w:ascii="黑体" w:hAnsi="黑体" w:eastAsia="黑体" w:cs="黑体"/>
          <w:szCs w:val="32"/>
          <w:lang w:val="en-US" w:eastAsia="zh-CN"/>
        </w:rPr>
        <w:t>部门</w:t>
      </w:r>
      <w:r>
        <w:rPr>
          <w:rFonts w:hint="eastAsia" w:ascii="黑体" w:hAnsi="黑体" w:eastAsia="黑体" w:cs="黑体"/>
          <w:szCs w:val="32"/>
          <w:lang w:eastAsia="zh-CN"/>
        </w:rPr>
        <w:t>绩效目标</w:t>
      </w:r>
      <w:r>
        <w:tab/>
      </w:r>
      <w:r>
        <w:fldChar w:fldCharType="begin"/>
      </w:r>
      <w:r>
        <w:instrText xml:space="preserve"> PAGEREF _Toc5777 \h </w:instrText>
      </w:r>
      <w:r>
        <w:fldChar w:fldCharType="separate"/>
      </w:r>
      <w:r>
        <w:t>40</w:t>
      </w:r>
      <w:r>
        <w:fldChar w:fldCharType="end"/>
      </w:r>
      <w:r>
        <w:rPr>
          <w:rFonts w:hint="default"/>
          <w:szCs w:val="28"/>
          <w:lang w:val="en-US" w:eastAsia="zh-CN"/>
        </w:rPr>
        <w:fldChar w:fldCharType="end"/>
      </w:r>
    </w:p>
    <w:p w14:paraId="345290FD">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_Toc25985 </w:instrText>
      </w:r>
      <w:r>
        <w:rPr>
          <w:rFonts w:hint="default"/>
          <w:szCs w:val="28"/>
          <w:lang w:val="en-US" w:eastAsia="zh-CN"/>
        </w:rPr>
        <w:fldChar w:fldCharType="separate"/>
      </w:r>
      <w:r>
        <w:rPr>
          <w:rFonts w:hint="eastAsia" w:ascii="楷体" w:hAnsi="楷体" w:eastAsia="楷体" w:cs="楷体"/>
          <w:bCs/>
          <w:szCs w:val="32"/>
          <w:lang w:eastAsia="zh-CN"/>
        </w:rPr>
        <w:t>（一）总体目标</w:t>
      </w:r>
      <w:r>
        <w:tab/>
      </w:r>
      <w:r>
        <w:fldChar w:fldCharType="begin"/>
      </w:r>
      <w:r>
        <w:instrText xml:space="preserve"> PAGEREF _Toc25985 \h </w:instrText>
      </w:r>
      <w:r>
        <w:fldChar w:fldCharType="separate"/>
      </w:r>
      <w:r>
        <w:t>40</w:t>
      </w:r>
      <w:r>
        <w:fldChar w:fldCharType="end"/>
      </w:r>
      <w:r>
        <w:rPr>
          <w:rFonts w:hint="default"/>
          <w:szCs w:val="28"/>
          <w:lang w:val="en-US" w:eastAsia="zh-CN"/>
        </w:rPr>
        <w:fldChar w:fldCharType="end"/>
      </w:r>
    </w:p>
    <w:p w14:paraId="4FAE23AB">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_Toc25062 </w:instrText>
      </w:r>
      <w:r>
        <w:rPr>
          <w:rFonts w:hint="default"/>
          <w:szCs w:val="28"/>
          <w:lang w:val="en-US" w:eastAsia="zh-CN"/>
        </w:rPr>
        <w:fldChar w:fldCharType="separate"/>
      </w:r>
      <w:r>
        <w:rPr>
          <w:rFonts w:hint="eastAsia" w:ascii="楷体" w:hAnsi="楷体" w:eastAsia="楷体" w:cs="楷体"/>
          <w:bCs/>
          <w:szCs w:val="32"/>
          <w:lang w:val="en-US" w:eastAsia="zh-CN"/>
        </w:rPr>
        <w:t>（二）细化绩效指标</w:t>
      </w:r>
      <w:r>
        <w:tab/>
      </w:r>
      <w:r>
        <w:fldChar w:fldCharType="begin"/>
      </w:r>
      <w:r>
        <w:instrText xml:space="preserve"> PAGEREF _Toc25062 \h </w:instrText>
      </w:r>
      <w:r>
        <w:fldChar w:fldCharType="separate"/>
      </w:r>
      <w:r>
        <w:t>40</w:t>
      </w:r>
      <w:r>
        <w:fldChar w:fldCharType="end"/>
      </w:r>
      <w:r>
        <w:rPr>
          <w:rFonts w:hint="default"/>
          <w:szCs w:val="28"/>
          <w:lang w:val="en-US" w:eastAsia="zh-CN"/>
        </w:rPr>
        <w:fldChar w:fldCharType="end"/>
      </w:r>
    </w:p>
    <w:p w14:paraId="7225EEFA">
      <w:pPr>
        <w:pStyle w:val="8"/>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_Toc24391 </w:instrText>
      </w:r>
      <w:r>
        <w:rPr>
          <w:rFonts w:hint="default"/>
          <w:szCs w:val="28"/>
          <w:lang w:val="en-US" w:eastAsia="zh-CN"/>
        </w:rPr>
        <w:fldChar w:fldCharType="separate"/>
      </w:r>
      <w:r>
        <w:rPr>
          <w:rFonts w:hint="eastAsia" w:ascii="黑体" w:hAnsi="黑体" w:eastAsia="黑体" w:cs="黑体"/>
          <w:szCs w:val="32"/>
          <w:highlight w:val="none"/>
          <w:lang w:val="en-US" w:eastAsia="zh-CN"/>
        </w:rPr>
        <w:t>五、部门</w:t>
      </w:r>
      <w:r>
        <w:rPr>
          <w:rFonts w:hint="eastAsia" w:ascii="黑体" w:hAnsi="黑体" w:eastAsia="黑体" w:cs="黑体"/>
          <w:szCs w:val="32"/>
          <w:highlight w:val="none"/>
          <w:lang w:eastAsia="zh-CN"/>
        </w:rPr>
        <w:t>绩效考评情况</w:t>
      </w:r>
      <w:r>
        <w:tab/>
      </w:r>
      <w:r>
        <w:fldChar w:fldCharType="begin"/>
      </w:r>
      <w:r>
        <w:instrText xml:space="preserve"> PAGEREF _Toc24391 \h </w:instrText>
      </w:r>
      <w:r>
        <w:fldChar w:fldCharType="separate"/>
      </w:r>
      <w:r>
        <w:t>41</w:t>
      </w:r>
      <w:r>
        <w:fldChar w:fldCharType="end"/>
      </w:r>
      <w:r>
        <w:rPr>
          <w:rFonts w:hint="default"/>
          <w:szCs w:val="28"/>
          <w:lang w:val="en-US" w:eastAsia="zh-CN"/>
        </w:rPr>
        <w:fldChar w:fldCharType="end"/>
      </w:r>
    </w:p>
    <w:p w14:paraId="4964B665">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_Toc17641 </w:instrText>
      </w:r>
      <w:r>
        <w:rPr>
          <w:rFonts w:hint="default"/>
          <w:szCs w:val="28"/>
          <w:lang w:val="en-US" w:eastAsia="zh-CN"/>
        </w:rPr>
        <w:fldChar w:fldCharType="separate"/>
      </w:r>
      <w:r>
        <w:rPr>
          <w:rFonts w:hint="eastAsia" w:ascii="楷体" w:hAnsi="楷体" w:eastAsia="楷体" w:cs="楷体"/>
          <w:bCs/>
          <w:szCs w:val="32"/>
          <w:lang w:val="en-US" w:eastAsia="zh-CN"/>
        </w:rPr>
        <w:t>（一）评价框架</w:t>
      </w:r>
      <w:r>
        <w:tab/>
      </w:r>
      <w:r>
        <w:fldChar w:fldCharType="begin"/>
      </w:r>
      <w:r>
        <w:instrText xml:space="preserve"> PAGEREF _Toc17641 \h </w:instrText>
      </w:r>
      <w:r>
        <w:fldChar w:fldCharType="separate"/>
      </w:r>
      <w:r>
        <w:t>41</w:t>
      </w:r>
      <w:r>
        <w:fldChar w:fldCharType="end"/>
      </w:r>
      <w:r>
        <w:rPr>
          <w:rFonts w:hint="default"/>
          <w:szCs w:val="28"/>
          <w:lang w:val="en-US" w:eastAsia="zh-CN"/>
        </w:rPr>
        <w:fldChar w:fldCharType="end"/>
      </w:r>
    </w:p>
    <w:p w14:paraId="650C3BDB">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_Toc6756 </w:instrText>
      </w:r>
      <w:r>
        <w:rPr>
          <w:rFonts w:hint="default"/>
          <w:szCs w:val="28"/>
          <w:lang w:val="en-US" w:eastAsia="zh-CN"/>
        </w:rPr>
        <w:fldChar w:fldCharType="separate"/>
      </w:r>
      <w:r>
        <w:rPr>
          <w:rFonts w:hint="eastAsia" w:ascii="楷体" w:hAnsi="楷体" w:eastAsia="楷体" w:cs="楷体"/>
          <w:bCs/>
          <w:szCs w:val="32"/>
          <w:highlight w:val="none"/>
          <w:lang w:val="en-US" w:eastAsia="zh-CN"/>
        </w:rPr>
        <w:t>（二）评价分析</w:t>
      </w:r>
      <w:r>
        <w:tab/>
      </w:r>
      <w:r>
        <w:fldChar w:fldCharType="begin"/>
      </w:r>
      <w:r>
        <w:instrText xml:space="preserve"> PAGEREF _Toc6756 \h </w:instrText>
      </w:r>
      <w:r>
        <w:fldChar w:fldCharType="separate"/>
      </w:r>
      <w:r>
        <w:t>42</w:t>
      </w:r>
      <w:r>
        <w:fldChar w:fldCharType="end"/>
      </w:r>
      <w:r>
        <w:rPr>
          <w:rFonts w:hint="default"/>
          <w:szCs w:val="28"/>
          <w:lang w:val="en-US" w:eastAsia="zh-CN"/>
        </w:rPr>
        <w:fldChar w:fldCharType="end"/>
      </w:r>
    </w:p>
    <w:p w14:paraId="5851C4E4">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_Toc26554 </w:instrText>
      </w:r>
      <w:r>
        <w:rPr>
          <w:rFonts w:hint="default"/>
          <w:szCs w:val="28"/>
          <w:lang w:val="en-US" w:eastAsia="zh-CN"/>
        </w:rPr>
        <w:fldChar w:fldCharType="separate"/>
      </w:r>
      <w:r>
        <w:rPr>
          <w:rFonts w:hint="eastAsia" w:ascii="楷体" w:hAnsi="楷体" w:eastAsia="楷体" w:cs="楷体"/>
          <w:bCs/>
          <w:szCs w:val="32"/>
          <w:lang w:val="en-US" w:eastAsia="zh-CN"/>
        </w:rPr>
        <w:t>（三）评价结果</w:t>
      </w:r>
      <w:r>
        <w:tab/>
      </w:r>
      <w:r>
        <w:fldChar w:fldCharType="begin"/>
      </w:r>
      <w:r>
        <w:instrText xml:space="preserve"> PAGEREF _Toc26554 \h </w:instrText>
      </w:r>
      <w:r>
        <w:fldChar w:fldCharType="separate"/>
      </w:r>
      <w:r>
        <w:t>48</w:t>
      </w:r>
      <w:r>
        <w:fldChar w:fldCharType="end"/>
      </w:r>
      <w:r>
        <w:rPr>
          <w:rFonts w:hint="default"/>
          <w:szCs w:val="28"/>
          <w:lang w:val="en-US" w:eastAsia="zh-CN"/>
        </w:rPr>
        <w:fldChar w:fldCharType="end"/>
      </w:r>
    </w:p>
    <w:p w14:paraId="409E34FC">
      <w:pPr>
        <w:pStyle w:val="8"/>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_Toc13209 </w:instrText>
      </w:r>
      <w:r>
        <w:rPr>
          <w:rFonts w:hint="default"/>
          <w:szCs w:val="28"/>
          <w:lang w:val="en-US" w:eastAsia="zh-CN"/>
        </w:rPr>
        <w:fldChar w:fldCharType="separate"/>
      </w:r>
      <w:r>
        <w:rPr>
          <w:rFonts w:hint="eastAsia" w:ascii="黑体" w:hAnsi="黑体" w:eastAsia="黑体" w:cs="黑体"/>
          <w:szCs w:val="32"/>
          <w:lang w:val="en-US" w:eastAsia="zh-CN"/>
        </w:rPr>
        <w:t>六</w:t>
      </w:r>
      <w:r>
        <w:rPr>
          <w:rFonts w:hint="eastAsia" w:ascii="黑体" w:hAnsi="黑体" w:eastAsia="黑体" w:cs="黑体"/>
          <w:szCs w:val="32"/>
          <w:lang w:eastAsia="zh-CN"/>
        </w:rPr>
        <w:t>、存在问题与改进建议</w:t>
      </w:r>
      <w:r>
        <w:tab/>
      </w:r>
      <w:r>
        <w:fldChar w:fldCharType="begin"/>
      </w:r>
      <w:r>
        <w:instrText xml:space="preserve"> PAGEREF _Toc13209 \h </w:instrText>
      </w:r>
      <w:r>
        <w:fldChar w:fldCharType="separate"/>
      </w:r>
      <w:r>
        <w:t>48</w:t>
      </w:r>
      <w:r>
        <w:fldChar w:fldCharType="end"/>
      </w:r>
      <w:r>
        <w:rPr>
          <w:rFonts w:hint="default"/>
          <w:szCs w:val="28"/>
          <w:lang w:val="en-US" w:eastAsia="zh-CN"/>
        </w:rPr>
        <w:fldChar w:fldCharType="end"/>
      </w:r>
    </w:p>
    <w:p w14:paraId="554D7BF0">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_Toc7373 </w:instrText>
      </w:r>
      <w:r>
        <w:rPr>
          <w:rFonts w:hint="default"/>
          <w:szCs w:val="28"/>
          <w:lang w:val="en-US" w:eastAsia="zh-CN"/>
        </w:rPr>
        <w:fldChar w:fldCharType="separate"/>
      </w:r>
      <w:r>
        <w:rPr>
          <w:rFonts w:hint="eastAsia" w:ascii="楷体" w:hAnsi="楷体" w:eastAsia="楷体" w:cs="楷体"/>
          <w:bCs/>
          <w:szCs w:val="32"/>
          <w:lang w:val="en-US" w:eastAsia="zh-CN"/>
        </w:rPr>
        <w:t>（一）预算配置与执行方面存在的问题及建议</w:t>
      </w:r>
      <w:r>
        <w:tab/>
      </w:r>
      <w:r>
        <w:fldChar w:fldCharType="begin"/>
      </w:r>
      <w:r>
        <w:instrText xml:space="preserve"> PAGEREF _Toc7373 \h </w:instrText>
      </w:r>
      <w:r>
        <w:fldChar w:fldCharType="separate"/>
      </w:r>
      <w:r>
        <w:t>48</w:t>
      </w:r>
      <w:r>
        <w:fldChar w:fldCharType="end"/>
      </w:r>
      <w:r>
        <w:rPr>
          <w:rFonts w:hint="default"/>
          <w:szCs w:val="28"/>
          <w:lang w:val="en-US" w:eastAsia="zh-CN"/>
        </w:rPr>
        <w:fldChar w:fldCharType="end"/>
      </w:r>
    </w:p>
    <w:p w14:paraId="77A25A2C">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_Toc363 </w:instrText>
      </w:r>
      <w:r>
        <w:rPr>
          <w:rFonts w:hint="default"/>
          <w:szCs w:val="28"/>
          <w:lang w:val="en-US" w:eastAsia="zh-CN"/>
        </w:rPr>
        <w:fldChar w:fldCharType="separate"/>
      </w:r>
      <w:r>
        <w:rPr>
          <w:rFonts w:hint="eastAsia" w:ascii="楷体" w:hAnsi="楷体" w:eastAsia="楷体" w:cs="楷体"/>
          <w:bCs/>
          <w:szCs w:val="32"/>
          <w:lang w:val="en-US" w:eastAsia="zh-CN"/>
        </w:rPr>
        <w:t>（二）管理程序方面存在的问题及建议</w:t>
      </w:r>
      <w:r>
        <w:tab/>
      </w:r>
      <w:r>
        <w:fldChar w:fldCharType="begin"/>
      </w:r>
      <w:r>
        <w:instrText xml:space="preserve"> PAGEREF _Toc363 \h </w:instrText>
      </w:r>
      <w:r>
        <w:fldChar w:fldCharType="separate"/>
      </w:r>
      <w:r>
        <w:t>56</w:t>
      </w:r>
      <w:r>
        <w:fldChar w:fldCharType="end"/>
      </w:r>
      <w:r>
        <w:rPr>
          <w:rFonts w:hint="default"/>
          <w:szCs w:val="28"/>
          <w:lang w:val="en-US" w:eastAsia="zh-CN"/>
        </w:rPr>
        <w:fldChar w:fldCharType="end"/>
      </w:r>
    </w:p>
    <w:p w14:paraId="17E897CD">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_Toc7889 </w:instrText>
      </w:r>
      <w:r>
        <w:rPr>
          <w:rFonts w:hint="default"/>
          <w:szCs w:val="28"/>
          <w:lang w:val="en-US" w:eastAsia="zh-CN"/>
        </w:rPr>
        <w:fldChar w:fldCharType="separate"/>
      </w:r>
      <w:r>
        <w:rPr>
          <w:rFonts w:hint="eastAsia" w:ascii="楷体" w:hAnsi="楷体" w:eastAsia="楷体" w:cs="楷体"/>
          <w:bCs/>
          <w:szCs w:val="32"/>
          <w:lang w:val="en-US" w:eastAsia="zh-CN"/>
        </w:rPr>
        <w:t>（三）人员经费方面存在的问题及建议</w:t>
      </w:r>
      <w:r>
        <w:tab/>
      </w:r>
      <w:r>
        <w:fldChar w:fldCharType="begin"/>
      </w:r>
      <w:r>
        <w:instrText xml:space="preserve"> PAGEREF _Toc7889 \h </w:instrText>
      </w:r>
      <w:r>
        <w:fldChar w:fldCharType="separate"/>
      </w:r>
      <w:r>
        <w:t>61</w:t>
      </w:r>
      <w:r>
        <w:fldChar w:fldCharType="end"/>
      </w:r>
      <w:r>
        <w:rPr>
          <w:rFonts w:hint="default"/>
          <w:szCs w:val="28"/>
          <w:lang w:val="en-US" w:eastAsia="zh-CN"/>
        </w:rPr>
        <w:fldChar w:fldCharType="end"/>
      </w:r>
    </w:p>
    <w:p w14:paraId="2DEF20ED">
      <w:pPr>
        <w:pStyle w:val="9"/>
        <w:keepNext w:val="0"/>
        <w:keepLines w:val="0"/>
        <w:pageBreakBefore w:val="0"/>
        <w:widowControl/>
        <w:tabs>
          <w:tab w:val="right" w:leader="dot" w:pos="8300"/>
        </w:tabs>
        <w:kinsoku/>
        <w:wordWrap/>
        <w:overflowPunct/>
        <w:topLinePunct w:val="0"/>
        <w:autoSpaceDE/>
        <w:autoSpaceDN/>
        <w:bidi w:val="0"/>
        <w:adjustRightInd/>
        <w:snapToGrid/>
        <w:spacing w:line="560" w:lineRule="exact"/>
        <w:textAlignment w:val="auto"/>
      </w:pPr>
      <w:r>
        <w:rPr>
          <w:rFonts w:hint="default"/>
          <w:szCs w:val="28"/>
          <w:lang w:val="en-US" w:eastAsia="zh-CN"/>
        </w:rPr>
        <w:fldChar w:fldCharType="begin"/>
      </w:r>
      <w:r>
        <w:rPr>
          <w:rFonts w:hint="default"/>
          <w:szCs w:val="28"/>
          <w:lang w:val="en-US" w:eastAsia="zh-CN"/>
        </w:rPr>
        <w:instrText xml:space="preserve"> HYPERLINK \l _Toc8459 </w:instrText>
      </w:r>
      <w:r>
        <w:rPr>
          <w:rFonts w:hint="default"/>
          <w:szCs w:val="28"/>
          <w:lang w:val="en-US" w:eastAsia="zh-CN"/>
        </w:rPr>
        <w:fldChar w:fldCharType="separate"/>
      </w:r>
      <w:r>
        <w:rPr>
          <w:rFonts w:hint="eastAsia" w:ascii="楷体" w:hAnsi="楷体" w:eastAsia="楷体" w:cs="楷体"/>
          <w:bCs/>
          <w:szCs w:val="32"/>
          <w:lang w:val="en-US" w:eastAsia="zh-CN"/>
        </w:rPr>
        <w:t>（四）项目管理方面存在的问题及建议</w:t>
      </w:r>
      <w:r>
        <w:tab/>
      </w:r>
      <w:r>
        <w:fldChar w:fldCharType="begin"/>
      </w:r>
      <w:r>
        <w:instrText xml:space="preserve"> PAGEREF _Toc8459 \h </w:instrText>
      </w:r>
      <w:r>
        <w:fldChar w:fldCharType="separate"/>
      </w:r>
      <w:r>
        <w:t>76</w:t>
      </w:r>
      <w:r>
        <w:fldChar w:fldCharType="end"/>
      </w:r>
      <w:r>
        <w:rPr>
          <w:rFonts w:hint="default"/>
          <w:szCs w:val="28"/>
          <w:lang w:val="en-US" w:eastAsia="zh-CN"/>
        </w:rPr>
        <w:fldChar w:fldCharType="end"/>
      </w:r>
    </w:p>
    <w:p w14:paraId="7FD67802">
      <w:pPr>
        <w:keepNext w:val="0"/>
        <w:keepLines w:val="0"/>
        <w:pageBreakBefore w:val="0"/>
        <w:widowControl/>
        <w:tabs>
          <w:tab w:val="left" w:pos="475"/>
        </w:tabs>
        <w:kinsoku/>
        <w:wordWrap/>
        <w:overflowPunct/>
        <w:topLinePunct w:val="0"/>
        <w:autoSpaceDE/>
        <w:autoSpaceDN/>
        <w:bidi w:val="0"/>
        <w:adjustRightInd/>
        <w:snapToGrid/>
        <w:spacing w:line="560" w:lineRule="exact"/>
        <w:textAlignment w:val="auto"/>
        <w:rPr>
          <w:rFonts w:hint="default"/>
          <w:sz w:val="28"/>
          <w:szCs w:val="28"/>
          <w:lang w:val="en-US" w:eastAsia="zh-CN"/>
        </w:rPr>
      </w:pPr>
      <w:r>
        <w:rPr>
          <w:rFonts w:hint="default"/>
          <w:szCs w:val="28"/>
          <w:lang w:val="en-US" w:eastAsia="zh-CN"/>
        </w:rPr>
        <w:fldChar w:fldCharType="end"/>
      </w:r>
      <w:r>
        <w:rPr>
          <w:rFonts w:hint="eastAsia"/>
          <w:sz w:val="28"/>
          <w:szCs w:val="28"/>
          <w:lang w:val="en-US" w:eastAsia="zh-CN"/>
        </w:rPr>
        <w:tab/>
      </w:r>
    </w:p>
    <w:p w14:paraId="6A3BD969">
      <w:pPr>
        <w:pStyle w:val="9"/>
        <w:tabs>
          <w:tab w:val="left" w:pos="2694"/>
        </w:tabs>
        <w:rPr>
          <w:rFonts w:hint="default" w:asciiTheme="minorHAnsi" w:hAnsiTheme="minorHAnsi" w:eastAsiaTheme="minorEastAsia" w:cstheme="minorBidi"/>
          <w:kern w:val="0"/>
          <w:sz w:val="28"/>
          <w:szCs w:val="28"/>
          <w:lang w:val="en-US" w:eastAsia="zh-CN" w:bidi="ar"/>
        </w:rPr>
      </w:pPr>
      <w:r>
        <w:rPr>
          <w:rFonts w:hint="eastAsia" w:cstheme="minorBidi"/>
          <w:kern w:val="0"/>
          <w:sz w:val="28"/>
          <w:szCs w:val="28"/>
          <w:lang w:val="en-US" w:eastAsia="zh-CN" w:bidi="ar"/>
        </w:rPr>
        <w:tab/>
      </w:r>
    </w:p>
    <w:p w14:paraId="6C01F959">
      <w:pPr>
        <w:bidi w:val="0"/>
        <w:rPr>
          <w:rFonts w:hint="default"/>
          <w:lang w:val="en-US" w:eastAsia="zh-CN"/>
        </w:rPr>
      </w:pPr>
    </w:p>
    <w:p w14:paraId="23CB58C1">
      <w:pPr>
        <w:tabs>
          <w:tab w:val="left" w:pos="7025"/>
        </w:tabs>
        <w:bidi w:val="0"/>
        <w:jc w:val="left"/>
        <w:rPr>
          <w:rFonts w:hint="default"/>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32" w:charSpace="0"/>
        </w:sectPr>
      </w:pPr>
      <w:r>
        <w:rPr>
          <w:rFonts w:hint="eastAsia"/>
          <w:lang w:val="en-US" w:eastAsia="zh-CN"/>
        </w:rPr>
        <w:tab/>
      </w:r>
    </w:p>
    <w:p w14:paraId="3FA2BB84">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2024年中共雁峰区委统一战线工作部</w:t>
      </w:r>
    </w:p>
    <w:p w14:paraId="72E89298">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部门整体支出绩效评价报告</w:t>
      </w:r>
    </w:p>
    <w:p w14:paraId="1A4E3C1E">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（征求意见稿）</w:t>
      </w:r>
    </w:p>
    <w:p w14:paraId="18CF867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湘浩元</w:t>
      </w:r>
      <w:r>
        <w:rPr>
          <w:rFonts w:hint="eastAsia" w:ascii="仿宋" w:hAnsi="仿宋" w:eastAsia="仿宋" w:cs="仿宋"/>
          <w:sz w:val="32"/>
          <w:szCs w:val="32"/>
          <w:lang w:val="en-US" w:eastAsia="zh-CN"/>
        </w:rPr>
        <w:t>评</w:t>
      </w:r>
      <w:r>
        <w:rPr>
          <w:rFonts w:hint="eastAsia" w:ascii="仿宋" w:hAnsi="仿宋" w:eastAsia="仿宋" w:cs="仿宋"/>
          <w:sz w:val="32"/>
          <w:szCs w:val="32"/>
          <w:lang w:eastAsia="zh-CN"/>
        </w:rPr>
        <w:t>字[202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]第</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号</w:t>
      </w:r>
    </w:p>
    <w:p w14:paraId="684608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雁峰区财政局：</w:t>
      </w:r>
    </w:p>
    <w:p w14:paraId="69ABBD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们接受委托，对2024年中共雁峰区委统一战线工作部（以下简称“区委统战部”）部门整体支出进行了绩效评价。建立健全内部控制制度，保护资金与资产的安全和完整，保证会计资料和其他绩效评价的相关资料的真实性、合法性和完整性，是区委统战部的责任。我们的责任是在区委统战部提供资料基础上，对2024年的部门整体支出绩效进行评价。</w:t>
      </w:r>
    </w:p>
    <w:p w14:paraId="46E904E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在评价过程中，我们按照《中国注册会计师执业准则》相关规定进行，根据独立、客观、公正的原则，实施了包括听取情况介绍、进行实地核查、发放调查问卷、对照复核等方式，对有关情况和基础材料进行核实与分析等我们认为必要的评价程序。绩效评价工作已完成，现报告如下</w:t>
      </w:r>
      <w:bookmarkStart w:id="0" w:name="_Toc11075"/>
      <w:r>
        <w:rPr>
          <w:rFonts w:hint="eastAsia" w:ascii="仿宋" w:hAnsi="仿宋" w:eastAsia="仿宋" w:cs="仿宋"/>
          <w:sz w:val="32"/>
          <w:szCs w:val="32"/>
          <w:lang w:val="en-US" w:eastAsia="zh-CN"/>
        </w:rPr>
        <w:t>：</w:t>
      </w:r>
    </w:p>
    <w:p w14:paraId="63EE632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 w:hAnsi="仿宋" w:eastAsia="仿宋" w:cs="仿宋"/>
          <w:sz w:val="32"/>
          <w:szCs w:val="32"/>
        </w:rPr>
      </w:pPr>
      <w:bookmarkStart w:id="1" w:name="_Toc18591"/>
      <w:bookmarkStart w:id="2" w:name="_Toc14071"/>
      <w:bookmarkStart w:id="3" w:name="_Toc20127"/>
      <w:bookmarkStart w:id="4" w:name="_Toc9891"/>
      <w:r>
        <w:rPr>
          <w:rFonts w:hint="eastAsia" w:ascii="黑体" w:hAnsi="黑体" w:eastAsia="黑体" w:cs="黑体"/>
          <w:sz w:val="32"/>
          <w:szCs w:val="32"/>
          <w:lang w:eastAsia="zh-CN"/>
        </w:rPr>
        <w:t>一、</w:t>
      </w:r>
      <w:r>
        <w:rPr>
          <w:rFonts w:hint="eastAsia" w:ascii="黑体" w:hAnsi="黑体" w:eastAsia="黑体" w:cs="黑体"/>
          <w:sz w:val="32"/>
          <w:szCs w:val="32"/>
          <w:lang w:val="en-US" w:eastAsia="zh-CN"/>
        </w:rPr>
        <w:t>绩效评价基本</w:t>
      </w:r>
      <w:r>
        <w:rPr>
          <w:rFonts w:hint="eastAsia" w:ascii="黑体" w:hAnsi="黑体" w:eastAsia="黑体" w:cs="黑体"/>
          <w:sz w:val="32"/>
          <w:szCs w:val="32"/>
        </w:rPr>
        <w:t>情况</w:t>
      </w:r>
      <w:bookmarkEnd w:id="1"/>
      <w:bookmarkEnd w:id="2"/>
      <w:bookmarkEnd w:id="3"/>
      <w:bookmarkEnd w:id="4"/>
    </w:p>
    <w:p w14:paraId="2FBD8C1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rPr>
      </w:pPr>
      <w:bookmarkStart w:id="5" w:name="_Toc3257"/>
      <w:bookmarkStart w:id="6" w:name="_Toc12999"/>
      <w:bookmarkStart w:id="7" w:name="_Toc2812"/>
      <w:bookmarkStart w:id="8" w:name="_Toc26464"/>
      <w:bookmarkStart w:id="9" w:name="_Toc13350"/>
      <w:r>
        <w:rPr>
          <w:rFonts w:hint="eastAsia" w:ascii="楷体" w:hAnsi="楷体" w:eastAsia="楷体" w:cs="楷体"/>
          <w:b/>
          <w:bCs/>
          <w:sz w:val="32"/>
          <w:szCs w:val="32"/>
        </w:rPr>
        <w:t>（一）</w:t>
      </w:r>
      <w:r>
        <w:rPr>
          <w:rFonts w:hint="eastAsia" w:ascii="楷体" w:hAnsi="楷体" w:eastAsia="楷体" w:cs="楷体"/>
          <w:b/>
          <w:bCs/>
          <w:sz w:val="32"/>
          <w:szCs w:val="32"/>
          <w:lang w:val="en-US" w:eastAsia="zh-CN"/>
        </w:rPr>
        <w:t>评价</w:t>
      </w:r>
      <w:r>
        <w:rPr>
          <w:rFonts w:hint="eastAsia" w:ascii="楷体" w:hAnsi="楷体" w:eastAsia="楷体" w:cs="楷体"/>
          <w:b/>
          <w:bCs/>
          <w:sz w:val="32"/>
          <w:szCs w:val="32"/>
        </w:rPr>
        <w:t>对象和范围</w:t>
      </w:r>
      <w:bookmarkEnd w:id="5"/>
      <w:bookmarkEnd w:id="6"/>
      <w:bookmarkEnd w:id="7"/>
      <w:bookmarkEnd w:id="8"/>
      <w:bookmarkEnd w:id="9"/>
    </w:p>
    <w:p w14:paraId="068AC20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bookmarkStart w:id="10" w:name="_Toc29635"/>
      <w:bookmarkStart w:id="11" w:name="_Toc8069"/>
      <w:bookmarkStart w:id="12" w:name="_Toc7691"/>
      <w:r>
        <w:rPr>
          <w:rFonts w:hint="eastAsia" w:ascii="仿宋" w:hAnsi="仿宋" w:eastAsia="仿宋" w:cs="仿宋"/>
          <w:sz w:val="32"/>
          <w:szCs w:val="32"/>
          <w:lang w:val="en-US" w:eastAsia="zh-CN"/>
        </w:rPr>
        <w:t>评价对象为2024年中共雁峰区委统一战线工作部部门整体支出绩效。评价范围包括不限于目标设定、预算配置、预算执行情况、预算管理、职责履行、履职效益和新增财政支出、一般性支出、会议支出、办公经费支出、机构编制和工资管理、厉行节约保障措施等方面的执行情况及其政策效果，以及项目支出的管理、使用、结余、效益情况。</w:t>
      </w:r>
    </w:p>
    <w:bookmarkEnd w:id="10"/>
    <w:bookmarkEnd w:id="11"/>
    <w:bookmarkEnd w:id="12"/>
    <w:p w14:paraId="408394B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rPr>
      </w:pPr>
      <w:bookmarkStart w:id="13" w:name="_Toc1228"/>
      <w:bookmarkStart w:id="14" w:name="_Toc16140"/>
      <w:bookmarkStart w:id="15" w:name="_Toc24072"/>
      <w:bookmarkStart w:id="16" w:name="_Toc7231"/>
      <w:bookmarkStart w:id="17" w:name="_Toc4694"/>
      <w:bookmarkStart w:id="18" w:name="_Toc25241"/>
      <w:bookmarkStart w:id="19" w:name="_Hlk172128948"/>
      <w:r>
        <w:rPr>
          <w:rFonts w:hint="eastAsia" w:ascii="楷体" w:hAnsi="楷体" w:eastAsia="楷体" w:cs="楷体"/>
          <w:b/>
          <w:bCs/>
          <w:sz w:val="32"/>
          <w:szCs w:val="32"/>
        </w:rPr>
        <w:t>（二）</w:t>
      </w:r>
      <w:r>
        <w:rPr>
          <w:rFonts w:hint="eastAsia" w:ascii="楷体" w:hAnsi="楷体" w:eastAsia="楷体" w:cs="楷体"/>
          <w:b/>
          <w:bCs/>
          <w:sz w:val="32"/>
          <w:szCs w:val="32"/>
          <w:lang w:val="en-US" w:eastAsia="zh-CN"/>
        </w:rPr>
        <w:t>评价</w:t>
      </w:r>
      <w:r>
        <w:rPr>
          <w:rFonts w:hint="eastAsia" w:ascii="楷体" w:hAnsi="楷体" w:eastAsia="楷体" w:cs="楷体"/>
          <w:b/>
          <w:bCs/>
          <w:sz w:val="32"/>
          <w:szCs w:val="32"/>
        </w:rPr>
        <w:t>依据</w:t>
      </w:r>
      <w:bookmarkEnd w:id="13"/>
      <w:bookmarkEnd w:id="14"/>
    </w:p>
    <w:p w14:paraId="32446D7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1、《中共中央、国务院关于全面实施预算绩效管理的意见》（中发〔2018〕34号）。</w:t>
      </w:r>
    </w:p>
    <w:p w14:paraId="4E9F83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2、《中共湖南省委办公厅湖南省人民政府办公厅关于全面实施预算绩效管理的实施意见》（湘办发〔2019〕10号）。</w:t>
      </w:r>
    </w:p>
    <w:p w14:paraId="46B7474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3、《财政部关于印发〈项目支出绩效评价管理办法〉的通知》（财预〔2020〕10号）。</w:t>
      </w:r>
    </w:p>
    <w:p w14:paraId="3305F7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4、财政部</w:t>
      </w:r>
      <w:r>
        <w:rPr>
          <w:rFonts w:hint="eastAsia" w:ascii="仿宋" w:hAnsi="仿宋" w:eastAsia="仿宋" w:cs="仿宋"/>
          <w:sz w:val="32"/>
          <w:szCs w:val="32"/>
          <w:lang w:val="en-US" w:eastAsia="zh-CN"/>
        </w:rPr>
        <w:t>关于印发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地方政府债券发行管理办法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财库</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0</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43号。</w:t>
      </w:r>
    </w:p>
    <w:p w14:paraId="2396F2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5、《中华人民共和国预算法》</w:t>
      </w:r>
    </w:p>
    <w:p w14:paraId="60EF8D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6、《财政专项资金管理办法》</w:t>
      </w:r>
    </w:p>
    <w:p w14:paraId="25E616B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7、关于印发《衡阳市市直机关会议费管理办法》的通知衡财行〔2018〕463号。</w:t>
      </w:r>
    </w:p>
    <w:p w14:paraId="42A579A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8、关于印发《行政事业单位内部控制规范（试行）》的通知财会〔2012〕21号。</w:t>
      </w:r>
    </w:p>
    <w:p w14:paraId="5A02AE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9、事业单位国有资产管理暂行办法（2019修订）。</w:t>
      </w:r>
    </w:p>
    <w:p w14:paraId="378D8F5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10、关于印发《湖南省省直党政机关和参公事业单位国有资产管理办法》的通知湘政办发〔2021〕59号。</w:t>
      </w:r>
    </w:p>
    <w:p w14:paraId="1777E0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11、关于印发《衡阳市市直行政事业单位国有资产配置管理办法》的通知衡财资〔2021〕482号。</w:t>
      </w:r>
    </w:p>
    <w:p w14:paraId="5424D1A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12、关于印发《湖南省省级行政事业单位通用办公设备和办公家具配置限额标准》的通知湘政资〔2020〕15号。</w:t>
      </w:r>
    </w:p>
    <w:p w14:paraId="3CCC47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13、关于修改《事业单位国有资产管理暂行办法》的决定财政部令第100号。</w:t>
      </w:r>
    </w:p>
    <w:p w14:paraId="6DC316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14、关于印发《衡阳市市直机关差旅费管理办法》的通知衡财行〔2019〕248号。</w:t>
      </w:r>
    </w:p>
    <w:p w14:paraId="09A6F0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15、违反中央八项规定精神问题月报数据填报说明。</w:t>
      </w:r>
    </w:p>
    <w:p w14:paraId="35D98F6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16、党政机关厉行节约反对浪费条例2013。</w:t>
      </w:r>
    </w:p>
    <w:p w14:paraId="6A8A70B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17、中央八项规定中对于国家公职人员涉及财务的80项禁止行为。</w:t>
      </w:r>
    </w:p>
    <w:p w14:paraId="317E231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18、关于《明确市直党政机关公务活动用餐有关事项》的通知衡财行〔2018〕467号。</w:t>
      </w:r>
    </w:p>
    <w:p w14:paraId="2BF9314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19、衡阳市市直机关培训费管理办法衡财行[2017]409号。</w:t>
      </w:r>
    </w:p>
    <w:p w14:paraId="4AD9CC6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w:t>
      </w:r>
      <w:r>
        <w:rPr>
          <w:rFonts w:hint="default" w:ascii="仿宋" w:hAnsi="仿宋" w:eastAsia="仿宋" w:cs="仿宋"/>
          <w:sz w:val="32"/>
          <w:szCs w:val="32"/>
          <w:lang w:val="en-US" w:eastAsia="zh-CN"/>
        </w:rPr>
        <w:t>、</w:t>
      </w:r>
      <w:r>
        <w:rPr>
          <w:rFonts w:hint="eastAsia" w:ascii="仿宋" w:hAnsi="仿宋" w:eastAsia="仿宋" w:cs="仿宋"/>
          <w:sz w:val="32"/>
          <w:szCs w:val="32"/>
          <w:lang w:val="en-US" w:eastAsia="zh-CN"/>
        </w:rPr>
        <w:t>衡阳市财政局文件衡财行[2018]467号关于明确市直党政机关公务活动用餐有关事项的通知。</w:t>
      </w:r>
    </w:p>
    <w:p w14:paraId="73E24FF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21、中共衡阳市委办公室 衡阳市人民政府办公室文件衡办发[2025]6号《衡阳市委党政机关国内公务接待管理办法》的通知。</w:t>
      </w:r>
    </w:p>
    <w:p w14:paraId="3EF694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22、</w:t>
      </w:r>
      <w:r>
        <w:rPr>
          <w:rFonts w:hint="eastAsia" w:ascii="仿宋" w:hAnsi="仿宋" w:eastAsia="仿宋" w:cs="仿宋"/>
          <w:sz w:val="32"/>
          <w:szCs w:val="32"/>
          <w:lang w:eastAsia="zh-CN"/>
        </w:rPr>
        <w:t>预算批复时确定的绩效目标及指标，预算部门年度预算执行情况，年度决算报告等相关材料。</w:t>
      </w:r>
    </w:p>
    <w:p w14:paraId="5372B09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23、</w:t>
      </w:r>
      <w:r>
        <w:rPr>
          <w:rFonts w:hint="eastAsia" w:ascii="仿宋" w:hAnsi="仿宋" w:eastAsia="仿宋" w:cs="仿宋"/>
          <w:sz w:val="32"/>
          <w:szCs w:val="32"/>
          <w:lang w:eastAsia="zh-CN"/>
        </w:rPr>
        <w:t>其他与本次</w:t>
      </w:r>
      <w:r>
        <w:rPr>
          <w:rFonts w:hint="eastAsia" w:ascii="仿宋" w:hAnsi="仿宋" w:eastAsia="仿宋" w:cs="仿宋"/>
          <w:sz w:val="32"/>
          <w:szCs w:val="32"/>
          <w:lang w:val="en-US" w:eastAsia="zh-CN"/>
        </w:rPr>
        <w:t>绩效评价</w:t>
      </w:r>
      <w:r>
        <w:rPr>
          <w:rFonts w:hint="eastAsia" w:ascii="仿宋" w:hAnsi="仿宋" w:eastAsia="仿宋" w:cs="仿宋"/>
          <w:sz w:val="32"/>
          <w:szCs w:val="32"/>
          <w:lang w:eastAsia="zh-CN"/>
        </w:rPr>
        <w:t>有关的政策文件。</w:t>
      </w:r>
    </w:p>
    <w:p w14:paraId="15E7ED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1"/>
        <w:rPr>
          <w:rFonts w:hint="default" w:ascii="楷体" w:hAnsi="楷体" w:eastAsia="楷体" w:cs="楷体"/>
          <w:b/>
          <w:bCs/>
          <w:sz w:val="32"/>
          <w:szCs w:val="32"/>
          <w:lang w:val="en-US"/>
        </w:rPr>
      </w:pPr>
      <w:bookmarkStart w:id="20" w:name="_Toc2004"/>
      <w:r>
        <w:rPr>
          <w:rFonts w:hint="eastAsia" w:ascii="楷体" w:hAnsi="楷体" w:eastAsia="楷体" w:cs="楷体"/>
          <w:b/>
          <w:bCs/>
          <w:sz w:val="32"/>
          <w:szCs w:val="32"/>
        </w:rPr>
        <w:t>（三）</w:t>
      </w:r>
      <w:bookmarkEnd w:id="15"/>
      <w:bookmarkEnd w:id="16"/>
      <w:r>
        <w:rPr>
          <w:rFonts w:hint="eastAsia" w:ascii="楷体" w:hAnsi="楷体" w:eastAsia="楷体" w:cs="楷体"/>
          <w:b/>
          <w:bCs/>
          <w:sz w:val="32"/>
          <w:szCs w:val="32"/>
          <w:lang w:val="en-US" w:eastAsia="zh-CN"/>
        </w:rPr>
        <w:t>评价方法和目的</w:t>
      </w:r>
      <w:bookmarkEnd w:id="17"/>
      <w:bookmarkEnd w:id="18"/>
      <w:bookmarkEnd w:id="20"/>
    </w:p>
    <w:p w14:paraId="242A6CB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我们</w:t>
      </w:r>
      <w:r>
        <w:rPr>
          <w:rFonts w:hint="eastAsia" w:ascii="仿宋" w:hAnsi="仿宋" w:eastAsia="仿宋" w:cs="仿宋"/>
          <w:sz w:val="32"/>
          <w:szCs w:val="32"/>
          <w:lang w:eastAsia="zh-CN"/>
        </w:rPr>
        <w:t>通过</w:t>
      </w:r>
      <w:r>
        <w:rPr>
          <w:rFonts w:hint="eastAsia" w:ascii="仿宋" w:hAnsi="仿宋" w:eastAsia="仿宋" w:cs="仿宋"/>
          <w:sz w:val="32"/>
          <w:szCs w:val="32"/>
          <w:lang w:val="en-US" w:eastAsia="zh-CN"/>
        </w:rPr>
        <w:t>听取情况介绍、进行实地核查、发放调查问卷、对照复核及分析等方式，对区委统战部提供的相关资料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进行核对与审查，分析与评价内部管理及控制情况，贯彻落实厉行节约、严控“三公”经费、降低一般运行经费、加强项目支出管理、核实资金结余情况，强化政府责任与透明度，全面衡量公共资金使用的经济性、效率性、效益性和可持续性，系统性地检视资金使用全流程，确保公共资源发挥最大价值，同时为政策调整和预算优化提供依据。</w:t>
      </w:r>
    </w:p>
    <w:bookmarkEnd w:id="0"/>
    <w:bookmarkEnd w:id="19"/>
    <w:p w14:paraId="76AE3A3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黑体" w:hAnsi="黑体" w:eastAsia="黑体" w:cs="黑体"/>
          <w:sz w:val="32"/>
          <w:szCs w:val="32"/>
          <w:lang w:eastAsia="zh-CN"/>
        </w:rPr>
      </w:pPr>
      <w:bookmarkStart w:id="21" w:name="_Toc21063"/>
      <w:bookmarkStart w:id="22" w:name="_Toc32697"/>
      <w:bookmarkStart w:id="23" w:name="_Toc24234"/>
      <w:r>
        <w:rPr>
          <w:rFonts w:hint="eastAsia" w:ascii="黑体" w:hAnsi="黑体" w:eastAsia="黑体" w:cs="黑体"/>
          <w:sz w:val="32"/>
          <w:szCs w:val="32"/>
          <w:lang w:val="en-US" w:eastAsia="zh-CN"/>
        </w:rPr>
        <w:t>部门基本</w:t>
      </w:r>
      <w:r>
        <w:rPr>
          <w:rFonts w:hint="eastAsia" w:ascii="黑体" w:hAnsi="黑体" w:eastAsia="黑体" w:cs="黑体"/>
          <w:sz w:val="32"/>
          <w:szCs w:val="32"/>
          <w:lang w:eastAsia="zh-CN"/>
        </w:rPr>
        <w:t>情况</w:t>
      </w:r>
      <w:bookmarkEnd w:id="21"/>
      <w:bookmarkEnd w:id="22"/>
      <w:bookmarkEnd w:id="23"/>
    </w:p>
    <w:p w14:paraId="2A24FB9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24" w:name="_Toc6346"/>
      <w:r>
        <w:rPr>
          <w:rFonts w:hint="eastAsia" w:ascii="楷体" w:hAnsi="楷体" w:eastAsia="楷体" w:cs="楷体"/>
          <w:b/>
          <w:bCs/>
          <w:sz w:val="32"/>
          <w:szCs w:val="32"/>
          <w:lang w:eastAsia="zh-CN"/>
        </w:rPr>
        <w:t>部门</w:t>
      </w:r>
      <w:r>
        <w:rPr>
          <w:rFonts w:hint="eastAsia" w:ascii="楷体" w:hAnsi="楷体" w:eastAsia="楷体" w:cs="楷体"/>
          <w:b/>
          <w:bCs/>
          <w:sz w:val="32"/>
          <w:szCs w:val="32"/>
          <w:lang w:val="en-US" w:eastAsia="zh-CN"/>
        </w:rPr>
        <w:t>基本信息</w:t>
      </w:r>
      <w:bookmarkEnd w:id="24"/>
    </w:p>
    <w:p w14:paraId="3664BA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楷体" w:hAnsi="楷体" w:eastAsia="楷体" w:cs="楷体"/>
          <w:b/>
          <w:bCs/>
          <w:sz w:val="32"/>
          <w:szCs w:val="32"/>
          <w:lang w:val="en-US" w:eastAsia="zh-CN"/>
        </w:rPr>
      </w:pPr>
      <w:r>
        <w:rPr>
          <w:rFonts w:hint="default" w:ascii="仿宋" w:hAnsi="仿宋" w:eastAsia="仿宋" w:cs="仿宋"/>
          <w:sz w:val="32"/>
          <w:szCs w:val="32"/>
          <w:lang w:val="en-US" w:eastAsia="zh-CN"/>
        </w:rPr>
        <w:t>统一社会信用代码114304035870206750</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预算级次</w:t>
      </w:r>
      <w:r>
        <w:rPr>
          <w:rFonts w:hint="eastAsia" w:ascii="仿宋" w:hAnsi="仿宋" w:eastAsia="仿宋" w:cs="仿宋"/>
          <w:sz w:val="32"/>
          <w:szCs w:val="32"/>
          <w:lang w:val="en-US" w:eastAsia="zh-CN"/>
        </w:rPr>
        <w:t>为</w:t>
      </w:r>
      <w:r>
        <w:rPr>
          <w:rFonts w:hint="default" w:ascii="仿宋" w:hAnsi="仿宋" w:eastAsia="仿宋" w:cs="仿宋"/>
          <w:sz w:val="32"/>
          <w:szCs w:val="32"/>
          <w:lang w:val="en-US" w:eastAsia="zh-CN"/>
        </w:rPr>
        <w:t>县区级</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单位预算级次</w:t>
      </w:r>
      <w:r>
        <w:rPr>
          <w:rFonts w:hint="eastAsia" w:ascii="仿宋" w:hAnsi="仿宋" w:eastAsia="仿宋" w:cs="仿宋"/>
          <w:sz w:val="32"/>
          <w:szCs w:val="32"/>
          <w:lang w:val="en-US" w:eastAsia="zh-CN"/>
        </w:rPr>
        <w:t>为</w:t>
      </w:r>
      <w:r>
        <w:rPr>
          <w:rFonts w:hint="default" w:ascii="仿宋" w:hAnsi="仿宋" w:eastAsia="仿宋" w:cs="仿宋"/>
          <w:sz w:val="32"/>
          <w:szCs w:val="32"/>
          <w:lang w:val="en-US" w:eastAsia="zh-CN"/>
        </w:rPr>
        <w:t>一级预算单位</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单位经费保障方式</w:t>
      </w:r>
      <w:r>
        <w:rPr>
          <w:rFonts w:hint="eastAsia" w:ascii="仿宋" w:hAnsi="仿宋" w:eastAsia="仿宋" w:cs="仿宋"/>
          <w:sz w:val="32"/>
          <w:szCs w:val="32"/>
          <w:lang w:val="en-US" w:eastAsia="zh-CN"/>
        </w:rPr>
        <w:t>为</w:t>
      </w:r>
      <w:r>
        <w:rPr>
          <w:rFonts w:hint="default" w:ascii="仿宋" w:hAnsi="仿宋" w:eastAsia="仿宋" w:cs="仿宋"/>
          <w:sz w:val="32"/>
          <w:szCs w:val="32"/>
          <w:lang w:val="en-US" w:eastAsia="zh-CN"/>
        </w:rPr>
        <w:t>全额</w:t>
      </w:r>
      <w:r>
        <w:rPr>
          <w:rFonts w:hint="eastAsia" w:ascii="仿宋" w:hAnsi="仿宋" w:eastAsia="仿宋" w:cs="仿宋"/>
          <w:sz w:val="32"/>
          <w:szCs w:val="32"/>
          <w:lang w:val="en-US" w:eastAsia="zh-CN"/>
        </w:rPr>
        <w:t>。</w:t>
      </w:r>
    </w:p>
    <w:p w14:paraId="5EE58AC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仿宋" w:hAnsi="仿宋" w:eastAsia="仿宋" w:cs="仿宋"/>
          <w:b/>
          <w:bCs/>
          <w:sz w:val="32"/>
          <w:szCs w:val="32"/>
          <w:lang w:val="en-US" w:eastAsia="zh-CN"/>
        </w:rPr>
      </w:pPr>
      <w:bookmarkStart w:id="25" w:name="_Toc30705"/>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）部门</w:t>
      </w:r>
      <w:r>
        <w:rPr>
          <w:rFonts w:hint="eastAsia" w:ascii="楷体" w:hAnsi="楷体" w:eastAsia="楷体" w:cs="楷体"/>
          <w:b/>
          <w:bCs/>
          <w:sz w:val="32"/>
          <w:szCs w:val="32"/>
          <w:lang w:val="en-US" w:eastAsia="zh-CN"/>
        </w:rPr>
        <w:t>主要职责</w:t>
      </w:r>
      <w:bookmarkEnd w:id="25"/>
    </w:p>
    <w:p w14:paraId="30FFAA3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1.贯彻中央统战方针</w:t>
      </w:r>
    </w:p>
    <w:p w14:paraId="48633C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落实上级关于统一战线工作的决策部署，协调推进多党合作、民族宗教、非公经济等领域工作。</w:t>
      </w:r>
    </w:p>
    <w:p w14:paraId="714F431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2.多党合作与政治协商</w:t>
      </w:r>
    </w:p>
    <w:p w14:paraId="14CB48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联系民主党派、无党派人士，支持参政议政、民主监督，协助民主党派加强自身建设。</w:t>
      </w:r>
    </w:p>
    <w:p w14:paraId="0AB4970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3.民族宗教事务管理</w:t>
      </w:r>
    </w:p>
    <w:p w14:paraId="0E7EC6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依法管理民族宗教事务，维护民族团结，引导宗教与社会主义社会相适应。</w:t>
      </w:r>
    </w:p>
    <w:p w14:paraId="3CC374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4.非公有制经济领域统战</w:t>
      </w:r>
    </w:p>
    <w:p w14:paraId="6F0EA9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服务非公经济发展，推动构建亲清政商关系，指导工商联工作。</w:t>
      </w:r>
    </w:p>
    <w:p w14:paraId="72C4BBA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5.党外代表人士队伍建设</w:t>
      </w:r>
    </w:p>
    <w:p w14:paraId="05EA221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负责党外干部、知识分子、新的社会阶层人士等的培养、推荐和使用。</w:t>
      </w:r>
    </w:p>
    <w:p w14:paraId="104AA83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6.港澳台海外统战工作</w:t>
      </w:r>
    </w:p>
    <w:p w14:paraId="57F6CA0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联系港澳台同胞和海外侨胞，促进交流合作。</w:t>
      </w:r>
    </w:p>
    <w:p w14:paraId="2C52E47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26" w:name="_Toc5532"/>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部门</w:t>
      </w:r>
      <w:r>
        <w:rPr>
          <w:rFonts w:hint="eastAsia" w:ascii="楷体" w:hAnsi="楷体" w:eastAsia="楷体" w:cs="楷体"/>
          <w:b/>
          <w:bCs/>
          <w:sz w:val="32"/>
          <w:szCs w:val="32"/>
          <w:lang w:eastAsia="zh-CN"/>
        </w:rPr>
        <w:t>组织架构与人员</w:t>
      </w:r>
      <w:bookmarkEnd w:id="26"/>
    </w:p>
    <w:p w14:paraId="2C67C35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1.内部机构设置</w:t>
      </w:r>
    </w:p>
    <w:p w14:paraId="2055D4F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（1）办公室</w:t>
      </w:r>
    </w:p>
    <w:p w14:paraId="529A4F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（2）民主党派工作股</w:t>
      </w:r>
    </w:p>
    <w:p w14:paraId="3C4ADC1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（3）新的社会阶层人士统战工作股</w:t>
      </w:r>
    </w:p>
    <w:p w14:paraId="35B4DD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（4）非公有制经济工作股</w:t>
      </w:r>
    </w:p>
    <w:p w14:paraId="1058A5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（5）外侨工作股</w:t>
      </w:r>
    </w:p>
    <w:p w14:paraId="6E8D090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（6）无党派人士和党外知识分子工作股</w:t>
      </w:r>
    </w:p>
    <w:p w14:paraId="1956EBC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2.编制及实有人员</w:t>
      </w:r>
    </w:p>
    <w:p w14:paraId="5BD7E7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sz w:val="32"/>
          <w:szCs w:val="32"/>
          <w:lang w:val="en-US" w:eastAsia="zh-CN"/>
        </w:rPr>
        <w:t>截至2024年12月31日，区委统战部实有退休人员6人。编制13个，在编在岗职工11人，其中：公务员4人，事业管理人员和专业技术人员7人。</w:t>
      </w:r>
      <w:r>
        <w:rPr>
          <w:rFonts w:hint="eastAsia" w:ascii="仿宋" w:hAnsi="仿宋" w:eastAsia="仿宋" w:cs="仿宋"/>
          <w:b/>
          <w:bCs/>
          <w:sz w:val="32"/>
          <w:szCs w:val="32"/>
          <w:lang w:val="en-US" w:eastAsia="zh-CN"/>
        </w:rPr>
        <w:t>人员控制率84.62%。</w:t>
      </w:r>
    </w:p>
    <w:p w14:paraId="16602F7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27" w:name="_Toc8232"/>
      <w:r>
        <w:rPr>
          <w:rFonts w:hint="eastAsia" w:ascii="楷体" w:hAnsi="楷体" w:eastAsia="楷体" w:cs="楷体"/>
          <w:b/>
          <w:bCs/>
          <w:sz w:val="32"/>
          <w:szCs w:val="32"/>
          <w:lang w:val="en-US" w:eastAsia="zh-CN"/>
        </w:rPr>
        <w:t>（四）部门2024年度职责履行及履职效益</w:t>
      </w:r>
      <w:bookmarkEnd w:id="27"/>
    </w:p>
    <w:p w14:paraId="13B2C1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highlight w:val="none"/>
          <w:lang w:val="en-US" w:eastAsia="zh-CN"/>
        </w:rPr>
        <w:t>1.贯彻中央统战方针，组织理论学习，</w:t>
      </w:r>
      <w:r>
        <w:rPr>
          <w:rFonts w:hint="eastAsia" w:ascii="仿宋" w:hAnsi="仿宋" w:eastAsia="仿宋" w:cs="仿宋"/>
          <w:b/>
          <w:bCs/>
          <w:sz w:val="32"/>
          <w:szCs w:val="32"/>
          <w:lang w:val="en-US" w:eastAsia="zh-CN"/>
        </w:rPr>
        <w:t>积极引导全区统一战线成员感党恩、听党话、跟党走。</w:t>
      </w:r>
      <w:r>
        <w:rPr>
          <w:rFonts w:hint="eastAsia" w:ascii="仿宋" w:hAnsi="仿宋" w:eastAsia="仿宋" w:cs="仿宋"/>
          <w:b w:val="0"/>
          <w:bCs w:val="0"/>
          <w:sz w:val="32"/>
          <w:szCs w:val="32"/>
          <w:highlight w:val="none"/>
          <w:lang w:val="en-US" w:eastAsia="zh-CN"/>
        </w:rPr>
        <w:t>2024年1至12月，区委理论学习中心组开展统战专题学习1次，统战系统开展理论学习中心组学习11次，在全区统一战线开展党的二十届三中全会精神宣</w:t>
      </w:r>
      <w:r>
        <w:rPr>
          <w:rFonts w:hint="eastAsia" w:ascii="仿宋" w:hAnsi="仿宋" w:eastAsia="仿宋" w:cs="仿宋"/>
          <w:b w:val="0"/>
          <w:bCs w:val="0"/>
          <w:sz w:val="32"/>
          <w:szCs w:val="32"/>
          <w:lang w:val="en-US" w:eastAsia="zh-CN"/>
        </w:rPr>
        <w:t>讲5次，开展统战专题“首峰大讲堂”“首峰夜话”4次，开展“同心筑梦·文旅共融”暑期谈心活动1次，积极引导全区统一战线成员感党恩、听党话、跟党走。</w:t>
      </w:r>
    </w:p>
    <w:p w14:paraId="0D23E3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2.防范化解风险隐患，进行民族宗教事务管理，开展全方位的主题教育活动，做到“度势而为”。</w:t>
      </w:r>
      <w:r>
        <w:rPr>
          <w:rFonts w:hint="eastAsia" w:ascii="仿宋" w:hAnsi="仿宋" w:eastAsia="仿宋" w:cs="仿宋"/>
          <w:b w:val="0"/>
          <w:bCs w:val="0"/>
          <w:sz w:val="32"/>
          <w:szCs w:val="32"/>
          <w:lang w:val="en-US" w:eastAsia="zh-CN"/>
        </w:rPr>
        <w:t>在全区统一战线开展多形式、分层次、广覆盖的主题教育活动，把防范化解风险隐患摆在突出位置，重点关注民族、宗教、民营经济、涉港涉台涉疆涉藏和涉海外统战工作等领域风险隐患，</w:t>
      </w:r>
      <w:r>
        <w:rPr>
          <w:rFonts w:hint="eastAsia" w:ascii="仿宋" w:hAnsi="仿宋" w:eastAsia="仿宋" w:cs="仿宋"/>
          <w:b w:val="0"/>
          <w:bCs w:val="0"/>
          <w:sz w:val="32"/>
          <w:szCs w:val="32"/>
          <w:highlight w:val="none"/>
          <w:lang w:val="en-US" w:eastAsia="zh-CN"/>
        </w:rPr>
        <w:t>定期在全区统一战线</w:t>
      </w:r>
      <w:r>
        <w:rPr>
          <w:rFonts w:hint="eastAsia" w:ascii="仿宋" w:hAnsi="仿宋" w:eastAsia="仿宋" w:cs="仿宋"/>
          <w:b w:val="0"/>
          <w:bCs w:val="0"/>
          <w:sz w:val="32"/>
          <w:szCs w:val="32"/>
          <w:lang w:val="en-US" w:eastAsia="zh-CN"/>
        </w:rPr>
        <w:t>开展风险隐患排查工作，以更高警惕守牢全区统战领域安全底线，做到“度势而为”。</w:t>
      </w:r>
    </w:p>
    <w:p w14:paraId="628BBE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3.将各成员单位协同联动，密切配合，各区镇、街道充分挖掘区域特色，推动基层统战工作走深走实，取得协同效益。</w:t>
      </w:r>
      <w:r>
        <w:rPr>
          <w:rFonts w:hint="eastAsia" w:ascii="仿宋" w:hAnsi="仿宋" w:eastAsia="仿宋" w:cs="仿宋"/>
          <w:b w:val="0"/>
          <w:bCs w:val="0"/>
          <w:sz w:val="32"/>
          <w:szCs w:val="32"/>
          <w:highlight w:val="none"/>
          <w:lang w:val="en-US" w:eastAsia="zh-CN"/>
        </w:rPr>
        <w:t>促进各统战团体和区镇、街道力量的有机融合，做好分内事、种好责任田，凝聚统战工作强大合力。各成员单位坚持协同联动，加强沟通协作、密切配合，各区镇、街道充分挖掘区域特色，认真谋划部署统战重点工作任务，细化统战工作举措，推动基层统战工作走深走实。</w:t>
      </w:r>
    </w:p>
    <w:p w14:paraId="3C48D8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highlight w:val="none"/>
          <w:lang w:val="en-US" w:eastAsia="zh-CN"/>
        </w:rPr>
        <w:t>4.多党合作与政治协商，为助力雁峰区打造“制造立市，文旅兴城”核心区积极贡献统战智慧和力量。</w:t>
      </w:r>
      <w:r>
        <w:rPr>
          <w:rFonts w:hint="eastAsia" w:ascii="仿宋" w:hAnsi="仿宋" w:eastAsia="仿宋" w:cs="仿宋"/>
          <w:b w:val="0"/>
          <w:bCs w:val="0"/>
          <w:sz w:val="32"/>
          <w:szCs w:val="32"/>
          <w:highlight w:val="none"/>
          <w:lang w:val="en-US" w:eastAsia="zh-CN"/>
        </w:rPr>
        <w:t>召开2024年度各民主党派雁峰区工委、区工商联、无党派人士和新阶人士参政议政调研协商座谈会，为</w:t>
      </w:r>
      <w:r>
        <w:rPr>
          <w:rFonts w:hint="eastAsia" w:ascii="仿宋" w:hAnsi="仿宋" w:eastAsia="仿宋" w:cs="仿宋"/>
          <w:b w:val="0"/>
          <w:bCs w:val="0"/>
          <w:sz w:val="32"/>
          <w:szCs w:val="32"/>
          <w:lang w:val="en-US" w:eastAsia="zh-CN"/>
        </w:rPr>
        <w:t>助力雁峰区打造“制造立市，文旅兴城”核心区积极贡献统战智慧和力量。春节期间，区委主要领导带头走访慰问民主党派成员、侨眷、归国留学人员及宗教人士，把党和政府的关怀传递到统一战线各界代表心中，发布《致全区统一战线成员的一封信》，积极引导全区统一战线“感党恩、听党话、跟党走”。积极组织开展2024年度党外代表人士暑期谈心活动，活动以“同心筑梦·文旅共融”为主题，实地参观考察南岳第一峰文旅项目，并召开座谈会进行交流，共同为全市文旅发展献计献力。</w:t>
      </w:r>
    </w:p>
    <w:p w14:paraId="01AB5E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5.加强干部队伍建设，取得统战方面理论调研实践成果。</w:t>
      </w:r>
    </w:p>
    <w:p w14:paraId="00DA16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加强干部队伍建设，把当学习型干部、做研究型工作、谋突破性举措作为努力方向，成为统战工作的行家里手。2024年1至12月，向省、市报送统战方面理论调研材料5篇、实践创新材料1篇。</w:t>
      </w:r>
    </w:p>
    <w:p w14:paraId="7D370B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6.全力打造民营经济“两个健康”雁峰样板，作为全市民营经济“两个健康”提升行动的“探路者”得到省委统战部、市委统战部的高度肯定。</w:t>
      </w:r>
      <w:r>
        <w:rPr>
          <w:rFonts w:hint="eastAsia" w:ascii="仿宋" w:hAnsi="仿宋" w:eastAsia="仿宋" w:cs="仿宋"/>
          <w:b w:val="0"/>
          <w:bCs w:val="0"/>
          <w:sz w:val="32"/>
          <w:szCs w:val="32"/>
          <w:lang w:val="en-US" w:eastAsia="zh-CN"/>
        </w:rPr>
        <w:t>区委全会审议通过《关于开展民营经济“两个健康”提升行动的实施意见》，通过打造“五大工作品牌”、实施“八大助企行动”，全力打造民营经济“两个健康”雁峰样板，作为全市民营经济“两个健康”提升行动的“探路者”得到省委统战部、市委统战部的高度肯定。</w:t>
      </w:r>
      <w:r>
        <w:rPr>
          <w:rFonts w:hint="eastAsia" w:ascii="仿宋" w:hAnsi="仿宋" w:eastAsia="仿宋" w:cs="仿宋"/>
          <w:b w:val="0"/>
          <w:bCs w:val="0"/>
          <w:sz w:val="32"/>
          <w:szCs w:val="32"/>
          <w:highlight w:val="none"/>
          <w:lang w:val="en-US" w:eastAsia="zh-CN"/>
        </w:rPr>
        <w:t>召开2024年“大雁回家”招商引资暨“春暖湘商”新春座谈会，邀请来自各行各业的118位优秀企业家代表欢聚一堂，畅叙友情</w:t>
      </w:r>
      <w:r>
        <w:rPr>
          <w:rFonts w:hint="eastAsia" w:ascii="仿宋" w:hAnsi="仿宋" w:eastAsia="仿宋" w:cs="仿宋"/>
          <w:b w:val="0"/>
          <w:bCs w:val="0"/>
          <w:sz w:val="32"/>
          <w:szCs w:val="32"/>
          <w:lang w:val="en-US" w:eastAsia="zh-CN"/>
        </w:rPr>
        <w:t>、共商发展。加强政银企交流，相关部门联合农商银行深入舜达精工、瑞合精密、鸿泰机械等企业，帮助企业解决生产经营、发展规划和资金等方面需求。联合相关区直部门深入富士康衡阳工业园等企业开展“送法进企”活动，营造良好法治环境，为企业发展保驾护航。组织区内女企业家开展“巾帼建功旅发会，争当时代‘领头雁’”主题活动，引导女企业家在助力经济社会高质量发展等各方面展示巾帼风采。</w:t>
      </w:r>
    </w:p>
    <w:p w14:paraId="06B220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7.统战工作任务逐级分解、上下贯通、一体推进，使统战工作成为党加强同各方面群众联系、充分反映社情民意的重要途径，获得基层群众的较高满意度，得到省委常委、统战部部长隋忠诚对我区统战“双融”工作的高度肯定。</w:t>
      </w:r>
      <w:r>
        <w:rPr>
          <w:rFonts w:hint="eastAsia" w:ascii="仿宋" w:hAnsi="仿宋" w:eastAsia="仿宋" w:cs="仿宋"/>
          <w:b w:val="0"/>
          <w:bCs w:val="0"/>
          <w:sz w:val="32"/>
          <w:szCs w:val="32"/>
          <w:lang w:val="en-US" w:eastAsia="zh-CN"/>
        </w:rPr>
        <w:t>压实三级统战工作责任，统战工作纳入基层党建工作责任述职报告、纳入村（社区）书记培训，发挥80人规模统战信息员队伍力量，统战工作任务逐级分解、上下贯通、一体推进。依托村（社区）党群服务中心、新时代文明实践站等载体，</w:t>
      </w:r>
      <w:r>
        <w:rPr>
          <w:rFonts w:hint="eastAsia" w:ascii="仿宋" w:hAnsi="仿宋" w:eastAsia="仿宋" w:cs="仿宋"/>
          <w:b w:val="0"/>
          <w:bCs w:val="0"/>
          <w:sz w:val="32"/>
          <w:szCs w:val="32"/>
          <w:highlight w:val="none"/>
          <w:lang w:val="en-US" w:eastAsia="zh-CN"/>
        </w:rPr>
        <w:t>建设“统战之家”等活动阵地，扎实开展主题教育、“首峰夜话·话同心”“雁峰统战讲堂”等活</w:t>
      </w:r>
      <w:r>
        <w:rPr>
          <w:rFonts w:hint="eastAsia" w:ascii="仿宋" w:hAnsi="仿宋" w:eastAsia="仿宋" w:cs="仿宋"/>
          <w:b w:val="0"/>
          <w:bCs w:val="0"/>
          <w:sz w:val="32"/>
          <w:szCs w:val="32"/>
          <w:lang w:val="en-US" w:eastAsia="zh-CN"/>
        </w:rPr>
        <w:t>动。支持党外人士围绕基层社会治理课题开展调查研究、建言献策，使统战工作成为党加强同各方面群众联系、充分反映社情民意的重要途径。积极探索统战成员参与社会治理新路径，打造同心心理咨询室、法律咨询室等村（社区）实践创新基地，发挥统一战线作用优势，引导民主党派、民营经济、新的社会阶层等领域统战人士广泛参与基层议事协商、民生改善、公益服务、矛盾化解等工作，推动统战工作更具温情、更有温度。2024年5月，省委常委、统战部部长隋忠诚到白竹皂社区调研时对我区统战“双融”工作给予了高度肯定。</w:t>
      </w:r>
    </w:p>
    <w:p w14:paraId="0C60DF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8.积极开展民族团结进步示范创建，探索将少数民族流动人员纳入社会基层综合治理的途径，打造福寿文化禅意展示空间和基督教文化史料展览室，助力衡阳市第三届旅发大会</w:t>
      </w:r>
      <w:r>
        <w:rPr>
          <w:rFonts w:hint="eastAsia" w:ascii="仿宋" w:hAnsi="仿宋" w:eastAsia="仿宋" w:cs="仿宋"/>
          <w:b w:val="0"/>
          <w:bCs w:val="0"/>
          <w:sz w:val="32"/>
          <w:szCs w:val="32"/>
          <w:lang w:val="en-US" w:eastAsia="zh-CN"/>
        </w:rPr>
        <w:t>。积极开展民族团结进步示范</w:t>
      </w:r>
      <w:r>
        <w:rPr>
          <w:rFonts w:hint="eastAsia" w:ascii="仿宋" w:hAnsi="仿宋" w:eastAsia="仿宋" w:cs="仿宋"/>
          <w:b w:val="0"/>
          <w:bCs w:val="0"/>
          <w:sz w:val="32"/>
          <w:szCs w:val="32"/>
          <w:highlight w:val="none"/>
          <w:lang w:val="en-US" w:eastAsia="zh-CN"/>
        </w:rPr>
        <w:t>创建，古汉启迪、广场小</w:t>
      </w:r>
      <w:r>
        <w:rPr>
          <w:rFonts w:hint="eastAsia" w:ascii="仿宋" w:hAnsi="仿宋" w:eastAsia="仿宋" w:cs="仿宋"/>
          <w:b w:val="0"/>
          <w:bCs w:val="0"/>
          <w:sz w:val="32"/>
          <w:szCs w:val="32"/>
          <w:lang w:val="en-US" w:eastAsia="zh-CN"/>
        </w:rPr>
        <w:t>学、岳屏社区获评市级民族团结进步示范单位。优化服务管理工作，推行“三清楚三联系三帮扶”走访制度，探索将少数民族流动人员纳入社会基层综合治理的途径，先后与甘肃、青海有关县市签订协议。广泛开展交流活动，举办“中医药香溢中秋衡吐情长聚雁城和“石榴花开处 雁城景更美”优秀景区解说员评选活动，开展宣讲20余场次，指导中南小学、六一小学与鄯善县两所小学结对共建，联合村、社区新时代文明实践站组织开展“廉粽飘香迎端午，民族团结一家亲”主题活动。坚持稳中求进，宗教工作迈上新台阶。落实宗教团体班子述职、民主评议、三级网络两级责任制等制度，印发《宗教工作一访二问三查一本通》，完成民间信仰场所登记3个。强化问题整改，督促整改各类安全隐患48个，整改滥用宗教元素的经营性场所、“三化”等问题5个。全力做好祈福日、春节等节点宗教场所安保工作。积极开展“两个专项”，整治非法宗教活动。在宗教领域组织党的二十大精神宣讲活动10余次，开展“爱党爱国爱社会”等活动6次。打造福寿文化禅意展示空间和基督教文化史料展览室，助力衡阳市第三届旅发大会。</w:t>
      </w:r>
    </w:p>
    <w:p w14:paraId="119853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9.深入基层开展乡村振兴、服务基层社会治理等志愿服务活动，擦亮船山文化这张衡阳历史文化名片，走进星希望儿童关爱中心，开展“五学两助”暨“点亮星星 爱不孤单”关爱孤独症儿童志愿服务活动，取得较大的社会效益。</w:t>
      </w:r>
      <w:r>
        <w:rPr>
          <w:rFonts w:hint="eastAsia" w:ascii="仿宋" w:hAnsi="仿宋" w:eastAsia="仿宋" w:cs="仿宋"/>
          <w:b w:val="0"/>
          <w:bCs w:val="0"/>
          <w:sz w:val="32"/>
          <w:szCs w:val="32"/>
          <w:lang w:val="en-US" w:eastAsia="zh-CN"/>
        </w:rPr>
        <w:t>积极发挥民主党派人士作用。发挥民主党派联系村、社区机制作用，</w:t>
      </w:r>
      <w:r>
        <w:rPr>
          <w:rFonts w:hint="eastAsia" w:ascii="仿宋" w:hAnsi="仿宋" w:eastAsia="仿宋" w:cs="仿宋"/>
          <w:b w:val="0"/>
          <w:bCs w:val="0"/>
          <w:sz w:val="32"/>
          <w:szCs w:val="32"/>
          <w:highlight w:val="none"/>
          <w:lang w:val="en-US" w:eastAsia="zh-CN"/>
        </w:rPr>
        <w:t>创新打造7支民主党派志愿服务</w:t>
      </w:r>
      <w:r>
        <w:rPr>
          <w:rFonts w:hint="eastAsia" w:ascii="仿宋" w:hAnsi="仿宋" w:eastAsia="仿宋" w:cs="仿宋"/>
          <w:b w:val="0"/>
          <w:bCs w:val="0"/>
          <w:sz w:val="32"/>
          <w:szCs w:val="32"/>
          <w:lang w:val="en-US" w:eastAsia="zh-CN"/>
        </w:rPr>
        <w:t>队，深入基层开展乡村振兴、服务基层社会治理等志愿服务活动。根据各党派特色，组建法律咨询、文化教育、健康医疗、经济帮扶专业团队开展特色化服务，帮助基层群众排忧解难。致公党雁峰区工委联合衡阳市图书馆举办了“礼迎旅发会，书香满雁城”船山文化经典讲会（第一期）活动，擦亮船山文化这张衡阳历史文化名片，为衡阳文旅发展注入强大动力。九三学社雁峰区工委组织社员走进星希望儿童关爱中心，开展“五学两助”暨“点亮星星 爱不孤单”关爱孤独症儿童志愿服务活动，深入了解、支持和帮助孤独症儿童，营造全社会关心关爱孤独症群体浓厚氛围。</w:t>
      </w:r>
    </w:p>
    <w:p w14:paraId="63D1E5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10.做好党外分子和新阶人士工作。完善并充实党外知识分子信息库，共吸纳新阶联会员52人，党外代表人士队伍建设取得可持续发展。</w:t>
      </w:r>
      <w:r>
        <w:rPr>
          <w:rFonts w:hint="eastAsia" w:ascii="仿宋" w:hAnsi="仿宋" w:eastAsia="仿宋" w:cs="仿宋"/>
          <w:b w:val="0"/>
          <w:bCs w:val="0"/>
          <w:sz w:val="32"/>
          <w:szCs w:val="32"/>
          <w:lang w:val="en-US" w:eastAsia="zh-CN"/>
        </w:rPr>
        <w:t>积极开展雁峰区党外知识分子联谊会换届工作，对全区党外知识分子的基本情况进行进一步摸底调查，掌握知联会留任意向人选及新提拔重用的无党派党外领导干部，完善并充实党外知识分子信息库，</w:t>
      </w:r>
      <w:r>
        <w:rPr>
          <w:rFonts w:hint="eastAsia" w:ascii="仿宋" w:hAnsi="仿宋" w:eastAsia="仿宋" w:cs="仿宋"/>
          <w:b w:val="0"/>
          <w:bCs w:val="0"/>
          <w:sz w:val="32"/>
          <w:szCs w:val="32"/>
          <w:highlight w:val="none"/>
          <w:lang w:val="en-US" w:eastAsia="zh-CN"/>
        </w:rPr>
        <w:t>制定区知联会换届工作实施方案，召开部务会专题研</w:t>
      </w:r>
      <w:r>
        <w:rPr>
          <w:rFonts w:hint="eastAsia" w:ascii="仿宋" w:hAnsi="仿宋" w:eastAsia="仿宋" w:cs="仿宋"/>
          <w:b w:val="0"/>
          <w:bCs w:val="0"/>
          <w:sz w:val="32"/>
          <w:szCs w:val="32"/>
          <w:lang w:val="en-US" w:eastAsia="zh-CN"/>
        </w:rPr>
        <w:t>究、部署安排换届工作。发挥区新阶联的作用，广泛团结和凝聚社会各界人士，共吸纳新阶联会员52人，始终坚持“信任尊重、团结引导、组织起来、发挥作用”的工作思路，注重挖掘新阶层人士的专业特长和资源优势，引导其积极参与社会治理、公益事业、文旅兴城等工作。组织19名区新阶人士为甘肃地震捐款3900元。引导新阶人士积极参与“新善三湘”社会公益活动，10名新阶人士完成“点亮微心愿”。组织5名区新阶人士积极参与雁峰街道巷荫岭社区83号老居民楼水患救援行动，区新阶联会员、缘老湘食餐饮负责人王春红免费提供爱心晚餐和饮用水。组织7名区新阶人士参与“当好东道主 喜迎旅发会 宣传衡阳 服务雁峰”志愿活动。打造奇狼电商为雁峰区新的社会阶层人士工作实践创新基地。</w:t>
      </w:r>
    </w:p>
    <w:p w14:paraId="2DF82E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11.做好港澳台侨统战工作，取得广泛的基层统战效益。</w:t>
      </w:r>
      <w:r>
        <w:rPr>
          <w:rFonts w:hint="eastAsia" w:ascii="仿宋" w:hAnsi="仿宋" w:eastAsia="仿宋" w:cs="仿宋"/>
          <w:b w:val="0"/>
          <w:bCs w:val="0"/>
          <w:sz w:val="32"/>
          <w:szCs w:val="32"/>
          <w:lang w:val="en-US" w:eastAsia="zh-CN"/>
        </w:rPr>
        <w:t>扎实做好港澳台侨统战工作。在白竹皂社区建设“侨胞之家”，依托党建引领“五色花”基层治理，以党建带侨建，落实服务海外侨胞、归侨侨眷的工作宗旨，开展各类学习交流、联谊座谈、走访慰问、关爱帮扶等活动，以“心贴心”的服务凝聚侨心侨智侨力，汇聚起同心向党、同心筑梦的“侨”力量</w:t>
      </w:r>
      <w:r>
        <w:rPr>
          <w:rFonts w:hint="eastAsia" w:ascii="仿宋" w:hAnsi="仿宋" w:eastAsia="仿宋" w:cs="仿宋"/>
          <w:b w:val="0"/>
          <w:bCs w:val="0"/>
          <w:sz w:val="32"/>
          <w:szCs w:val="32"/>
          <w:highlight w:val="none"/>
          <w:lang w:val="en-US" w:eastAsia="zh-CN"/>
        </w:rPr>
        <w:t>。协助市委统战部开展人员信息收集，上报雁</w:t>
      </w:r>
      <w:r>
        <w:rPr>
          <w:rFonts w:hint="eastAsia" w:ascii="仿宋" w:hAnsi="仿宋" w:eastAsia="仿宋" w:cs="仿宋"/>
          <w:b w:val="0"/>
          <w:bCs w:val="0"/>
          <w:sz w:val="32"/>
          <w:szCs w:val="32"/>
          <w:lang w:val="en-US" w:eastAsia="zh-CN"/>
        </w:rPr>
        <w:t>峰区归侨和侨眷名单、“归国留学人员”信息采集名单以及衡阳市侨联第九届委员会委员、市海外联谊会第二届理事会理事候选人等人选名单推荐。帮助归侨侨眷解决急难愁盼，做好衡阳市侨联2025年扶侨帮困专项资金申报”，上报并安排雁峰区困难归侨、侨眷体检。先后接待香港交通安全公共关系署、粤港澳大湾区黄埔后代亲友联谊会、澳门爱国爱澳人士国情参访团、台湾青年参访团来衡交流。</w:t>
      </w:r>
    </w:p>
    <w:p w14:paraId="05CEE2B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黑体" w:hAnsi="黑体" w:eastAsia="黑体" w:cs="黑体"/>
          <w:sz w:val="32"/>
          <w:szCs w:val="32"/>
          <w:lang w:eastAsia="zh-CN"/>
        </w:rPr>
      </w:pPr>
      <w:bookmarkStart w:id="28" w:name="_Toc22281"/>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预算及</w:t>
      </w:r>
      <w:r>
        <w:rPr>
          <w:rFonts w:hint="eastAsia" w:ascii="黑体" w:hAnsi="黑体" w:eastAsia="黑体" w:cs="黑体"/>
          <w:sz w:val="32"/>
          <w:szCs w:val="32"/>
          <w:lang w:eastAsia="zh-CN"/>
        </w:rPr>
        <w:t>整体支出概况</w:t>
      </w:r>
      <w:bookmarkEnd w:id="28"/>
    </w:p>
    <w:p w14:paraId="5E9392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分析逻辑流程：年初预算数→全年预算数（调整后预算数）→账套数→决算数→重分类数。</w:t>
      </w:r>
    </w:p>
    <w:p w14:paraId="7F0D2B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决算数重分类原因为实际支出分类与决算数存在差异，从项目支出决算数重分类部分金额入基本支出-人员经费与基本支出-公用经费。详情见后附项目管理情况及分析。</w:t>
      </w:r>
    </w:p>
    <w:p w14:paraId="1033660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29" w:name="_Toc27465"/>
      <w:r>
        <w:rPr>
          <w:rFonts w:hint="eastAsia" w:ascii="楷体" w:hAnsi="楷体" w:eastAsia="楷体" w:cs="楷体"/>
          <w:b/>
          <w:bCs/>
          <w:sz w:val="32"/>
          <w:szCs w:val="32"/>
          <w:lang w:eastAsia="zh-CN"/>
        </w:rPr>
        <w:t>（一）预算</w:t>
      </w:r>
      <w:r>
        <w:rPr>
          <w:rFonts w:hint="eastAsia" w:ascii="楷体" w:hAnsi="楷体" w:eastAsia="楷体" w:cs="楷体"/>
          <w:b/>
          <w:bCs/>
          <w:sz w:val="32"/>
          <w:szCs w:val="32"/>
          <w:lang w:val="en-US" w:eastAsia="zh-CN"/>
        </w:rPr>
        <w:t>配置</w:t>
      </w:r>
      <w:r>
        <w:rPr>
          <w:rFonts w:hint="eastAsia" w:ascii="楷体" w:hAnsi="楷体" w:eastAsia="楷体" w:cs="楷体"/>
          <w:b/>
          <w:bCs/>
          <w:sz w:val="32"/>
          <w:szCs w:val="32"/>
          <w:lang w:eastAsia="zh-CN"/>
        </w:rPr>
        <w:t>情况</w:t>
      </w:r>
      <w:r>
        <w:rPr>
          <w:rFonts w:hint="eastAsia" w:ascii="楷体" w:hAnsi="楷体" w:eastAsia="楷体" w:cs="楷体"/>
          <w:b/>
          <w:bCs/>
          <w:sz w:val="32"/>
          <w:szCs w:val="32"/>
          <w:lang w:val="en-US" w:eastAsia="zh-CN"/>
        </w:rPr>
        <w:t>及分析</w:t>
      </w:r>
      <w:bookmarkEnd w:id="29"/>
    </w:p>
    <w:p w14:paraId="06B55FC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楷体" w:hAnsi="楷体" w:eastAsia="楷体" w:cs="楷体"/>
          <w:b/>
          <w:bCs/>
          <w:sz w:val="32"/>
          <w:szCs w:val="32"/>
          <w:lang w:val="en-US" w:eastAsia="zh-CN"/>
        </w:rPr>
      </w:pPr>
      <w:r>
        <w:rPr>
          <w:rFonts w:hint="eastAsia" w:ascii="仿宋" w:hAnsi="仿宋" w:eastAsia="仿宋" w:cs="仿宋"/>
          <w:b/>
          <w:bCs/>
          <w:sz w:val="32"/>
          <w:szCs w:val="32"/>
          <w:lang w:val="en-US" w:eastAsia="zh-CN"/>
        </w:rPr>
        <w:t>1.预算配置情况</w:t>
      </w:r>
    </w:p>
    <w:p w14:paraId="5379AB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年初预算额度1,874,136.55元，</w:t>
      </w:r>
      <w:r>
        <w:rPr>
          <w:rFonts w:hint="eastAsia" w:ascii="仿宋" w:hAnsi="仿宋" w:eastAsia="仿宋" w:cs="仿宋"/>
          <w:b w:val="0"/>
          <w:bCs w:val="0"/>
          <w:sz w:val="32"/>
          <w:szCs w:val="32"/>
          <w:lang w:val="en-US" w:eastAsia="zh-CN"/>
        </w:rPr>
        <w:t>预算调整后额度2,257,847.29元，</w:t>
      </w:r>
      <w:r>
        <w:rPr>
          <w:rFonts w:hint="eastAsia" w:ascii="仿宋" w:hAnsi="仿宋" w:eastAsia="仿宋" w:cs="仿宋"/>
          <w:b w:val="0"/>
          <w:bCs w:val="0"/>
          <w:sz w:val="32"/>
          <w:szCs w:val="32"/>
          <w:lang w:eastAsia="zh-CN"/>
        </w:rPr>
        <w:t>资金来源</w:t>
      </w:r>
      <w:r>
        <w:rPr>
          <w:rFonts w:hint="eastAsia" w:ascii="仿宋" w:hAnsi="仿宋" w:eastAsia="仿宋" w:cs="仿宋"/>
          <w:b w:val="0"/>
          <w:bCs w:val="0"/>
          <w:sz w:val="32"/>
          <w:szCs w:val="32"/>
          <w:lang w:val="en-US" w:eastAsia="zh-CN"/>
        </w:rPr>
        <w:t>为</w:t>
      </w:r>
      <w:r>
        <w:rPr>
          <w:rFonts w:hint="eastAsia" w:ascii="仿宋" w:hAnsi="仿宋" w:eastAsia="仿宋" w:cs="仿宋"/>
          <w:b w:val="0"/>
          <w:bCs w:val="0"/>
          <w:sz w:val="32"/>
          <w:szCs w:val="32"/>
          <w:lang w:eastAsia="zh-CN"/>
        </w:rPr>
        <w:t>财政拨款。预算结构分解</w:t>
      </w:r>
      <w:r>
        <w:rPr>
          <w:rFonts w:hint="eastAsia" w:ascii="仿宋" w:hAnsi="仿宋" w:eastAsia="仿宋" w:cs="仿宋"/>
          <w:b w:val="0"/>
          <w:bCs w:val="0"/>
          <w:sz w:val="32"/>
          <w:szCs w:val="32"/>
          <w:lang w:val="en-US" w:eastAsia="zh-CN"/>
        </w:rPr>
        <w:t>列示如下，分别按部门预算经济分类年初预算数与按政府预算经济分类，详情列示如下：</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58"/>
        <w:gridCol w:w="2958"/>
        <w:gridCol w:w="2273"/>
        <w:gridCol w:w="1227"/>
      </w:tblGrid>
      <w:tr w14:paraId="33307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nil"/>
              <w:left w:val="nil"/>
              <w:bottom w:val="nil"/>
              <w:right w:val="nil"/>
            </w:tcBorders>
            <w:shd w:val="clear" w:color="auto" w:fill="auto"/>
            <w:noWrap/>
            <w:vAlign w:val="center"/>
          </w:tcPr>
          <w:p w14:paraId="1AA59B3C">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按部门预算经济分类年初预算数</w:t>
            </w:r>
          </w:p>
        </w:tc>
      </w:tr>
      <w:tr w14:paraId="49362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00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一级名称</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CD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二级名称</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6573">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年初预算数(金额：万元)</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55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占比</w:t>
            </w:r>
          </w:p>
        </w:tc>
      </w:tr>
      <w:tr w14:paraId="0A38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92DB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基本支出</w:t>
            </w:r>
          </w:p>
        </w:tc>
        <w:tc>
          <w:tcPr>
            <w:tcW w:w="1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AEF5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w:t>
            </w:r>
          </w:p>
        </w:tc>
        <w:tc>
          <w:tcPr>
            <w:tcW w:w="133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C4C1A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138.31</w:t>
            </w:r>
          </w:p>
        </w:tc>
        <w:tc>
          <w:tcPr>
            <w:tcW w:w="72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DB205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73.80%</w:t>
            </w:r>
          </w:p>
        </w:tc>
      </w:tr>
      <w:tr w14:paraId="3295D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B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基本支出</w:t>
            </w: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FE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公用经费</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B4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11.52</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9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w:t>
            </w:r>
          </w:p>
        </w:tc>
      </w:tr>
      <w:tr w14:paraId="3F1B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2B45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项目支出</w:t>
            </w:r>
          </w:p>
        </w:tc>
        <w:tc>
          <w:tcPr>
            <w:tcW w:w="1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322E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按项目管理的商品和服务支出</w:t>
            </w:r>
          </w:p>
        </w:tc>
        <w:tc>
          <w:tcPr>
            <w:tcW w:w="133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3E57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37.58</w:t>
            </w:r>
          </w:p>
        </w:tc>
        <w:tc>
          <w:tcPr>
            <w:tcW w:w="72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0AA01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20.05%</w:t>
            </w:r>
          </w:p>
        </w:tc>
      </w:tr>
      <w:tr w14:paraId="78A7B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C439">
            <w:pPr>
              <w:jc w:val="center"/>
              <w:rPr>
                <w:rFonts w:hint="eastAsia" w:ascii="宋体" w:hAnsi="宋体" w:eastAsia="宋体" w:cs="宋体"/>
                <w:i w:val="0"/>
                <w:iCs w:val="0"/>
                <w:color w:val="000000"/>
                <w:sz w:val="24"/>
                <w:szCs w:val="24"/>
                <w:u w:val="none"/>
              </w:rPr>
            </w:pPr>
          </w:p>
        </w:tc>
        <w:tc>
          <w:tcPr>
            <w:tcW w:w="1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57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B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187.41</w:t>
            </w:r>
          </w:p>
        </w:tc>
        <w:tc>
          <w:tcPr>
            <w:tcW w:w="7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F5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r>
    </w:tbl>
    <w:p w14:paraId="6EB17ECE">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outlineLvl w:val="9"/>
        <w:rPr>
          <w:rFonts w:hint="eastAsia" w:ascii="楷体" w:hAnsi="楷体" w:eastAsia="楷体" w:cs="楷体"/>
          <w:b w:val="0"/>
          <w:bCs w:val="0"/>
          <w:sz w:val="32"/>
          <w:szCs w:val="32"/>
          <w:lang w:eastAsia="zh-CN"/>
        </w:rPr>
      </w:pPr>
    </w:p>
    <w:p w14:paraId="352BF7A0">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outlineLvl w:val="9"/>
        <w:rPr>
          <w:rFonts w:hint="eastAsia" w:ascii="楷体" w:hAnsi="楷体" w:eastAsia="楷体" w:cs="楷体"/>
          <w:b w:val="0"/>
          <w:bCs w:val="0"/>
          <w:sz w:val="32"/>
          <w:szCs w:val="32"/>
          <w:lang w:eastAsia="zh-CN"/>
        </w:rPr>
      </w:pPr>
      <w:r>
        <w:drawing>
          <wp:inline distT="0" distB="0" distL="114300" distR="114300">
            <wp:extent cx="4826000" cy="2743200"/>
            <wp:effectExtent l="4445" t="4445" r="8255" b="1460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AA28E06">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outlineLvl w:val="9"/>
        <w:rPr>
          <w:rFonts w:hint="eastAsia" w:ascii="楷体" w:hAnsi="楷体" w:eastAsia="楷体" w:cs="楷体"/>
          <w:b w:val="0"/>
          <w:bCs w:val="0"/>
          <w:sz w:val="32"/>
          <w:szCs w:val="32"/>
          <w:lang w:eastAsia="zh-CN"/>
        </w:rPr>
      </w:pP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54"/>
        <w:gridCol w:w="2735"/>
        <w:gridCol w:w="2106"/>
        <w:gridCol w:w="1121"/>
      </w:tblGrid>
      <w:tr w14:paraId="4D3AA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nil"/>
              <w:left w:val="nil"/>
              <w:bottom w:val="nil"/>
              <w:right w:val="nil"/>
            </w:tcBorders>
            <w:shd w:val="clear" w:color="auto" w:fill="auto"/>
            <w:noWrap/>
            <w:vAlign w:val="center"/>
          </w:tcPr>
          <w:p w14:paraId="002FC245">
            <w:pPr>
              <w:jc w:val="center"/>
              <w:outlineLvl w:val="9"/>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按政府预算经济分类</w:t>
            </w:r>
          </w:p>
        </w:tc>
      </w:tr>
      <w:tr w14:paraId="5506D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0A1E">
            <w:pPr>
              <w:keepNext w:val="0"/>
              <w:keepLines w:val="0"/>
              <w:widowControl/>
              <w:suppressLineNumbers w:val="0"/>
              <w:jc w:val="center"/>
              <w:textAlignment w:val="center"/>
              <w:outlineLvl w:val="9"/>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一级名称</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E721">
            <w:pPr>
              <w:keepNext w:val="0"/>
              <w:keepLines w:val="0"/>
              <w:widowControl/>
              <w:suppressLineNumbers w:val="0"/>
              <w:jc w:val="center"/>
              <w:textAlignment w:val="center"/>
              <w:outlineLvl w:val="9"/>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二级名称</w:t>
            </w:r>
          </w:p>
        </w:tc>
        <w:tc>
          <w:tcPr>
            <w:tcW w:w="1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AF73">
            <w:pPr>
              <w:keepNext w:val="0"/>
              <w:keepLines w:val="0"/>
              <w:widowControl/>
              <w:suppressLineNumbers w:val="0"/>
              <w:jc w:val="center"/>
              <w:textAlignment w:val="center"/>
              <w:outlineLvl w:val="9"/>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年初预算数（金额：万元）</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5490">
            <w:pPr>
              <w:keepNext w:val="0"/>
              <w:keepLines w:val="0"/>
              <w:widowControl/>
              <w:suppressLineNumbers w:val="0"/>
              <w:jc w:val="center"/>
              <w:textAlignment w:val="center"/>
              <w:outlineLvl w:val="9"/>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占比</w:t>
            </w:r>
          </w:p>
        </w:tc>
      </w:tr>
      <w:tr w14:paraId="77C57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AF96581">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w:t>
            </w:r>
          </w:p>
        </w:tc>
        <w:tc>
          <w:tcPr>
            <w:tcW w:w="160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B399D44">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工资奖金津补贴</w:t>
            </w:r>
          </w:p>
        </w:tc>
        <w:tc>
          <w:tcPr>
            <w:tcW w:w="12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8D8B974">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89.42</w:t>
            </w:r>
          </w:p>
        </w:tc>
        <w:tc>
          <w:tcPr>
            <w:tcW w:w="65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FAB1685">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47.71%</w:t>
            </w:r>
          </w:p>
        </w:tc>
      </w:tr>
      <w:tr w14:paraId="55BD6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9FDD">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5425">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社会保障缴费</w:t>
            </w:r>
          </w:p>
        </w:tc>
        <w:tc>
          <w:tcPr>
            <w:tcW w:w="1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A3F5">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21.62</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6F94">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11.54%</w:t>
            </w:r>
          </w:p>
        </w:tc>
      </w:tr>
      <w:tr w14:paraId="185F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9BB4AB6">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w:t>
            </w:r>
          </w:p>
        </w:tc>
        <w:tc>
          <w:tcPr>
            <w:tcW w:w="160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B0C68CC">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住房公积金</w:t>
            </w:r>
          </w:p>
        </w:tc>
        <w:tc>
          <w:tcPr>
            <w:tcW w:w="12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852EFBF">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11.12</w:t>
            </w:r>
          </w:p>
        </w:tc>
        <w:tc>
          <w:tcPr>
            <w:tcW w:w="65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ABDE60F">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5.93%</w:t>
            </w:r>
          </w:p>
        </w:tc>
      </w:tr>
      <w:tr w14:paraId="5AA2A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74E6">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7A60">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其他工资福利支出</w:t>
            </w:r>
          </w:p>
        </w:tc>
        <w:tc>
          <w:tcPr>
            <w:tcW w:w="1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6E4F">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6.58</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FD85">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3.51%</w:t>
            </w:r>
          </w:p>
        </w:tc>
      </w:tr>
      <w:tr w14:paraId="05697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E2DF977">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人员经费</w:t>
            </w:r>
          </w:p>
        </w:tc>
        <w:tc>
          <w:tcPr>
            <w:tcW w:w="160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D1A498F">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对个人和家庭的补助（退休费）</w:t>
            </w:r>
          </w:p>
        </w:tc>
        <w:tc>
          <w:tcPr>
            <w:tcW w:w="12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E09B580">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9.57</w:t>
            </w:r>
          </w:p>
        </w:tc>
        <w:tc>
          <w:tcPr>
            <w:tcW w:w="65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7F35AB3">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w:t>
            </w:r>
          </w:p>
        </w:tc>
      </w:tr>
      <w:tr w14:paraId="7FDBA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5C1C">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商品和服务支出</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4760">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办公经费</w:t>
            </w:r>
          </w:p>
        </w:tc>
        <w:tc>
          <w:tcPr>
            <w:tcW w:w="1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B733">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CD03">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2.67%</w:t>
            </w:r>
          </w:p>
        </w:tc>
      </w:tr>
      <w:tr w14:paraId="6B57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04FD899">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商品和服务支出</w:t>
            </w:r>
          </w:p>
        </w:tc>
        <w:tc>
          <w:tcPr>
            <w:tcW w:w="160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C3CEEEB">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其他商品和服务支出</w:t>
            </w:r>
          </w:p>
        </w:tc>
        <w:tc>
          <w:tcPr>
            <w:tcW w:w="12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C2A73EE">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6.52</w:t>
            </w:r>
          </w:p>
        </w:tc>
        <w:tc>
          <w:tcPr>
            <w:tcW w:w="65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4850F2E">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3.48%</w:t>
            </w:r>
          </w:p>
        </w:tc>
      </w:tr>
      <w:tr w14:paraId="403AF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1945">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按项目管理的商品和服务支出</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7083">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按项目管理的商品和服务支出</w:t>
            </w:r>
          </w:p>
        </w:tc>
        <w:tc>
          <w:tcPr>
            <w:tcW w:w="1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0E37">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37.58</w:t>
            </w:r>
          </w:p>
        </w:tc>
        <w:tc>
          <w:tcPr>
            <w:tcW w:w="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4922">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20.05%</w:t>
            </w:r>
          </w:p>
        </w:tc>
      </w:tr>
      <w:tr w14:paraId="4577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9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DAFADB2">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60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BE6B564">
            <w:pPr>
              <w:jc w:val="center"/>
              <w:outlineLvl w:val="9"/>
              <w:rPr>
                <w:rFonts w:hint="eastAsia" w:ascii="宋体" w:hAnsi="宋体" w:eastAsia="宋体" w:cs="宋体"/>
                <w:i w:val="0"/>
                <w:iCs w:val="0"/>
                <w:color w:val="000000"/>
                <w:sz w:val="24"/>
                <w:szCs w:val="24"/>
                <w:u w:val="none"/>
              </w:rPr>
            </w:pPr>
          </w:p>
        </w:tc>
        <w:tc>
          <w:tcPr>
            <w:tcW w:w="12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9B72293">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187.41</w:t>
            </w:r>
          </w:p>
        </w:tc>
        <w:tc>
          <w:tcPr>
            <w:tcW w:w="65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38184F8">
            <w:pPr>
              <w:keepNext w:val="0"/>
              <w:keepLines w:val="0"/>
              <w:widowControl/>
              <w:suppressLineNumbers w:val="0"/>
              <w:jc w:val="center"/>
              <w:textAlignment w:val="center"/>
              <w:outlineLvl w:val="9"/>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100.00%</w:t>
            </w:r>
          </w:p>
        </w:tc>
      </w:tr>
    </w:tbl>
    <w:p w14:paraId="49E0C6CA">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outlineLvl w:val="9"/>
        <w:rPr>
          <w:rFonts w:hint="eastAsia" w:ascii="楷体" w:hAnsi="楷体" w:eastAsia="楷体" w:cs="楷体"/>
          <w:b w:val="0"/>
          <w:bCs w:val="0"/>
          <w:sz w:val="32"/>
          <w:szCs w:val="32"/>
          <w:lang w:eastAsia="zh-CN"/>
        </w:rPr>
      </w:pPr>
    </w:p>
    <w:p w14:paraId="725D31D8">
      <w:pPr>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outlineLvl w:val="9"/>
        <w:rPr>
          <w:rFonts w:hint="eastAsia" w:ascii="楷体" w:hAnsi="楷体" w:eastAsia="楷体" w:cs="楷体"/>
          <w:b w:val="0"/>
          <w:bCs w:val="0"/>
          <w:sz w:val="32"/>
          <w:szCs w:val="32"/>
          <w:lang w:eastAsia="zh-CN"/>
        </w:rPr>
      </w:pPr>
      <w:r>
        <w:drawing>
          <wp:inline distT="0" distB="0" distL="114300" distR="114300">
            <wp:extent cx="4826000" cy="2667000"/>
            <wp:effectExtent l="4445" t="4445" r="825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CEF38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2.预算配置</w:t>
      </w:r>
      <w:r>
        <w:rPr>
          <w:rFonts w:hint="eastAsia" w:ascii="仿宋" w:hAnsi="仿宋" w:eastAsia="仿宋" w:cs="仿宋"/>
          <w:b/>
          <w:bCs/>
          <w:sz w:val="32"/>
          <w:szCs w:val="32"/>
          <w:lang w:eastAsia="zh-CN"/>
        </w:rPr>
        <w:t>分析</w:t>
      </w:r>
      <w:r>
        <w:rPr>
          <w:rFonts w:hint="eastAsia" w:ascii="仿宋" w:hAnsi="仿宋" w:eastAsia="仿宋" w:cs="仿宋"/>
          <w:b/>
          <w:bCs/>
          <w:sz w:val="32"/>
          <w:szCs w:val="32"/>
          <w:lang w:val="en-US" w:eastAsia="zh-CN"/>
        </w:rPr>
        <w:t>及调整</w:t>
      </w:r>
    </w:p>
    <w:p w14:paraId="7B87E6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未提供预算调整的批复。</w:t>
      </w:r>
    </w:p>
    <w:p w14:paraId="1DDB19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（1）配置对比表如下：</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6"/>
        <w:gridCol w:w="2623"/>
        <w:gridCol w:w="2286"/>
        <w:gridCol w:w="2291"/>
      </w:tblGrid>
      <w:tr w14:paraId="10AEC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nil"/>
              <w:left w:val="nil"/>
              <w:bottom w:val="nil"/>
              <w:right w:val="nil"/>
            </w:tcBorders>
            <w:shd w:val="clear" w:color="auto" w:fill="auto"/>
            <w:noWrap/>
            <w:vAlign w:val="center"/>
          </w:tcPr>
          <w:p w14:paraId="7EBFAB95">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调整前后预算数配置对比表</w:t>
            </w:r>
          </w:p>
        </w:tc>
      </w:tr>
      <w:tr w14:paraId="5ED4B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D0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一级名称</w:t>
            </w:r>
          </w:p>
        </w:tc>
        <w:tc>
          <w:tcPr>
            <w:tcW w:w="1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BD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二级名称</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7E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调整前的预算数配置比</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BE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调整后的预算数配置比</w:t>
            </w:r>
          </w:p>
        </w:tc>
      </w:tr>
      <w:tr w14:paraId="579F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3"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18765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40"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FF90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34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A207FB4">
            <w:pPr>
              <w:keepNext w:val="0"/>
              <w:keepLines w:val="0"/>
              <w:widowControl/>
              <w:suppressLineNumbers w:val="0"/>
              <w:jc w:val="center"/>
              <w:textAlignment w:val="center"/>
              <w:rPr>
                <w:rFonts w:hint="eastAsia" w:ascii="宋体" w:hAnsi="宋体" w:eastAsia="宋体" w:cs="宋体"/>
                <w:i w:val="0"/>
                <w:iCs w:val="0"/>
                <w:color w:val="1E366A"/>
                <w:sz w:val="22"/>
                <w:szCs w:val="22"/>
                <w:u w:val="none"/>
              </w:rPr>
            </w:pPr>
            <w:r>
              <w:rPr>
                <w:rFonts w:hint="eastAsia" w:ascii="宋体" w:hAnsi="宋体" w:eastAsia="宋体" w:cs="宋体"/>
                <w:i w:val="0"/>
                <w:iCs w:val="0"/>
                <w:color w:val="1E366A"/>
                <w:kern w:val="0"/>
                <w:sz w:val="22"/>
                <w:szCs w:val="22"/>
                <w:u w:val="none"/>
                <w:lang w:val="en-US" w:eastAsia="zh-CN" w:bidi="ar"/>
              </w:rPr>
              <w:t>74.00%</w:t>
            </w:r>
          </w:p>
        </w:tc>
        <w:tc>
          <w:tcPr>
            <w:tcW w:w="134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F8FEEDD">
            <w:pPr>
              <w:keepNext w:val="0"/>
              <w:keepLines w:val="0"/>
              <w:widowControl/>
              <w:suppressLineNumbers w:val="0"/>
              <w:jc w:val="center"/>
              <w:textAlignment w:val="center"/>
              <w:rPr>
                <w:rFonts w:hint="eastAsia" w:ascii="宋体" w:hAnsi="宋体" w:eastAsia="宋体" w:cs="宋体"/>
                <w:i w:val="0"/>
                <w:iCs w:val="0"/>
                <w:color w:val="1E366A"/>
                <w:sz w:val="22"/>
                <w:szCs w:val="22"/>
                <w:u w:val="none"/>
              </w:rPr>
            </w:pPr>
            <w:r>
              <w:rPr>
                <w:rFonts w:hint="eastAsia" w:ascii="宋体" w:hAnsi="宋体" w:eastAsia="宋体" w:cs="宋体"/>
                <w:i w:val="0"/>
                <w:iCs w:val="0"/>
                <w:color w:val="1E366A"/>
                <w:kern w:val="0"/>
                <w:sz w:val="22"/>
                <w:szCs w:val="22"/>
                <w:u w:val="none"/>
                <w:lang w:val="en-US" w:eastAsia="zh-CN" w:bidi="ar"/>
              </w:rPr>
              <w:t>▲81.00%</w:t>
            </w:r>
          </w:p>
        </w:tc>
      </w:tr>
      <w:tr w14:paraId="39750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B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4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3369">
            <w:pPr>
              <w:keepNext w:val="0"/>
              <w:keepLines w:val="0"/>
              <w:widowControl/>
              <w:suppressLineNumbers w:val="0"/>
              <w:jc w:val="center"/>
              <w:textAlignment w:val="center"/>
              <w:rPr>
                <w:rFonts w:hint="eastAsia" w:ascii="宋体" w:hAnsi="宋体" w:eastAsia="宋体" w:cs="宋体"/>
                <w:i w:val="0"/>
                <w:iCs w:val="0"/>
                <w:color w:val="1E366A"/>
                <w:sz w:val="22"/>
                <w:szCs w:val="22"/>
                <w:u w:val="none"/>
              </w:rPr>
            </w:pPr>
            <w:r>
              <w:rPr>
                <w:rFonts w:hint="eastAsia" w:ascii="宋体" w:hAnsi="宋体" w:eastAsia="宋体" w:cs="宋体"/>
                <w:i w:val="0"/>
                <w:iCs w:val="0"/>
                <w:color w:val="1E366A"/>
                <w:kern w:val="0"/>
                <w:sz w:val="22"/>
                <w:szCs w:val="22"/>
                <w:u w:val="none"/>
                <w:lang w:val="en-US" w:eastAsia="zh-CN" w:bidi="ar"/>
              </w:rPr>
              <w:t>20.00%</w:t>
            </w:r>
          </w:p>
        </w:tc>
        <w:tc>
          <w:tcPr>
            <w:tcW w:w="1342"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18FC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69DB7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73"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404E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540"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3C2B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4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177006F">
            <w:pPr>
              <w:keepNext w:val="0"/>
              <w:keepLines w:val="0"/>
              <w:widowControl/>
              <w:suppressLineNumbers w:val="0"/>
              <w:jc w:val="center"/>
              <w:textAlignment w:val="center"/>
              <w:rPr>
                <w:rFonts w:hint="eastAsia" w:ascii="宋体" w:hAnsi="宋体" w:eastAsia="宋体" w:cs="宋体"/>
                <w:i w:val="0"/>
                <w:iCs w:val="0"/>
                <w:color w:val="1E366A"/>
                <w:sz w:val="22"/>
                <w:szCs w:val="22"/>
                <w:u w:val="none"/>
              </w:rPr>
            </w:pPr>
            <w:r>
              <w:rPr>
                <w:rFonts w:hint="eastAsia" w:ascii="宋体" w:hAnsi="宋体" w:eastAsia="宋体" w:cs="宋体"/>
                <w:i w:val="0"/>
                <w:iCs w:val="0"/>
                <w:color w:val="1E366A"/>
                <w:kern w:val="0"/>
                <w:sz w:val="22"/>
                <w:szCs w:val="22"/>
                <w:u w:val="none"/>
                <w:lang w:val="en-US" w:eastAsia="zh-CN" w:bidi="ar"/>
              </w:rPr>
              <w:t>6.00%</w:t>
            </w:r>
          </w:p>
        </w:tc>
        <w:tc>
          <w:tcPr>
            <w:tcW w:w="134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0701176">
            <w:pPr>
              <w:keepNext w:val="0"/>
              <w:keepLines w:val="0"/>
              <w:widowControl/>
              <w:suppressLineNumbers w:val="0"/>
              <w:jc w:val="center"/>
              <w:textAlignment w:val="center"/>
              <w:rPr>
                <w:rFonts w:hint="eastAsia" w:ascii="宋体" w:hAnsi="宋体" w:eastAsia="宋体" w:cs="宋体"/>
                <w:i w:val="0"/>
                <w:iCs w:val="0"/>
                <w:color w:val="1E366A"/>
                <w:sz w:val="22"/>
                <w:szCs w:val="22"/>
                <w:u w:val="none"/>
              </w:rPr>
            </w:pPr>
            <w:r>
              <w:rPr>
                <w:rFonts w:hint="eastAsia" w:ascii="宋体" w:hAnsi="宋体" w:eastAsia="宋体" w:cs="宋体"/>
                <w:i w:val="0"/>
                <w:iCs w:val="0"/>
                <w:color w:val="1E366A"/>
                <w:kern w:val="0"/>
                <w:sz w:val="22"/>
                <w:szCs w:val="22"/>
                <w:u w:val="none"/>
                <w:lang w:val="en-US" w:eastAsia="zh-CN" w:bidi="ar"/>
              </w:rPr>
              <w:t>▲17.00%</w:t>
            </w:r>
          </w:p>
        </w:tc>
      </w:tr>
    </w:tbl>
    <w:p w14:paraId="4ABC399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经过预算配置进行匹配及合理性分析，进行预算优化结构调整，详情见下表（金额：元）：</w:t>
      </w:r>
    </w:p>
    <w:p w14:paraId="30FBB50E">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center"/>
        <w:textAlignment w:val="auto"/>
        <w:outlineLvl w:val="9"/>
        <w:rPr>
          <w:rFonts w:hint="default" w:ascii="楷体" w:hAnsi="楷体" w:eastAsia="楷体" w:cs="楷体"/>
          <w:b/>
          <w:bCs/>
          <w:sz w:val="32"/>
          <w:szCs w:val="32"/>
          <w:lang w:val="en-US" w:eastAsia="zh-CN"/>
        </w:rPr>
      </w:pPr>
      <w:r>
        <w:rPr>
          <w:rFonts w:hint="eastAsia" w:ascii="仿宋" w:hAnsi="仿宋" w:eastAsia="仿宋" w:cs="仿宋"/>
          <w:sz w:val="32"/>
          <w:szCs w:val="32"/>
          <w:lang w:val="en-US" w:eastAsia="zh-CN"/>
        </w:rPr>
        <w:drawing>
          <wp:inline distT="0" distB="0" distL="114300" distR="114300">
            <wp:extent cx="5264785" cy="1036955"/>
            <wp:effectExtent l="0" t="0" r="12065" b="10795"/>
            <wp:docPr id="8" name="图片 8" descr="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17"/>
                    <pic:cNvPicPr>
                      <a:picLocks noChangeAspect="1"/>
                    </pic:cNvPicPr>
                  </pic:nvPicPr>
                  <pic:blipFill>
                    <a:blip r:embed="rId9"/>
                    <a:stretch>
                      <a:fillRect/>
                    </a:stretch>
                  </pic:blipFill>
                  <pic:spPr>
                    <a:xfrm>
                      <a:off x="0" y="0"/>
                      <a:ext cx="5264785" cy="1036955"/>
                    </a:xfrm>
                    <a:prstGeom prst="rect">
                      <a:avLst/>
                    </a:prstGeom>
                  </pic:spPr>
                </pic:pic>
              </a:graphicData>
            </a:graphic>
          </wp:inline>
        </w:drawing>
      </w:r>
    </w:p>
    <w:p w14:paraId="0277EEE6">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outlineLvl w:val="9"/>
        <w:rPr>
          <w:rFonts w:hint="eastAsia" w:ascii="楷体" w:hAnsi="楷体" w:eastAsia="楷体" w:cs="楷体"/>
          <w:b/>
          <w:bCs/>
          <w:sz w:val="32"/>
          <w:szCs w:val="32"/>
          <w:lang w:eastAsia="zh-CN"/>
        </w:rPr>
      </w:pPr>
      <w:r>
        <w:rPr>
          <w:rFonts w:hint="eastAsia" w:ascii="仿宋" w:hAnsi="仿宋" w:eastAsia="仿宋" w:cs="仿宋"/>
          <w:sz w:val="32"/>
          <w:szCs w:val="32"/>
          <w:lang w:val="en-US" w:eastAsia="zh-CN"/>
        </w:rPr>
        <w:drawing>
          <wp:inline distT="0" distB="0" distL="114300" distR="114300">
            <wp:extent cx="5264785" cy="1388745"/>
            <wp:effectExtent l="0" t="0" r="12065" b="1905"/>
            <wp:docPr id="17" name="图片 17" descr="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418"/>
                    <pic:cNvPicPr>
                      <a:picLocks noChangeAspect="1"/>
                    </pic:cNvPicPr>
                  </pic:nvPicPr>
                  <pic:blipFill>
                    <a:blip r:embed="rId10"/>
                    <a:stretch>
                      <a:fillRect/>
                    </a:stretch>
                  </pic:blipFill>
                  <pic:spPr>
                    <a:xfrm>
                      <a:off x="0" y="0"/>
                      <a:ext cx="5264785" cy="1388745"/>
                    </a:xfrm>
                    <a:prstGeom prst="rect">
                      <a:avLst/>
                    </a:prstGeom>
                  </pic:spPr>
                </pic:pic>
              </a:graphicData>
            </a:graphic>
          </wp:inline>
        </w:drawing>
      </w:r>
    </w:p>
    <w:p w14:paraId="13C2EE7D">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（2）预算整体调整率536,504.72/1,874,136.55=28.63%(绝对值)，预算调整原因如下：</w:t>
      </w:r>
    </w:p>
    <w:p w14:paraId="51A3389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①人员经费预算调增率31.49%，调增额435,573.95元。</w:t>
      </w:r>
      <w:r>
        <w:rPr>
          <w:rFonts w:hint="eastAsia" w:ascii="仿宋" w:hAnsi="仿宋" w:eastAsia="仿宋" w:cs="仿宋"/>
          <w:b w:val="0"/>
          <w:bCs w:val="0"/>
          <w:sz w:val="32"/>
          <w:szCs w:val="32"/>
          <w:highlight w:val="none"/>
          <w:lang w:val="en-US" w:eastAsia="zh-CN"/>
        </w:rPr>
        <w:t>上年度退休人员5人，在编在岗10人，本年度退休人员6人，在编在岗9至11人，</w:t>
      </w:r>
      <w:r>
        <w:rPr>
          <w:rFonts w:hint="eastAsia" w:ascii="仿宋" w:hAnsi="仿宋" w:eastAsia="仿宋" w:cs="仿宋"/>
          <w:b/>
          <w:bCs/>
          <w:sz w:val="32"/>
          <w:szCs w:val="32"/>
          <w:highlight w:val="none"/>
          <w:lang w:val="en-US" w:eastAsia="zh-CN"/>
        </w:rPr>
        <w:t>未提供预算批复，未说明调增原因。</w:t>
      </w:r>
    </w:p>
    <w:p w14:paraId="4E3E09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②公用经费调减率66.32%，调减额76,401.99元。</w:t>
      </w:r>
      <w:r>
        <w:rPr>
          <w:rFonts w:hint="eastAsia" w:ascii="仿宋" w:hAnsi="仿宋" w:eastAsia="仿宋" w:cs="仿宋"/>
          <w:b w:val="0"/>
          <w:bCs w:val="0"/>
          <w:sz w:val="32"/>
          <w:szCs w:val="32"/>
          <w:lang w:val="en-US" w:eastAsia="zh-CN"/>
        </w:rPr>
        <w:t>公用经费为维持机构基本运行发生的费用即工会经费，差旅费</w:t>
      </w:r>
      <w:r>
        <w:rPr>
          <w:rFonts w:hint="eastAsia" w:ascii="仿宋" w:hAnsi="仿宋" w:eastAsia="仿宋" w:cs="仿宋"/>
          <w:b w:val="0"/>
          <w:bCs w:val="0"/>
          <w:sz w:val="32"/>
          <w:szCs w:val="32"/>
          <w:highlight w:val="none"/>
          <w:lang w:val="en-US" w:eastAsia="zh-CN"/>
        </w:rPr>
        <w:t>等，</w:t>
      </w:r>
      <w:r>
        <w:rPr>
          <w:rFonts w:hint="eastAsia" w:ascii="仿宋" w:hAnsi="仿宋" w:eastAsia="仿宋" w:cs="仿宋"/>
          <w:b w:val="0"/>
          <w:bCs w:val="0"/>
          <w:sz w:val="32"/>
          <w:szCs w:val="32"/>
          <w:lang w:val="en-US" w:eastAsia="zh-CN"/>
        </w:rPr>
        <w:t>本年度未安排部门员工会议费，未安排交通费用报销（人员经费中包含车补），故由9,600.00元/月降为3,233.00元/月。</w:t>
      </w:r>
    </w:p>
    <w:p w14:paraId="411A16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eastAsia="zh-CN"/>
        </w:rPr>
        <w:t>③</w:t>
      </w:r>
      <w:r>
        <w:rPr>
          <w:rFonts w:hint="eastAsia" w:ascii="仿宋" w:hAnsi="仿宋" w:eastAsia="仿宋" w:cs="仿宋"/>
          <w:b/>
          <w:bCs/>
          <w:sz w:val="32"/>
          <w:szCs w:val="32"/>
          <w:lang w:val="en-US" w:eastAsia="zh-CN"/>
        </w:rPr>
        <w:t>项目支出调增率6.53%，调增额24,528.78元。</w:t>
      </w:r>
      <w:r>
        <w:rPr>
          <w:rFonts w:hint="eastAsia" w:ascii="仿宋" w:hAnsi="仿宋" w:eastAsia="仿宋" w:cs="仿宋"/>
          <w:b w:val="0"/>
          <w:bCs w:val="0"/>
          <w:sz w:val="32"/>
          <w:szCs w:val="32"/>
          <w:lang w:val="en-US" w:eastAsia="zh-CN"/>
        </w:rPr>
        <w:t>项目支出的绩效目标为</w:t>
      </w:r>
      <w:r>
        <w:rPr>
          <w:rFonts w:hint="eastAsia" w:ascii="仿宋" w:hAnsi="仿宋" w:eastAsia="仿宋" w:cs="仿宋"/>
          <w:b w:val="0"/>
          <w:bCs w:val="0"/>
          <w:sz w:val="32"/>
          <w:szCs w:val="32"/>
          <w:lang w:eastAsia="zh-CN"/>
        </w:rPr>
        <w:t>5次活动，1个同心乡村，成立开展佛教协会，宣传，发展</w:t>
      </w:r>
      <w:r>
        <w:rPr>
          <w:rFonts w:hint="eastAsia" w:ascii="仿宋" w:hAnsi="仿宋" w:eastAsia="仿宋" w:cs="仿宋"/>
          <w:b w:val="0"/>
          <w:bCs w:val="0"/>
          <w:sz w:val="32"/>
          <w:szCs w:val="32"/>
          <w:lang w:val="en-US" w:eastAsia="zh-CN"/>
        </w:rPr>
        <w:t>统一战线的盟友，37.58万元的年初预算额偏低，故调增2.45万元。</w:t>
      </w:r>
    </w:p>
    <w:p w14:paraId="06FF73EE">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30" w:name="_Toc3729"/>
      <w:r>
        <w:rPr>
          <w:rFonts w:hint="eastAsia" w:ascii="楷体" w:hAnsi="楷体" w:eastAsia="楷体" w:cs="楷体"/>
          <w:b/>
          <w:bCs/>
          <w:sz w:val="32"/>
          <w:szCs w:val="32"/>
          <w:lang w:eastAsia="zh-CN"/>
        </w:rPr>
        <w:t>预算执行</w:t>
      </w:r>
      <w:r>
        <w:rPr>
          <w:rFonts w:hint="eastAsia" w:ascii="楷体" w:hAnsi="楷体" w:eastAsia="楷体" w:cs="楷体"/>
          <w:b/>
          <w:bCs/>
          <w:sz w:val="32"/>
          <w:szCs w:val="32"/>
          <w:lang w:val="en-US" w:eastAsia="zh-CN"/>
        </w:rPr>
        <w:t>情况及分析</w:t>
      </w:r>
      <w:bookmarkEnd w:id="30"/>
    </w:p>
    <w:p w14:paraId="3AAAF8B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1.预算执行基本信息</w:t>
      </w:r>
    </w:p>
    <w:p w14:paraId="7984E3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（1）涉及核算账号列示如下：</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77"/>
        <w:gridCol w:w="2287"/>
        <w:gridCol w:w="2252"/>
      </w:tblGrid>
      <w:tr w14:paraId="1B4F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335" w:type="pct"/>
            <w:tcBorders>
              <w:top w:val="single" w:color="000000" w:sz="4" w:space="0"/>
              <w:left w:val="single" w:color="000000" w:sz="4" w:space="0"/>
              <w:bottom w:val="single" w:color="000000" w:sz="4" w:space="0"/>
              <w:right w:val="single" w:color="000000" w:sz="4" w:space="0"/>
            </w:tcBorders>
            <w:shd w:val="clear" w:color="5B9BD5" w:fill="5B9BD5"/>
            <w:noWrap/>
            <w:vAlign w:val="center"/>
          </w:tcPr>
          <w:p w14:paraId="083EA3D0">
            <w:pPr>
              <w:keepNext w:val="0"/>
              <w:keepLines w:val="0"/>
              <w:widowControl/>
              <w:suppressLineNumbers w:val="0"/>
              <w:jc w:val="center"/>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42" w:type="pct"/>
            <w:tcBorders>
              <w:top w:val="single" w:color="000000" w:sz="4" w:space="0"/>
              <w:left w:val="single" w:color="000000" w:sz="4" w:space="0"/>
              <w:bottom w:val="single" w:color="000000" w:sz="4" w:space="0"/>
              <w:right w:val="single" w:color="000000" w:sz="4" w:space="0"/>
            </w:tcBorders>
            <w:shd w:val="clear" w:color="5B9BD5" w:fill="5B9BD5"/>
            <w:noWrap/>
            <w:vAlign w:val="center"/>
          </w:tcPr>
          <w:p w14:paraId="644318BB">
            <w:pPr>
              <w:keepNext w:val="0"/>
              <w:keepLines w:val="0"/>
              <w:widowControl/>
              <w:suppressLineNumbers w:val="0"/>
              <w:jc w:val="center"/>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账号</w:t>
            </w:r>
          </w:p>
        </w:tc>
        <w:tc>
          <w:tcPr>
            <w:tcW w:w="1322" w:type="pct"/>
            <w:tcBorders>
              <w:top w:val="single" w:color="000000" w:sz="4" w:space="0"/>
              <w:left w:val="single" w:color="000000" w:sz="4" w:space="0"/>
              <w:bottom w:val="single" w:color="000000" w:sz="4" w:space="0"/>
              <w:right w:val="single" w:color="000000" w:sz="4" w:space="0"/>
            </w:tcBorders>
            <w:shd w:val="clear" w:color="5B9BD5" w:fill="5B9BD5"/>
            <w:noWrap/>
            <w:vAlign w:val="center"/>
          </w:tcPr>
          <w:p w14:paraId="7208D234">
            <w:pPr>
              <w:keepNext w:val="0"/>
              <w:keepLines w:val="0"/>
              <w:widowControl/>
              <w:suppressLineNumbers w:val="0"/>
              <w:jc w:val="center"/>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性质</w:t>
            </w:r>
          </w:p>
        </w:tc>
      </w:tr>
      <w:tr w14:paraId="35CB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335"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486FD9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雁峰区财政局零余额账户</w:t>
            </w:r>
          </w:p>
        </w:tc>
        <w:tc>
          <w:tcPr>
            <w:tcW w:w="1342"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77BCB4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606771371447</w:t>
            </w:r>
          </w:p>
        </w:tc>
        <w:tc>
          <w:tcPr>
            <w:tcW w:w="1322"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4894A4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财政零余额账户</w:t>
            </w:r>
          </w:p>
        </w:tc>
      </w:tr>
      <w:tr w14:paraId="7D98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3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16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中共雁峰区委统一战线工作部</w:t>
            </w:r>
          </w:p>
        </w:tc>
        <w:tc>
          <w:tcPr>
            <w:tcW w:w="13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F2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1905022009200028673</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93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零余额账户</w:t>
            </w:r>
          </w:p>
        </w:tc>
      </w:tr>
      <w:tr w14:paraId="6BCA9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335"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243F06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中共雁峰区委统一战线工作部</w:t>
            </w:r>
          </w:p>
        </w:tc>
        <w:tc>
          <w:tcPr>
            <w:tcW w:w="1342"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40008B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***011150000000416</w:t>
            </w:r>
          </w:p>
        </w:tc>
        <w:tc>
          <w:tcPr>
            <w:tcW w:w="1322"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7E5801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雁峰区财政局资金专户</w:t>
            </w:r>
          </w:p>
        </w:tc>
      </w:tr>
    </w:tbl>
    <w:p w14:paraId="1D6EEF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outlineLvl w:val="9"/>
        <w:rPr>
          <w:rFonts w:hint="eastAsia" w:ascii="仿宋" w:hAnsi="仿宋" w:eastAsia="仿宋" w:cs="仿宋"/>
          <w:b w:val="0"/>
          <w:bCs w:val="0"/>
          <w:sz w:val="32"/>
          <w:szCs w:val="32"/>
          <w:highlight w:val="none"/>
          <w:lang w:val="en-US" w:eastAsia="zh-CN"/>
        </w:rPr>
      </w:pP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05"/>
        <w:gridCol w:w="2606"/>
        <w:gridCol w:w="2502"/>
      </w:tblGrid>
      <w:tr w14:paraId="051F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B5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资金指标</w:t>
            </w:r>
          </w:p>
        </w:tc>
        <w:tc>
          <w:tcPr>
            <w:tcW w:w="1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EBD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金额（元）</w:t>
            </w:r>
          </w:p>
        </w:tc>
        <w:tc>
          <w:tcPr>
            <w:tcW w:w="1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001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占比</w:t>
            </w:r>
          </w:p>
        </w:tc>
      </w:tr>
      <w:tr w14:paraId="69F5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0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9B9D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财政零余额支付</w:t>
            </w:r>
          </w:p>
        </w:tc>
        <w:tc>
          <w:tcPr>
            <w:tcW w:w="153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7C940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733,779.00</w:t>
            </w:r>
          </w:p>
        </w:tc>
        <w:tc>
          <w:tcPr>
            <w:tcW w:w="146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AE41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32.50%</w:t>
            </w:r>
          </w:p>
        </w:tc>
      </w:tr>
      <w:tr w14:paraId="1FB0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77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单位零余额支付</w:t>
            </w:r>
          </w:p>
        </w:tc>
        <w:tc>
          <w:tcPr>
            <w:tcW w:w="15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59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1,524,058.29</w:t>
            </w:r>
          </w:p>
        </w:tc>
        <w:tc>
          <w:tcPr>
            <w:tcW w:w="1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4E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67.50%</w:t>
            </w:r>
          </w:p>
        </w:tc>
      </w:tr>
      <w:tr w14:paraId="43E11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00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F3AED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53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C6D22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2,257,837.29</w:t>
            </w:r>
          </w:p>
        </w:tc>
        <w:tc>
          <w:tcPr>
            <w:tcW w:w="146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B0DF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r>
    </w:tbl>
    <w:p w14:paraId="2C83E3D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highlight w:val="none"/>
          <w:lang w:val="en-US" w:eastAsia="zh-CN"/>
        </w:rPr>
      </w:pPr>
    </w:p>
    <w:p w14:paraId="2825EB9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highlight w:val="none"/>
          <w:lang w:val="en-US" w:eastAsia="zh-CN"/>
        </w:rPr>
      </w:pPr>
      <w:r>
        <w:drawing>
          <wp:inline distT="0" distB="0" distL="114300" distR="114300">
            <wp:extent cx="4826000" cy="2743200"/>
            <wp:effectExtent l="4445" t="4445" r="8255" b="14605"/>
            <wp:docPr id="2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4B31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b/>
          <w:bCs/>
          <w:sz w:val="32"/>
          <w:szCs w:val="32"/>
          <w:highlight w:val="yellow"/>
          <w:lang w:val="en-US" w:eastAsia="zh-CN"/>
        </w:rPr>
      </w:pPr>
      <w:r>
        <w:rPr>
          <w:rFonts w:hint="eastAsia" w:ascii="仿宋" w:hAnsi="仿宋" w:eastAsia="仿宋" w:cs="仿宋"/>
          <w:b w:val="0"/>
          <w:bCs w:val="0"/>
          <w:sz w:val="32"/>
          <w:szCs w:val="32"/>
          <w:highlight w:val="none"/>
          <w:lang w:val="en-US" w:eastAsia="zh-CN"/>
        </w:rPr>
        <w:t>截至2024年12月31日区委统战部在区财政局资金专户账户余额3,620.10元。</w:t>
      </w:r>
      <w:r>
        <w:rPr>
          <w:rFonts w:hint="eastAsia" w:ascii="仿宋" w:hAnsi="仿宋" w:eastAsia="仿宋" w:cs="仿宋"/>
          <w:b/>
          <w:bCs/>
          <w:sz w:val="32"/>
          <w:szCs w:val="32"/>
          <w:highlight w:val="none"/>
          <w:lang w:val="en-US" w:eastAsia="zh-CN"/>
        </w:rPr>
        <w:t>区委统战部未提供相关检查报告。</w:t>
      </w:r>
      <w:r>
        <w:rPr>
          <w:rFonts w:hint="eastAsia" w:ascii="仿宋" w:hAnsi="仿宋" w:eastAsia="仿宋" w:cs="仿宋"/>
          <w:b w:val="0"/>
          <w:bCs w:val="0"/>
          <w:sz w:val="32"/>
          <w:szCs w:val="32"/>
          <w:highlight w:val="none"/>
          <w:lang w:val="en-US" w:eastAsia="zh-CN"/>
        </w:rPr>
        <w:t>2024年12月收到退21—23年三八物资款3,400.00元，存入雁峰区财政局资金专户***011150000000416。</w:t>
      </w:r>
    </w:p>
    <w:p w14:paraId="591B71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highlight w:val="none"/>
          <w:lang w:val="en-US" w:eastAsia="zh-CN"/>
        </w:rPr>
        <w:t>（2）核算资金流时未使用双体系资金记账科目即银行存款—零余额账户用款额度（财务会计</w:t>
      </w:r>
      <w:r>
        <w:rPr>
          <w:rFonts w:hint="eastAsia" w:ascii="仿宋" w:hAnsi="仿宋" w:eastAsia="仿宋" w:cs="仿宋"/>
          <w:b w:val="0"/>
          <w:bCs w:val="0"/>
          <w:sz w:val="32"/>
          <w:szCs w:val="32"/>
          <w:lang w:val="en-US" w:eastAsia="zh-CN"/>
        </w:rPr>
        <w:t>）与资金结存—零余额账户用款额度（预算会计）。</w:t>
      </w:r>
    </w:p>
    <w:p w14:paraId="2AF9991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2.预算执行情况</w:t>
      </w:r>
    </w:p>
    <w:p w14:paraId="5603790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截至2024年12月31日单位指标执行情况表列示如下：</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3"/>
        <w:gridCol w:w="1144"/>
        <w:gridCol w:w="833"/>
        <w:gridCol w:w="912"/>
        <w:gridCol w:w="1126"/>
        <w:gridCol w:w="1230"/>
        <w:gridCol w:w="795"/>
        <w:gridCol w:w="1333"/>
      </w:tblGrid>
      <w:tr w14:paraId="0BA86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671"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32ABA825">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原始指标金额</w:t>
            </w:r>
          </w:p>
        </w:tc>
        <w:tc>
          <w:tcPr>
            <w:tcW w:w="671"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202C6628">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实际指标可用金额</w:t>
            </w:r>
          </w:p>
        </w:tc>
        <w:tc>
          <w:tcPr>
            <w:tcW w:w="489"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7513CBE4">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调整金额</w:t>
            </w:r>
          </w:p>
        </w:tc>
        <w:tc>
          <w:tcPr>
            <w:tcW w:w="535"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418FE29C">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指标结转数</w:t>
            </w:r>
          </w:p>
        </w:tc>
        <w:tc>
          <w:tcPr>
            <w:tcW w:w="661"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64B93B78">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计划金额</w:t>
            </w:r>
          </w:p>
        </w:tc>
        <w:tc>
          <w:tcPr>
            <w:tcW w:w="722"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11CBB0D9">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实际支付合计</w:t>
            </w:r>
          </w:p>
        </w:tc>
        <w:tc>
          <w:tcPr>
            <w:tcW w:w="466"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4A01403F">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实际</w:t>
            </w:r>
            <w:r>
              <w:rPr>
                <w:rFonts w:hint="eastAsia" w:ascii="宋体" w:hAnsi="宋体" w:eastAsia="宋体" w:cs="宋体"/>
                <w:b/>
                <w:bCs/>
                <w:i w:val="0"/>
                <w:iCs w:val="0"/>
                <w:color w:val="0000FF"/>
                <w:kern w:val="0"/>
                <w:sz w:val="20"/>
                <w:szCs w:val="20"/>
                <w:u w:val="single"/>
                <w:lang w:val="en-US" w:eastAsia="zh-CN" w:bidi="ar"/>
              </w:rPr>
              <w:t>支付</w:t>
            </w:r>
            <w:r>
              <w:rPr>
                <w:rFonts w:ascii="宋体" w:hAnsi="宋体" w:eastAsia="宋体" w:cs="宋体"/>
                <w:b/>
                <w:bCs/>
                <w:i w:val="0"/>
                <w:iCs w:val="0"/>
                <w:color w:val="0000FF"/>
                <w:kern w:val="0"/>
                <w:sz w:val="20"/>
                <w:szCs w:val="20"/>
                <w:u w:val="single"/>
                <w:lang w:val="en-US" w:eastAsia="zh-CN" w:bidi="ar"/>
              </w:rPr>
              <w:t>进度(%)</w:t>
            </w:r>
          </w:p>
        </w:tc>
        <w:tc>
          <w:tcPr>
            <w:tcW w:w="782"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5A6A6940">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指标结余</w:t>
            </w:r>
          </w:p>
        </w:tc>
      </w:tr>
      <w:tr w14:paraId="1F668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1"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516E1651">
            <w:pPr>
              <w:jc w:val="center"/>
              <w:outlineLvl w:val="9"/>
              <w:rPr>
                <w:rFonts w:hint="eastAsia" w:ascii="宋体" w:hAnsi="宋体" w:eastAsia="宋体" w:cs="宋体"/>
                <w:b/>
                <w:bCs/>
                <w:i w:val="0"/>
                <w:iCs w:val="0"/>
                <w:color w:val="0000FF"/>
                <w:sz w:val="20"/>
                <w:szCs w:val="20"/>
                <w:u w:val="single"/>
              </w:rPr>
            </w:pPr>
          </w:p>
        </w:tc>
        <w:tc>
          <w:tcPr>
            <w:tcW w:w="671"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6BC2A698">
            <w:pPr>
              <w:jc w:val="center"/>
              <w:outlineLvl w:val="9"/>
              <w:rPr>
                <w:rFonts w:hint="eastAsia" w:ascii="宋体" w:hAnsi="宋体" w:eastAsia="宋体" w:cs="宋体"/>
                <w:b/>
                <w:bCs/>
                <w:i w:val="0"/>
                <w:iCs w:val="0"/>
                <w:color w:val="0000FF"/>
                <w:sz w:val="20"/>
                <w:szCs w:val="20"/>
                <w:u w:val="single"/>
              </w:rPr>
            </w:pPr>
          </w:p>
        </w:tc>
        <w:tc>
          <w:tcPr>
            <w:tcW w:w="489"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2CA5879F">
            <w:pPr>
              <w:jc w:val="center"/>
              <w:outlineLvl w:val="9"/>
              <w:rPr>
                <w:rFonts w:hint="eastAsia" w:ascii="宋体" w:hAnsi="宋体" w:eastAsia="宋体" w:cs="宋体"/>
                <w:b/>
                <w:bCs/>
                <w:i w:val="0"/>
                <w:iCs w:val="0"/>
                <w:color w:val="0000FF"/>
                <w:sz w:val="20"/>
                <w:szCs w:val="20"/>
                <w:u w:val="single"/>
              </w:rPr>
            </w:pPr>
          </w:p>
        </w:tc>
        <w:tc>
          <w:tcPr>
            <w:tcW w:w="535"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5F62A4E1">
            <w:pPr>
              <w:jc w:val="center"/>
              <w:outlineLvl w:val="9"/>
              <w:rPr>
                <w:rFonts w:hint="eastAsia" w:ascii="宋体" w:hAnsi="宋体" w:eastAsia="宋体" w:cs="宋体"/>
                <w:b/>
                <w:bCs/>
                <w:i w:val="0"/>
                <w:iCs w:val="0"/>
                <w:color w:val="0000FF"/>
                <w:sz w:val="20"/>
                <w:szCs w:val="20"/>
                <w:u w:val="single"/>
              </w:rPr>
            </w:pPr>
          </w:p>
        </w:tc>
        <w:tc>
          <w:tcPr>
            <w:tcW w:w="661"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012542C1">
            <w:pPr>
              <w:jc w:val="center"/>
              <w:outlineLvl w:val="9"/>
              <w:rPr>
                <w:rFonts w:hint="eastAsia" w:ascii="宋体" w:hAnsi="宋体" w:eastAsia="宋体" w:cs="宋体"/>
                <w:b/>
                <w:bCs/>
                <w:i w:val="0"/>
                <w:iCs w:val="0"/>
                <w:color w:val="0000FF"/>
                <w:sz w:val="20"/>
                <w:szCs w:val="20"/>
                <w:u w:val="single"/>
              </w:rPr>
            </w:pPr>
          </w:p>
        </w:tc>
        <w:tc>
          <w:tcPr>
            <w:tcW w:w="722"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5A2D1D4B">
            <w:pPr>
              <w:jc w:val="center"/>
              <w:outlineLvl w:val="9"/>
              <w:rPr>
                <w:rFonts w:hint="eastAsia" w:ascii="宋体" w:hAnsi="宋体" w:eastAsia="宋体" w:cs="宋体"/>
                <w:b/>
                <w:bCs/>
                <w:i w:val="0"/>
                <w:iCs w:val="0"/>
                <w:color w:val="0000FF"/>
                <w:sz w:val="20"/>
                <w:szCs w:val="20"/>
                <w:u w:val="single"/>
              </w:rPr>
            </w:pPr>
          </w:p>
        </w:tc>
        <w:tc>
          <w:tcPr>
            <w:tcW w:w="466"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6399B3C8">
            <w:pPr>
              <w:jc w:val="center"/>
              <w:outlineLvl w:val="9"/>
              <w:rPr>
                <w:rFonts w:hint="eastAsia" w:ascii="宋体" w:hAnsi="宋体" w:eastAsia="宋体" w:cs="宋体"/>
                <w:b/>
                <w:bCs/>
                <w:i w:val="0"/>
                <w:iCs w:val="0"/>
                <w:color w:val="0000FF"/>
                <w:sz w:val="20"/>
                <w:szCs w:val="20"/>
                <w:u w:val="single"/>
              </w:rPr>
            </w:pPr>
          </w:p>
        </w:tc>
        <w:tc>
          <w:tcPr>
            <w:tcW w:w="782"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6BBCED21">
            <w:pPr>
              <w:jc w:val="center"/>
              <w:outlineLvl w:val="9"/>
              <w:rPr>
                <w:rFonts w:hint="eastAsia" w:ascii="宋体" w:hAnsi="宋体" w:eastAsia="宋体" w:cs="宋体"/>
                <w:b/>
                <w:bCs/>
                <w:i w:val="0"/>
                <w:iCs w:val="0"/>
                <w:color w:val="0000FF"/>
                <w:sz w:val="20"/>
                <w:szCs w:val="20"/>
                <w:u w:val="single"/>
              </w:rPr>
            </w:pPr>
          </w:p>
        </w:tc>
      </w:tr>
      <w:tr w14:paraId="131BE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71" w:type="pct"/>
            <w:tcBorders>
              <w:top w:val="single" w:color="3366FF" w:sz="4" w:space="0"/>
              <w:left w:val="single" w:color="3366FF" w:sz="4" w:space="0"/>
              <w:bottom w:val="single" w:color="3366FF" w:sz="4" w:space="0"/>
              <w:right w:val="single" w:color="3366FF" w:sz="4" w:space="0"/>
            </w:tcBorders>
            <w:shd w:val="clear" w:color="auto" w:fill="auto"/>
            <w:vAlign w:val="center"/>
          </w:tcPr>
          <w:p w14:paraId="17B445D2">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A</w:t>
            </w:r>
          </w:p>
        </w:tc>
        <w:tc>
          <w:tcPr>
            <w:tcW w:w="671" w:type="pct"/>
            <w:tcBorders>
              <w:top w:val="single" w:color="3366FF" w:sz="4" w:space="0"/>
              <w:left w:val="single" w:color="3366FF" w:sz="4" w:space="0"/>
              <w:bottom w:val="single" w:color="3366FF" w:sz="4" w:space="0"/>
              <w:right w:val="single" w:color="3366FF" w:sz="4" w:space="0"/>
            </w:tcBorders>
            <w:shd w:val="clear" w:color="auto" w:fill="auto"/>
            <w:vAlign w:val="center"/>
          </w:tcPr>
          <w:p w14:paraId="0A48016A">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B=A-C-D</w:t>
            </w:r>
          </w:p>
        </w:tc>
        <w:tc>
          <w:tcPr>
            <w:tcW w:w="489" w:type="pct"/>
            <w:tcBorders>
              <w:top w:val="single" w:color="3366FF" w:sz="4" w:space="0"/>
              <w:left w:val="single" w:color="3366FF" w:sz="4" w:space="0"/>
              <w:bottom w:val="single" w:color="3366FF" w:sz="4" w:space="0"/>
              <w:right w:val="single" w:color="3366FF" w:sz="4" w:space="0"/>
            </w:tcBorders>
            <w:shd w:val="clear" w:color="auto" w:fill="auto"/>
            <w:vAlign w:val="center"/>
          </w:tcPr>
          <w:p w14:paraId="3805F491">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C</w:t>
            </w:r>
          </w:p>
        </w:tc>
        <w:tc>
          <w:tcPr>
            <w:tcW w:w="535" w:type="pct"/>
            <w:tcBorders>
              <w:top w:val="single" w:color="3366FF" w:sz="4" w:space="0"/>
              <w:left w:val="single" w:color="3366FF" w:sz="4" w:space="0"/>
              <w:bottom w:val="single" w:color="3366FF" w:sz="4" w:space="0"/>
              <w:right w:val="single" w:color="3366FF" w:sz="4" w:space="0"/>
            </w:tcBorders>
            <w:shd w:val="clear" w:color="auto" w:fill="auto"/>
            <w:vAlign w:val="center"/>
          </w:tcPr>
          <w:p w14:paraId="07425F37">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1" w:type="pct"/>
            <w:tcBorders>
              <w:top w:val="single" w:color="3366FF" w:sz="4" w:space="0"/>
              <w:left w:val="single" w:color="3366FF" w:sz="4" w:space="0"/>
              <w:bottom w:val="single" w:color="3366FF" w:sz="4" w:space="0"/>
              <w:right w:val="single" w:color="3366FF" w:sz="4" w:space="0"/>
            </w:tcBorders>
            <w:shd w:val="clear" w:color="auto" w:fill="auto"/>
            <w:vAlign w:val="center"/>
          </w:tcPr>
          <w:p w14:paraId="6D911C30">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2" w:type="pct"/>
            <w:tcBorders>
              <w:top w:val="single" w:color="3366FF" w:sz="4" w:space="0"/>
              <w:left w:val="single" w:color="3366FF" w:sz="4" w:space="0"/>
              <w:bottom w:val="single" w:color="3366FF" w:sz="4" w:space="0"/>
              <w:right w:val="single" w:color="3366FF" w:sz="4" w:space="0"/>
            </w:tcBorders>
            <w:shd w:val="clear" w:color="auto" w:fill="auto"/>
            <w:vAlign w:val="center"/>
          </w:tcPr>
          <w:p w14:paraId="01353E01">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H+I+j2</w:t>
            </w:r>
          </w:p>
        </w:tc>
        <w:tc>
          <w:tcPr>
            <w:tcW w:w="466" w:type="pct"/>
            <w:tcBorders>
              <w:top w:val="single" w:color="3366FF" w:sz="4" w:space="0"/>
              <w:left w:val="single" w:color="3366FF" w:sz="4" w:space="0"/>
              <w:bottom w:val="single" w:color="3366FF" w:sz="4" w:space="0"/>
              <w:right w:val="single" w:color="3366FF" w:sz="4" w:space="0"/>
            </w:tcBorders>
            <w:shd w:val="clear" w:color="auto" w:fill="auto"/>
            <w:vAlign w:val="center"/>
          </w:tcPr>
          <w:p w14:paraId="6A40AC20">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(H+I)/B</w:t>
            </w:r>
          </w:p>
        </w:tc>
        <w:tc>
          <w:tcPr>
            <w:tcW w:w="782" w:type="pct"/>
            <w:tcBorders>
              <w:top w:val="single" w:color="3366FF" w:sz="4" w:space="0"/>
              <w:left w:val="single" w:color="3366FF" w:sz="4" w:space="0"/>
              <w:bottom w:val="single" w:color="3366FF" w:sz="4" w:space="0"/>
              <w:right w:val="single" w:color="3366FF" w:sz="4" w:space="0"/>
            </w:tcBorders>
            <w:shd w:val="clear" w:color="auto" w:fill="auto"/>
            <w:vAlign w:val="center"/>
          </w:tcPr>
          <w:p w14:paraId="41B66FFE">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B-(F+G)-(H+I+j2)</w:t>
            </w:r>
          </w:p>
        </w:tc>
      </w:tr>
      <w:tr w14:paraId="6F58D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1"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2C378FC3">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2,344,423.98</w:t>
            </w:r>
          </w:p>
        </w:tc>
        <w:tc>
          <w:tcPr>
            <w:tcW w:w="671"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64DBF892">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2,343,316.98</w:t>
            </w:r>
          </w:p>
        </w:tc>
        <w:tc>
          <w:tcPr>
            <w:tcW w:w="489"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1E72DF28">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1,107.00</w:t>
            </w:r>
          </w:p>
        </w:tc>
        <w:tc>
          <w:tcPr>
            <w:tcW w:w="535"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48CF1CFC">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85,471.22</w:t>
            </w:r>
          </w:p>
        </w:tc>
        <w:tc>
          <w:tcPr>
            <w:tcW w:w="661"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0E06A496">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2,257,837.29</w:t>
            </w:r>
          </w:p>
        </w:tc>
        <w:tc>
          <w:tcPr>
            <w:tcW w:w="722"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418DDD97">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2,257,837.29</w:t>
            </w:r>
          </w:p>
        </w:tc>
        <w:tc>
          <w:tcPr>
            <w:tcW w:w="466"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50196D49">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96.35%</w:t>
            </w:r>
          </w:p>
        </w:tc>
        <w:tc>
          <w:tcPr>
            <w:tcW w:w="782" w:type="pct"/>
            <w:tcBorders>
              <w:top w:val="single" w:color="3366FF" w:sz="4" w:space="0"/>
              <w:left w:val="single" w:color="3366FF" w:sz="4" w:space="0"/>
              <w:bottom w:val="single" w:color="3366FF" w:sz="4" w:space="0"/>
              <w:right w:val="single" w:color="3366FF" w:sz="4" w:space="0"/>
            </w:tcBorders>
            <w:shd w:val="clear" w:color="FFFFFF" w:fill="FFFFFF"/>
            <w:vAlign w:val="center"/>
          </w:tcPr>
          <w:p w14:paraId="2584660D">
            <w:pPr>
              <w:keepNext w:val="0"/>
              <w:keepLines w:val="0"/>
              <w:widowControl/>
              <w:suppressLineNumbers w:val="0"/>
              <w:jc w:val="right"/>
              <w:textAlignment w:val="center"/>
              <w:outlineLvl w:val="9"/>
              <w:rPr>
                <w:rFonts w:ascii="宋体" w:hAnsi="宋体" w:eastAsia="宋体" w:cs="宋体"/>
                <w:b/>
                <w:bCs/>
                <w:i w:val="0"/>
                <w:iCs w:val="0"/>
                <w:color w:val="000000"/>
                <w:sz w:val="15"/>
                <w:szCs w:val="15"/>
                <w:u w:val="none"/>
              </w:rPr>
            </w:pPr>
            <w:r>
              <w:rPr>
                <w:rFonts w:ascii="宋体" w:hAnsi="宋体" w:eastAsia="宋体" w:cs="宋体"/>
                <w:b/>
                <w:bCs/>
                <w:i w:val="0"/>
                <w:iCs w:val="0"/>
                <w:color w:val="000000"/>
                <w:kern w:val="0"/>
                <w:sz w:val="15"/>
                <w:szCs w:val="15"/>
                <w:u w:val="none"/>
                <w:lang w:val="en-US" w:eastAsia="zh-CN" w:bidi="ar"/>
              </w:rPr>
              <w:t>85,479.69</w:t>
            </w:r>
          </w:p>
        </w:tc>
      </w:tr>
    </w:tbl>
    <w:p w14:paraId="27375ABB">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（1）执行进度：</w:t>
      </w:r>
    </w:p>
    <w:p w14:paraId="367058D1">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val="0"/>
          <w:bCs w:val="0"/>
          <w:sz w:val="32"/>
          <w:szCs w:val="32"/>
          <w:highlight w:val="none"/>
          <w:lang w:val="en-US" w:eastAsia="zh-CN"/>
        </w:rPr>
        <w:t>总预算额度2,343,316.98元=2,344,423.98元-1,107.00元；</w:t>
      </w:r>
      <w:r>
        <w:rPr>
          <w:rFonts w:hint="eastAsia" w:ascii="仿宋" w:hAnsi="仿宋" w:eastAsia="仿宋" w:cs="仿宋"/>
          <w:b w:val="0"/>
          <w:bCs w:val="0"/>
          <w:sz w:val="32"/>
          <w:szCs w:val="32"/>
          <w:lang w:val="en-US" w:eastAsia="zh-CN"/>
        </w:rPr>
        <w:t>部门指标执行率：2,257,837.29/2,343,316.98=96.35%；</w:t>
      </w:r>
      <w:r>
        <w:rPr>
          <w:rFonts w:hint="eastAsia" w:ascii="仿宋" w:hAnsi="仿宋" w:eastAsia="仿宋" w:cs="仿宋"/>
          <w:b/>
          <w:bCs/>
          <w:sz w:val="32"/>
          <w:szCs w:val="32"/>
          <w:lang w:val="en-US" w:eastAsia="zh-CN"/>
        </w:rPr>
        <w:t>预算资金执行率：2,257,837.29/2,257,837.29=100.00%。</w:t>
      </w:r>
    </w:p>
    <w:p w14:paraId="32F668A6">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（2）指标与资金结余情况：</w:t>
      </w:r>
    </w:p>
    <w:p w14:paraId="235A7236">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预算指标结余：2,343,316.98-2,257,837.29=85,479.69元。详情见下表：</w:t>
      </w: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52"/>
        <w:gridCol w:w="3510"/>
        <w:gridCol w:w="1952"/>
      </w:tblGrid>
      <w:tr w14:paraId="426E3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792" w:type="pct"/>
            <w:tcBorders>
              <w:top w:val="nil"/>
              <w:left w:val="nil"/>
              <w:bottom w:val="nil"/>
              <w:right w:val="nil"/>
            </w:tcBorders>
            <w:shd w:val="clear" w:color="auto" w:fill="auto"/>
            <w:noWrap/>
            <w:vAlign w:val="center"/>
          </w:tcPr>
          <w:p w14:paraId="43D76588">
            <w:pPr>
              <w:keepNext w:val="0"/>
              <w:keepLines w:val="0"/>
              <w:widowControl/>
              <w:suppressLineNumbers w:val="0"/>
              <w:jc w:val="left"/>
              <w:textAlignment w:val="center"/>
              <w:outlineLvl w:val="9"/>
              <w:rPr>
                <w:rFonts w:hint="eastAsia" w:ascii="宋体" w:hAnsi="宋体" w:eastAsia="宋体" w:cs="宋体"/>
                <w:i w:val="0"/>
                <w:iCs w:val="0"/>
                <w:color w:val="000000"/>
                <w:sz w:val="21"/>
                <w:szCs w:val="21"/>
                <w:u w:val="none"/>
              </w:rPr>
            </w:pPr>
          </w:p>
        </w:tc>
        <w:tc>
          <w:tcPr>
            <w:tcW w:w="2061" w:type="pct"/>
            <w:tcBorders>
              <w:top w:val="nil"/>
              <w:left w:val="nil"/>
              <w:bottom w:val="nil"/>
              <w:right w:val="nil"/>
            </w:tcBorders>
            <w:shd w:val="clear" w:color="auto" w:fill="auto"/>
            <w:noWrap/>
            <w:vAlign w:val="center"/>
          </w:tcPr>
          <w:p w14:paraId="25090F66">
            <w:pPr>
              <w:outlineLvl w:val="9"/>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单位指标结余情况表</w:t>
            </w:r>
          </w:p>
        </w:tc>
        <w:tc>
          <w:tcPr>
            <w:tcW w:w="1146" w:type="pct"/>
            <w:tcBorders>
              <w:top w:val="nil"/>
              <w:left w:val="nil"/>
              <w:bottom w:val="nil"/>
              <w:right w:val="nil"/>
            </w:tcBorders>
            <w:shd w:val="clear" w:color="auto" w:fill="auto"/>
            <w:noWrap/>
            <w:vAlign w:val="center"/>
          </w:tcPr>
          <w:p w14:paraId="256794BB">
            <w:pPr>
              <w:outlineLvl w:val="9"/>
              <w:rPr>
                <w:rFonts w:hint="eastAsia" w:ascii="宋体" w:hAnsi="宋体" w:eastAsia="宋体" w:cs="宋体"/>
                <w:i w:val="0"/>
                <w:iCs w:val="0"/>
                <w:color w:val="000000"/>
                <w:sz w:val="21"/>
                <w:szCs w:val="21"/>
                <w:u w:val="none"/>
              </w:rPr>
            </w:pPr>
          </w:p>
        </w:tc>
      </w:tr>
      <w:tr w14:paraId="002B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E818">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指标</w:t>
            </w:r>
          </w:p>
        </w:tc>
        <w:tc>
          <w:tcPr>
            <w:tcW w:w="20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CBA2">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金额（元）</w:t>
            </w:r>
          </w:p>
        </w:tc>
        <w:tc>
          <w:tcPr>
            <w:tcW w:w="1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C43F">
            <w:pPr>
              <w:keepNext w:val="0"/>
              <w:keepLines w:val="0"/>
              <w:widowControl/>
              <w:suppressLineNumbers w:val="0"/>
              <w:jc w:val="center"/>
              <w:textAlignment w:val="center"/>
              <w:outlineLvl w:val="9"/>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占比</w:t>
            </w:r>
          </w:p>
        </w:tc>
      </w:tr>
      <w:tr w14:paraId="0D76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C16EE9A">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原始指标</w:t>
            </w:r>
          </w:p>
        </w:tc>
        <w:tc>
          <w:tcPr>
            <w:tcW w:w="206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920B52F">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2,344,423.98</w:t>
            </w:r>
          </w:p>
        </w:tc>
        <w:tc>
          <w:tcPr>
            <w:tcW w:w="114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B4472EA">
            <w:pPr>
              <w:jc w:val="center"/>
              <w:outlineLvl w:val="9"/>
              <w:rPr>
                <w:rFonts w:hint="eastAsia" w:ascii="宋体" w:hAnsi="宋体" w:eastAsia="宋体" w:cs="宋体"/>
                <w:i w:val="0"/>
                <w:iCs w:val="0"/>
                <w:color w:val="000000"/>
                <w:sz w:val="21"/>
                <w:szCs w:val="21"/>
                <w:u w:val="none"/>
              </w:rPr>
            </w:pPr>
          </w:p>
        </w:tc>
      </w:tr>
      <w:tr w14:paraId="7433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EE14">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调减金额</w:t>
            </w:r>
          </w:p>
        </w:tc>
        <w:tc>
          <w:tcPr>
            <w:tcW w:w="20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DA50">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1,107.00</w:t>
            </w:r>
          </w:p>
        </w:tc>
        <w:tc>
          <w:tcPr>
            <w:tcW w:w="1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C2B9">
            <w:pPr>
              <w:jc w:val="center"/>
              <w:outlineLvl w:val="9"/>
              <w:rPr>
                <w:rFonts w:hint="eastAsia" w:ascii="宋体" w:hAnsi="宋体" w:eastAsia="宋体" w:cs="宋体"/>
                <w:i w:val="0"/>
                <w:iCs w:val="0"/>
                <w:color w:val="000000"/>
                <w:sz w:val="21"/>
                <w:szCs w:val="21"/>
                <w:u w:val="none"/>
              </w:rPr>
            </w:pPr>
          </w:p>
        </w:tc>
      </w:tr>
      <w:tr w14:paraId="472C8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3E67872">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实际指标</w:t>
            </w:r>
          </w:p>
        </w:tc>
        <w:tc>
          <w:tcPr>
            <w:tcW w:w="206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0267EAE">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2,343,316.98</w:t>
            </w:r>
          </w:p>
        </w:tc>
        <w:tc>
          <w:tcPr>
            <w:tcW w:w="114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DD3028F">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r>
      <w:tr w14:paraId="2148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175C">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实际支付财政零余额</w:t>
            </w:r>
          </w:p>
        </w:tc>
        <w:tc>
          <w:tcPr>
            <w:tcW w:w="20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33EE">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733,779.00</w:t>
            </w:r>
          </w:p>
        </w:tc>
        <w:tc>
          <w:tcPr>
            <w:tcW w:w="1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87B6B">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31.31%</w:t>
            </w:r>
          </w:p>
        </w:tc>
      </w:tr>
      <w:tr w14:paraId="6693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D26738A">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实际支付单位零余额</w:t>
            </w:r>
          </w:p>
        </w:tc>
        <w:tc>
          <w:tcPr>
            <w:tcW w:w="206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FF02555">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1,524,058.29</w:t>
            </w:r>
          </w:p>
        </w:tc>
        <w:tc>
          <w:tcPr>
            <w:tcW w:w="114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44AA9B4">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65.04%</w:t>
            </w:r>
          </w:p>
        </w:tc>
      </w:tr>
      <w:tr w14:paraId="07A4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72B8">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使用指标总额</w:t>
            </w:r>
          </w:p>
        </w:tc>
        <w:tc>
          <w:tcPr>
            <w:tcW w:w="20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C11B">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2,257,837.29</w:t>
            </w:r>
          </w:p>
        </w:tc>
        <w:tc>
          <w:tcPr>
            <w:tcW w:w="1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035E">
            <w:pPr>
              <w:jc w:val="center"/>
              <w:outlineLvl w:val="9"/>
              <w:rPr>
                <w:rFonts w:hint="eastAsia" w:ascii="宋体" w:hAnsi="宋体" w:eastAsia="宋体" w:cs="宋体"/>
                <w:i w:val="0"/>
                <w:iCs w:val="0"/>
                <w:color w:val="000000"/>
                <w:sz w:val="21"/>
                <w:szCs w:val="21"/>
                <w:u w:val="none"/>
              </w:rPr>
            </w:pPr>
          </w:p>
        </w:tc>
      </w:tr>
      <w:tr w14:paraId="43C0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14F1513">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指标结余</w:t>
            </w:r>
          </w:p>
        </w:tc>
        <w:tc>
          <w:tcPr>
            <w:tcW w:w="206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51B5CA4">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85,479.69</w:t>
            </w:r>
          </w:p>
        </w:tc>
        <w:tc>
          <w:tcPr>
            <w:tcW w:w="114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DA810B0">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r>
    </w:tbl>
    <w:p w14:paraId="2358D1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（3）指标结余原因：</w:t>
      </w:r>
    </w:p>
    <w:p w14:paraId="291772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在执行表中，减少指标数的指标文号为财预C〔2024〕0436号，经济分类为其他商品和服务类支出，指标管理类为项目支出，详情见下表：</w:t>
      </w:r>
    </w:p>
    <w:tbl>
      <w:tblPr>
        <w:tblStyle w:val="1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6"/>
        <w:gridCol w:w="1116"/>
        <w:gridCol w:w="666"/>
        <w:gridCol w:w="446"/>
        <w:gridCol w:w="521"/>
        <w:gridCol w:w="1116"/>
        <w:gridCol w:w="1026"/>
        <w:gridCol w:w="1027"/>
        <w:gridCol w:w="1657"/>
      </w:tblGrid>
      <w:tr w14:paraId="3326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31"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566D7EC1">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指标文号</w:t>
            </w:r>
          </w:p>
        </w:tc>
        <w:tc>
          <w:tcPr>
            <w:tcW w:w="573"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7A1084BC">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下达日期</w:t>
            </w:r>
          </w:p>
        </w:tc>
        <w:tc>
          <w:tcPr>
            <w:tcW w:w="930" w:type="pct"/>
            <w:gridSpan w:val="2"/>
            <w:tcBorders>
              <w:top w:val="single" w:color="3366FF" w:sz="4" w:space="0"/>
              <w:left w:val="single" w:color="3366FF" w:sz="4" w:space="0"/>
              <w:bottom w:val="single" w:color="3366FF" w:sz="4" w:space="0"/>
              <w:right w:val="single" w:color="3366FF" w:sz="4" w:space="0"/>
            </w:tcBorders>
            <w:shd w:val="clear" w:color="99CCFF" w:fill="99CCFF"/>
            <w:vAlign w:val="center"/>
          </w:tcPr>
          <w:p w14:paraId="100B7470">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部门经济分类</w:t>
            </w:r>
          </w:p>
        </w:tc>
        <w:tc>
          <w:tcPr>
            <w:tcW w:w="444"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4A2CBE93">
            <w:pPr>
              <w:keepNext w:val="0"/>
              <w:keepLines w:val="0"/>
              <w:widowControl/>
              <w:suppressLineNumbers w:val="0"/>
              <w:jc w:val="center"/>
              <w:textAlignment w:val="center"/>
              <w:outlineLvl w:val="9"/>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指标管理类型</w:t>
            </w:r>
          </w:p>
        </w:tc>
        <w:tc>
          <w:tcPr>
            <w:tcW w:w="573"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2C3637DD">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原始指标金额</w:t>
            </w:r>
          </w:p>
        </w:tc>
        <w:tc>
          <w:tcPr>
            <w:tcW w:w="546"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2584DAC4">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计划金额</w:t>
            </w:r>
          </w:p>
        </w:tc>
        <w:tc>
          <w:tcPr>
            <w:tcW w:w="546"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47A4E565">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实际支付单位零余额</w:t>
            </w:r>
          </w:p>
        </w:tc>
        <w:tc>
          <w:tcPr>
            <w:tcW w:w="852" w:type="pct"/>
            <w:vMerge w:val="restart"/>
            <w:tcBorders>
              <w:top w:val="single" w:color="3366FF" w:sz="4" w:space="0"/>
              <w:left w:val="single" w:color="3366FF" w:sz="4" w:space="0"/>
              <w:bottom w:val="single" w:color="3366FF" w:sz="4" w:space="0"/>
              <w:right w:val="single" w:color="3366FF" w:sz="4" w:space="0"/>
            </w:tcBorders>
            <w:shd w:val="clear" w:color="99CCFF" w:fill="99CCFF"/>
            <w:vAlign w:val="center"/>
          </w:tcPr>
          <w:p w14:paraId="7D905C31">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指标结余</w:t>
            </w:r>
          </w:p>
        </w:tc>
      </w:tr>
      <w:tr w14:paraId="1C9A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1"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588954C7">
            <w:pPr>
              <w:jc w:val="center"/>
              <w:outlineLvl w:val="9"/>
              <w:rPr>
                <w:rFonts w:hint="eastAsia" w:ascii="宋体" w:hAnsi="宋体" w:eastAsia="宋体" w:cs="宋体"/>
                <w:b/>
                <w:bCs/>
                <w:i w:val="0"/>
                <w:iCs w:val="0"/>
                <w:color w:val="0000FF"/>
                <w:sz w:val="20"/>
                <w:szCs w:val="20"/>
                <w:u w:val="single"/>
              </w:rPr>
            </w:pPr>
          </w:p>
        </w:tc>
        <w:tc>
          <w:tcPr>
            <w:tcW w:w="573"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6A466965">
            <w:pPr>
              <w:jc w:val="center"/>
              <w:outlineLvl w:val="9"/>
              <w:rPr>
                <w:rFonts w:hint="eastAsia" w:ascii="宋体" w:hAnsi="宋体" w:eastAsia="宋体" w:cs="宋体"/>
                <w:b/>
                <w:bCs/>
                <w:i w:val="0"/>
                <w:iCs w:val="0"/>
                <w:color w:val="0000FF"/>
                <w:sz w:val="20"/>
                <w:szCs w:val="20"/>
                <w:u w:val="single"/>
              </w:rPr>
            </w:pPr>
          </w:p>
        </w:tc>
        <w:tc>
          <w:tcPr>
            <w:tcW w:w="485" w:type="pct"/>
            <w:tcBorders>
              <w:top w:val="single" w:color="3366FF" w:sz="4" w:space="0"/>
              <w:left w:val="single" w:color="3366FF" w:sz="4" w:space="0"/>
              <w:bottom w:val="single" w:color="3366FF" w:sz="4" w:space="0"/>
              <w:right w:val="single" w:color="3366FF" w:sz="4" w:space="0"/>
            </w:tcBorders>
            <w:shd w:val="clear" w:color="99CCFF" w:fill="99CCFF"/>
            <w:vAlign w:val="center"/>
          </w:tcPr>
          <w:p w14:paraId="59F202BC">
            <w:pPr>
              <w:keepNext w:val="0"/>
              <w:keepLines w:val="0"/>
              <w:widowControl/>
              <w:suppressLineNumbers w:val="0"/>
              <w:jc w:val="center"/>
              <w:textAlignment w:val="center"/>
              <w:outlineLvl w:val="9"/>
              <w:rPr>
                <w:rFonts w:ascii="宋体" w:hAnsi="宋体" w:eastAsia="宋体" w:cs="宋体"/>
                <w:b/>
                <w:bCs/>
                <w:i w:val="0"/>
                <w:iCs w:val="0"/>
                <w:color w:val="0000FF"/>
                <w:sz w:val="20"/>
                <w:szCs w:val="20"/>
                <w:u w:val="single"/>
              </w:rPr>
            </w:pPr>
            <w:r>
              <w:rPr>
                <w:rFonts w:ascii="宋体" w:hAnsi="宋体" w:eastAsia="宋体" w:cs="宋体"/>
                <w:b/>
                <w:bCs/>
                <w:i w:val="0"/>
                <w:iCs w:val="0"/>
                <w:color w:val="0000FF"/>
                <w:kern w:val="0"/>
                <w:sz w:val="20"/>
                <w:szCs w:val="20"/>
                <w:u w:val="single"/>
                <w:lang w:val="en-US" w:eastAsia="zh-CN" w:bidi="ar"/>
              </w:rPr>
              <w:t>代码</w:t>
            </w:r>
          </w:p>
        </w:tc>
        <w:tc>
          <w:tcPr>
            <w:tcW w:w="444" w:type="pct"/>
            <w:tcBorders>
              <w:top w:val="single" w:color="3366FF" w:sz="4" w:space="0"/>
              <w:left w:val="single" w:color="3366FF" w:sz="4" w:space="0"/>
              <w:bottom w:val="single" w:color="3366FF" w:sz="4" w:space="0"/>
              <w:right w:val="single" w:color="3366FF" w:sz="4" w:space="0"/>
            </w:tcBorders>
            <w:shd w:val="clear" w:color="99CCFF" w:fill="99CCFF"/>
            <w:vAlign w:val="center"/>
          </w:tcPr>
          <w:p w14:paraId="5E8CAEF2">
            <w:pPr>
              <w:keepNext w:val="0"/>
              <w:keepLines w:val="0"/>
              <w:widowControl/>
              <w:suppressLineNumbers w:val="0"/>
              <w:jc w:val="center"/>
              <w:textAlignment w:val="center"/>
              <w:outlineLvl w:val="9"/>
              <w:rPr>
                <w:rFonts w:ascii="宋体" w:hAnsi="宋体" w:eastAsia="宋体" w:cs="宋体"/>
                <w:b/>
                <w:bCs/>
                <w:i w:val="0"/>
                <w:iCs w:val="0"/>
                <w:color w:val="000000"/>
                <w:sz w:val="20"/>
                <w:szCs w:val="20"/>
                <w:u w:val="none"/>
              </w:rPr>
            </w:pPr>
            <w:r>
              <w:rPr>
                <w:rFonts w:ascii="宋体" w:hAnsi="宋体" w:eastAsia="宋体" w:cs="宋体"/>
                <w:b/>
                <w:bCs/>
                <w:i w:val="0"/>
                <w:iCs w:val="0"/>
                <w:color w:val="000000"/>
                <w:kern w:val="0"/>
                <w:sz w:val="20"/>
                <w:szCs w:val="20"/>
                <w:u w:val="none"/>
                <w:lang w:val="en-US" w:eastAsia="zh-CN" w:bidi="ar"/>
              </w:rPr>
              <w:t>名称</w:t>
            </w:r>
          </w:p>
        </w:tc>
        <w:tc>
          <w:tcPr>
            <w:tcW w:w="444"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2F97C494">
            <w:pPr>
              <w:jc w:val="center"/>
              <w:outlineLvl w:val="9"/>
              <w:rPr>
                <w:rFonts w:hint="eastAsia" w:ascii="宋体" w:hAnsi="宋体" w:eastAsia="宋体" w:cs="宋体"/>
                <w:b/>
                <w:bCs/>
                <w:i w:val="0"/>
                <w:iCs w:val="0"/>
                <w:color w:val="000000"/>
                <w:sz w:val="20"/>
                <w:szCs w:val="20"/>
                <w:u w:val="none"/>
              </w:rPr>
            </w:pPr>
          </w:p>
        </w:tc>
        <w:tc>
          <w:tcPr>
            <w:tcW w:w="573"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18E51E96">
            <w:pPr>
              <w:jc w:val="center"/>
              <w:outlineLvl w:val="9"/>
              <w:rPr>
                <w:rFonts w:hint="eastAsia" w:ascii="宋体" w:hAnsi="宋体" w:eastAsia="宋体" w:cs="宋体"/>
                <w:b/>
                <w:bCs/>
                <w:i w:val="0"/>
                <w:iCs w:val="0"/>
                <w:color w:val="0000FF"/>
                <w:sz w:val="20"/>
                <w:szCs w:val="20"/>
                <w:u w:val="single"/>
              </w:rPr>
            </w:pPr>
          </w:p>
        </w:tc>
        <w:tc>
          <w:tcPr>
            <w:tcW w:w="546"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1B6D6DC2">
            <w:pPr>
              <w:jc w:val="center"/>
              <w:outlineLvl w:val="9"/>
              <w:rPr>
                <w:rFonts w:hint="eastAsia" w:ascii="宋体" w:hAnsi="宋体" w:eastAsia="宋体" w:cs="宋体"/>
                <w:b/>
                <w:bCs/>
                <w:i w:val="0"/>
                <w:iCs w:val="0"/>
                <w:color w:val="0000FF"/>
                <w:sz w:val="20"/>
                <w:szCs w:val="20"/>
                <w:u w:val="single"/>
              </w:rPr>
            </w:pPr>
          </w:p>
        </w:tc>
        <w:tc>
          <w:tcPr>
            <w:tcW w:w="546"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59DA1C5E">
            <w:pPr>
              <w:jc w:val="center"/>
              <w:outlineLvl w:val="9"/>
              <w:rPr>
                <w:rFonts w:hint="eastAsia" w:ascii="宋体" w:hAnsi="宋体" w:eastAsia="宋体" w:cs="宋体"/>
                <w:b/>
                <w:bCs/>
                <w:i w:val="0"/>
                <w:iCs w:val="0"/>
                <w:color w:val="0000FF"/>
                <w:sz w:val="20"/>
                <w:szCs w:val="20"/>
                <w:u w:val="single"/>
              </w:rPr>
            </w:pPr>
          </w:p>
        </w:tc>
        <w:tc>
          <w:tcPr>
            <w:tcW w:w="852" w:type="pct"/>
            <w:vMerge w:val="continue"/>
            <w:tcBorders>
              <w:top w:val="single" w:color="3366FF" w:sz="4" w:space="0"/>
              <w:left w:val="single" w:color="3366FF" w:sz="4" w:space="0"/>
              <w:bottom w:val="single" w:color="3366FF" w:sz="4" w:space="0"/>
              <w:right w:val="single" w:color="3366FF" w:sz="4" w:space="0"/>
            </w:tcBorders>
            <w:shd w:val="clear" w:color="99CCFF" w:fill="99CCFF"/>
            <w:vAlign w:val="center"/>
          </w:tcPr>
          <w:p w14:paraId="2F260EA8">
            <w:pPr>
              <w:jc w:val="center"/>
              <w:outlineLvl w:val="9"/>
              <w:rPr>
                <w:rFonts w:hint="eastAsia" w:ascii="宋体" w:hAnsi="宋体" w:eastAsia="宋体" w:cs="宋体"/>
                <w:b/>
                <w:bCs/>
                <w:i w:val="0"/>
                <w:iCs w:val="0"/>
                <w:color w:val="0000FF"/>
                <w:sz w:val="20"/>
                <w:szCs w:val="20"/>
                <w:u w:val="single"/>
              </w:rPr>
            </w:pPr>
          </w:p>
        </w:tc>
      </w:tr>
      <w:tr w14:paraId="7449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31" w:type="pct"/>
            <w:tcBorders>
              <w:top w:val="single" w:color="3366FF" w:sz="4" w:space="0"/>
              <w:left w:val="single" w:color="3366FF" w:sz="4" w:space="0"/>
              <w:bottom w:val="single" w:color="3366FF" w:sz="4" w:space="0"/>
              <w:right w:val="single" w:color="3366FF" w:sz="4" w:space="0"/>
            </w:tcBorders>
            <w:shd w:val="clear" w:color="auto" w:fill="auto"/>
            <w:vAlign w:val="center"/>
          </w:tcPr>
          <w:p w14:paraId="13D9319A">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3366FF" w:sz="4" w:space="0"/>
              <w:left w:val="single" w:color="3366FF" w:sz="4" w:space="0"/>
              <w:bottom w:val="single" w:color="3366FF" w:sz="4" w:space="0"/>
              <w:right w:val="single" w:color="3366FF" w:sz="4" w:space="0"/>
            </w:tcBorders>
            <w:shd w:val="clear" w:color="auto" w:fill="auto"/>
            <w:vAlign w:val="center"/>
          </w:tcPr>
          <w:p w14:paraId="077D40D2">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5" w:type="pct"/>
            <w:tcBorders>
              <w:top w:val="single" w:color="3366FF" w:sz="4" w:space="0"/>
              <w:left w:val="single" w:color="3366FF" w:sz="4" w:space="0"/>
              <w:bottom w:val="single" w:color="3366FF" w:sz="4" w:space="0"/>
              <w:right w:val="single" w:color="3366FF" w:sz="4" w:space="0"/>
            </w:tcBorders>
            <w:shd w:val="clear" w:color="auto" w:fill="auto"/>
            <w:vAlign w:val="center"/>
          </w:tcPr>
          <w:p w14:paraId="339EB2EC">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pct"/>
            <w:tcBorders>
              <w:top w:val="single" w:color="3366FF" w:sz="4" w:space="0"/>
              <w:left w:val="single" w:color="3366FF" w:sz="4" w:space="0"/>
              <w:bottom w:val="single" w:color="3366FF" w:sz="4" w:space="0"/>
              <w:right w:val="single" w:color="3366FF" w:sz="4" w:space="0"/>
            </w:tcBorders>
            <w:shd w:val="clear" w:color="auto" w:fill="auto"/>
            <w:vAlign w:val="center"/>
          </w:tcPr>
          <w:p w14:paraId="758354CB">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44" w:type="pct"/>
            <w:tcBorders>
              <w:top w:val="single" w:color="3366FF" w:sz="4" w:space="0"/>
              <w:left w:val="single" w:color="3366FF" w:sz="4" w:space="0"/>
              <w:bottom w:val="single" w:color="3366FF" w:sz="4" w:space="0"/>
              <w:right w:val="single" w:color="3366FF" w:sz="4" w:space="0"/>
            </w:tcBorders>
            <w:shd w:val="clear" w:color="auto" w:fill="auto"/>
            <w:vAlign w:val="center"/>
          </w:tcPr>
          <w:p w14:paraId="159C4D1A">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3366FF" w:sz="4" w:space="0"/>
              <w:left w:val="single" w:color="3366FF" w:sz="4" w:space="0"/>
              <w:bottom w:val="single" w:color="3366FF" w:sz="4" w:space="0"/>
              <w:right w:val="single" w:color="3366FF" w:sz="4" w:space="0"/>
            </w:tcBorders>
            <w:shd w:val="clear" w:color="auto" w:fill="auto"/>
            <w:vAlign w:val="center"/>
          </w:tcPr>
          <w:p w14:paraId="3DB31506">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A</w:t>
            </w:r>
          </w:p>
        </w:tc>
        <w:tc>
          <w:tcPr>
            <w:tcW w:w="546" w:type="pct"/>
            <w:tcBorders>
              <w:top w:val="single" w:color="3366FF" w:sz="4" w:space="0"/>
              <w:left w:val="single" w:color="3366FF" w:sz="4" w:space="0"/>
              <w:bottom w:val="single" w:color="3366FF" w:sz="4" w:space="0"/>
              <w:right w:val="single" w:color="3366FF" w:sz="4" w:space="0"/>
            </w:tcBorders>
            <w:shd w:val="clear" w:color="auto" w:fill="auto"/>
            <w:vAlign w:val="center"/>
          </w:tcPr>
          <w:p w14:paraId="3E475E74">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6" w:type="pct"/>
            <w:tcBorders>
              <w:top w:val="single" w:color="3366FF" w:sz="4" w:space="0"/>
              <w:left w:val="single" w:color="3366FF" w:sz="4" w:space="0"/>
              <w:bottom w:val="single" w:color="3366FF" w:sz="4" w:space="0"/>
              <w:right w:val="single" w:color="3366FF" w:sz="4" w:space="0"/>
            </w:tcBorders>
            <w:shd w:val="clear" w:color="auto" w:fill="auto"/>
            <w:vAlign w:val="center"/>
          </w:tcPr>
          <w:p w14:paraId="3ED6CBD5">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I</w:t>
            </w:r>
          </w:p>
        </w:tc>
        <w:tc>
          <w:tcPr>
            <w:tcW w:w="852" w:type="pct"/>
            <w:tcBorders>
              <w:top w:val="single" w:color="3366FF" w:sz="4" w:space="0"/>
              <w:left w:val="single" w:color="3366FF" w:sz="4" w:space="0"/>
              <w:bottom w:val="single" w:color="3366FF" w:sz="4" w:space="0"/>
              <w:right w:val="single" w:color="3366FF" w:sz="4" w:space="0"/>
            </w:tcBorders>
            <w:shd w:val="clear" w:color="auto" w:fill="auto"/>
            <w:vAlign w:val="center"/>
          </w:tcPr>
          <w:p w14:paraId="2B2290F1">
            <w:pPr>
              <w:keepNext w:val="0"/>
              <w:keepLines w:val="0"/>
              <w:widowControl/>
              <w:suppressLineNumbers w:val="0"/>
              <w:jc w:val="center"/>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B-(F+G)-(H+I+j2)</w:t>
            </w:r>
          </w:p>
        </w:tc>
      </w:tr>
      <w:tr w14:paraId="63D1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31"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79D2A052">
            <w:pPr>
              <w:keepNext w:val="0"/>
              <w:keepLines w:val="0"/>
              <w:widowControl/>
              <w:suppressLineNumbers w:val="0"/>
              <w:jc w:val="lef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财预C〔2024〕0436号</w:t>
            </w:r>
          </w:p>
        </w:tc>
        <w:tc>
          <w:tcPr>
            <w:tcW w:w="573"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18BC2E47">
            <w:pPr>
              <w:keepNext w:val="0"/>
              <w:keepLines w:val="0"/>
              <w:widowControl/>
              <w:suppressLineNumbers w:val="0"/>
              <w:jc w:val="lef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2024-12-19</w:t>
            </w:r>
          </w:p>
        </w:tc>
        <w:tc>
          <w:tcPr>
            <w:tcW w:w="485"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30709E15">
            <w:pPr>
              <w:keepNext w:val="0"/>
              <w:keepLines w:val="0"/>
              <w:widowControl/>
              <w:suppressLineNumbers w:val="0"/>
              <w:jc w:val="lef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30299</w:t>
            </w:r>
          </w:p>
        </w:tc>
        <w:tc>
          <w:tcPr>
            <w:tcW w:w="444"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25DE21E2">
            <w:pPr>
              <w:keepNext w:val="0"/>
              <w:keepLines w:val="0"/>
              <w:widowControl/>
              <w:suppressLineNumbers w:val="0"/>
              <w:jc w:val="lef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其他商品和服务支出</w:t>
            </w:r>
          </w:p>
        </w:tc>
        <w:tc>
          <w:tcPr>
            <w:tcW w:w="444"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0C10709B">
            <w:pPr>
              <w:keepNext w:val="0"/>
              <w:keepLines w:val="0"/>
              <w:widowControl/>
              <w:suppressLineNumbers w:val="0"/>
              <w:jc w:val="lef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项目支出</w:t>
            </w:r>
          </w:p>
        </w:tc>
        <w:tc>
          <w:tcPr>
            <w:tcW w:w="573"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7823577D">
            <w:pPr>
              <w:keepNext w:val="0"/>
              <w:keepLines w:val="0"/>
              <w:widowControl/>
              <w:suppressLineNumbers w:val="0"/>
              <w:jc w:val="righ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109,900.00</w:t>
            </w:r>
          </w:p>
        </w:tc>
        <w:tc>
          <w:tcPr>
            <w:tcW w:w="546"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71053CB0">
            <w:pPr>
              <w:keepNext w:val="0"/>
              <w:keepLines w:val="0"/>
              <w:widowControl/>
              <w:suppressLineNumbers w:val="0"/>
              <w:jc w:val="righ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24,428.78</w:t>
            </w:r>
          </w:p>
        </w:tc>
        <w:tc>
          <w:tcPr>
            <w:tcW w:w="546"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04947250">
            <w:pPr>
              <w:keepNext w:val="0"/>
              <w:keepLines w:val="0"/>
              <w:widowControl/>
              <w:suppressLineNumbers w:val="0"/>
              <w:jc w:val="righ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24,428.78</w:t>
            </w:r>
          </w:p>
        </w:tc>
        <w:tc>
          <w:tcPr>
            <w:tcW w:w="852" w:type="pct"/>
            <w:tcBorders>
              <w:top w:val="single" w:color="3366FF" w:sz="4" w:space="0"/>
              <w:left w:val="single" w:color="3366FF" w:sz="4" w:space="0"/>
              <w:bottom w:val="single" w:color="3366FF" w:sz="4" w:space="0"/>
              <w:right w:val="single" w:color="3366FF" w:sz="4" w:space="0"/>
            </w:tcBorders>
            <w:shd w:val="clear" w:color="F8FDFF" w:fill="F8FDFF"/>
            <w:vAlign w:val="center"/>
          </w:tcPr>
          <w:p w14:paraId="62BC7EE7">
            <w:pPr>
              <w:keepNext w:val="0"/>
              <w:keepLines w:val="0"/>
              <w:widowControl/>
              <w:suppressLineNumbers w:val="0"/>
              <w:jc w:val="right"/>
              <w:textAlignment w:val="center"/>
              <w:outlineLvl w:val="9"/>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85,471.22</w:t>
            </w:r>
          </w:p>
        </w:tc>
      </w:tr>
    </w:tbl>
    <w:p w14:paraId="46FF6C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3.预算执行分析</w:t>
      </w:r>
    </w:p>
    <w:p w14:paraId="1209CA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1</w:t>
      </w:r>
      <w:r>
        <w:rPr>
          <w:rFonts w:hint="eastAsia" w:ascii="仿宋" w:hAnsi="仿宋" w:eastAsia="仿宋" w:cs="仿宋"/>
          <w:b/>
          <w:bCs/>
          <w:sz w:val="32"/>
          <w:szCs w:val="32"/>
          <w:lang w:eastAsia="zh-CN"/>
        </w:rPr>
        <w:t>）进度匹配度</w:t>
      </w:r>
      <w:r>
        <w:rPr>
          <w:rFonts w:hint="eastAsia" w:ascii="仿宋" w:hAnsi="仿宋" w:eastAsia="仿宋" w:cs="仿宋"/>
          <w:b/>
          <w:bCs/>
          <w:sz w:val="32"/>
          <w:szCs w:val="32"/>
          <w:lang w:val="en-US" w:eastAsia="zh-CN"/>
        </w:rPr>
        <w:t>与效率</w:t>
      </w:r>
      <w:r>
        <w:rPr>
          <w:rFonts w:hint="eastAsia" w:ascii="仿宋" w:hAnsi="仿宋" w:eastAsia="仿宋" w:cs="仿宋"/>
          <w:b/>
          <w:bCs/>
          <w:sz w:val="32"/>
          <w:szCs w:val="32"/>
          <w:lang w:eastAsia="zh-CN"/>
        </w:rPr>
        <w:t>：</w:t>
      </w:r>
      <w:r>
        <w:rPr>
          <w:rFonts w:hint="eastAsia" w:ascii="仿宋" w:hAnsi="仿宋" w:eastAsia="仿宋" w:cs="仿宋"/>
          <w:b w:val="0"/>
          <w:bCs w:val="0"/>
          <w:sz w:val="32"/>
          <w:szCs w:val="32"/>
          <w:lang w:val="en-US" w:eastAsia="zh-CN"/>
        </w:rPr>
        <w:t>资金支付及时，不存在项目等钱情况。2024年12月资金指标使用数占比17.49%，高于其他月份。指标下达数与指标使用数对比详情列示如下：</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3"/>
        <w:gridCol w:w="2320"/>
        <w:gridCol w:w="1228"/>
        <w:gridCol w:w="2201"/>
        <w:gridCol w:w="1331"/>
      </w:tblGrid>
      <w:tr w14:paraId="60737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41" w:type="pct"/>
            <w:tcBorders>
              <w:top w:val="single" w:color="4874CB" w:sz="4" w:space="0"/>
              <w:left w:val="single" w:color="4874CB" w:sz="4" w:space="0"/>
              <w:bottom w:val="single" w:color="4874CB" w:sz="8" w:space="0"/>
              <w:right w:val="single" w:color="91AADF" w:sz="4" w:space="0"/>
            </w:tcBorders>
            <w:shd w:val="clear" w:color="4874CB" w:fill="4874CB"/>
            <w:noWrap/>
            <w:vAlign w:val="center"/>
          </w:tcPr>
          <w:p w14:paraId="7DFBE6B5">
            <w:pPr>
              <w:keepNext w:val="0"/>
              <w:keepLines w:val="0"/>
              <w:widowControl/>
              <w:suppressLineNumbers w:val="0"/>
              <w:jc w:val="center"/>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月份</w:t>
            </w:r>
          </w:p>
        </w:tc>
        <w:tc>
          <w:tcPr>
            <w:tcW w:w="1362" w:type="pct"/>
            <w:tcBorders>
              <w:top w:val="single" w:color="4874CB" w:sz="4" w:space="0"/>
              <w:left w:val="single" w:color="91AADF" w:sz="4" w:space="0"/>
              <w:bottom w:val="single" w:color="4874CB" w:sz="8" w:space="0"/>
              <w:right w:val="single" w:color="91AADF" w:sz="4" w:space="0"/>
            </w:tcBorders>
            <w:shd w:val="clear" w:color="4874CB" w:fill="4874CB"/>
            <w:noWrap/>
            <w:vAlign w:val="center"/>
          </w:tcPr>
          <w:p w14:paraId="56D87822">
            <w:pPr>
              <w:keepNext w:val="0"/>
              <w:keepLines w:val="0"/>
              <w:widowControl/>
              <w:suppressLineNumbers w:val="0"/>
              <w:jc w:val="center"/>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指标下达数</w:t>
            </w:r>
          </w:p>
        </w:tc>
        <w:tc>
          <w:tcPr>
            <w:tcW w:w="721" w:type="pct"/>
            <w:tcBorders>
              <w:top w:val="single" w:color="4874CB" w:sz="4" w:space="0"/>
              <w:left w:val="single" w:color="91AADF" w:sz="4" w:space="0"/>
              <w:bottom w:val="single" w:color="4874CB" w:sz="8" w:space="0"/>
              <w:right w:val="single" w:color="91AADF" w:sz="4" w:space="0"/>
            </w:tcBorders>
            <w:shd w:val="clear" w:color="4874CB" w:fill="4874CB"/>
            <w:noWrap/>
            <w:vAlign w:val="center"/>
          </w:tcPr>
          <w:p w14:paraId="1FE2EB4A">
            <w:pPr>
              <w:keepNext w:val="0"/>
              <w:keepLines w:val="0"/>
              <w:widowControl/>
              <w:suppressLineNumbers w:val="0"/>
              <w:jc w:val="center"/>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占比1</w:t>
            </w:r>
          </w:p>
        </w:tc>
        <w:tc>
          <w:tcPr>
            <w:tcW w:w="1292" w:type="pct"/>
            <w:tcBorders>
              <w:top w:val="single" w:color="4874CB" w:sz="4" w:space="0"/>
              <w:left w:val="single" w:color="91AADF" w:sz="4" w:space="0"/>
              <w:bottom w:val="single" w:color="4874CB" w:sz="8" w:space="0"/>
              <w:right w:val="single" w:color="91AADF" w:sz="4" w:space="0"/>
            </w:tcBorders>
            <w:shd w:val="clear" w:color="4874CB" w:fill="4874CB"/>
            <w:noWrap/>
            <w:vAlign w:val="center"/>
          </w:tcPr>
          <w:p w14:paraId="66FB6138">
            <w:pPr>
              <w:keepNext w:val="0"/>
              <w:keepLines w:val="0"/>
              <w:widowControl/>
              <w:suppressLineNumbers w:val="0"/>
              <w:jc w:val="center"/>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指标使用数</w:t>
            </w:r>
          </w:p>
        </w:tc>
        <w:tc>
          <w:tcPr>
            <w:tcW w:w="781" w:type="pct"/>
            <w:tcBorders>
              <w:top w:val="single" w:color="4874CB" w:sz="4" w:space="0"/>
              <w:left w:val="single" w:color="91AADF" w:sz="4" w:space="0"/>
              <w:bottom w:val="single" w:color="4874CB" w:sz="8" w:space="0"/>
              <w:right w:val="single" w:color="4874CB" w:sz="4" w:space="0"/>
            </w:tcBorders>
            <w:shd w:val="clear" w:color="4874CB" w:fill="4874CB"/>
            <w:noWrap/>
            <w:vAlign w:val="center"/>
          </w:tcPr>
          <w:p w14:paraId="4AD33C99">
            <w:pPr>
              <w:keepNext w:val="0"/>
              <w:keepLines w:val="0"/>
              <w:widowControl/>
              <w:suppressLineNumbers w:val="0"/>
              <w:jc w:val="center"/>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占比2</w:t>
            </w:r>
          </w:p>
        </w:tc>
      </w:tr>
      <w:tr w14:paraId="5F414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BA5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1月</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AEE4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1,784,038.02</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CF65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79.02%</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F740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192,333.51</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5BC3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w:t>
            </w:r>
          </w:p>
        </w:tc>
      </w:tr>
      <w:tr w14:paraId="307FB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E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2月</w:t>
            </w:r>
          </w:p>
        </w:tc>
        <w:tc>
          <w:tcPr>
            <w:tcW w:w="1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0C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65,800.00</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1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1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2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174,442.99</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D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w:t>
            </w:r>
          </w:p>
        </w:tc>
      </w:tr>
      <w:tr w14:paraId="2221F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6098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3月</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E61E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30,000.00</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635C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C6F3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159,698.63</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7BE6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w:t>
            </w:r>
          </w:p>
        </w:tc>
      </w:tr>
      <w:tr w14:paraId="51191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A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4月</w:t>
            </w:r>
          </w:p>
        </w:tc>
        <w:tc>
          <w:tcPr>
            <w:tcW w:w="1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A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07A8">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9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130,026.85</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8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r>
      <w:tr w14:paraId="4BAFD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52A0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5月</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6223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D8076AC">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E88F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189,424.97</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150C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r>
      <w:tr w14:paraId="3185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E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6月</w:t>
            </w:r>
          </w:p>
        </w:tc>
        <w:tc>
          <w:tcPr>
            <w:tcW w:w="1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A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5C39">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A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194,318.21</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2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8.61%</w:t>
            </w:r>
          </w:p>
        </w:tc>
      </w:tr>
      <w:tr w14:paraId="3FDB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4C48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7月</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DA16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10,873.60</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8FF2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23D9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134,717.29</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2626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r>
      <w:tr w14:paraId="13EF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B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8月</w:t>
            </w:r>
          </w:p>
        </w:tc>
        <w:tc>
          <w:tcPr>
            <w:tcW w:w="1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C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77A43">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0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195,511.00</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D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w:t>
            </w:r>
          </w:p>
        </w:tc>
      </w:tr>
      <w:tr w14:paraId="460C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3737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9月</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6E53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100,000.00</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DAE6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034E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193,739.97</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55C6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8.58%</w:t>
            </w:r>
          </w:p>
        </w:tc>
      </w:tr>
      <w:tr w14:paraId="3716F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2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10月</w:t>
            </w:r>
          </w:p>
        </w:tc>
        <w:tc>
          <w:tcPr>
            <w:tcW w:w="1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B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DD2A">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0.00%</w:t>
            </w:r>
          </w:p>
        </w:tc>
        <w:tc>
          <w:tcPr>
            <w:tcW w:w="1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7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156,174.06</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EB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w:t>
            </w:r>
          </w:p>
        </w:tc>
      </w:tr>
      <w:tr w14:paraId="27260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FBB8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11月</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2B6F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105,483.00</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9855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346D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142,471.81</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F37A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w:t>
            </w:r>
          </w:p>
        </w:tc>
      </w:tr>
      <w:tr w14:paraId="00EE6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7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w:t>
            </w:r>
          </w:p>
        </w:tc>
        <w:tc>
          <w:tcPr>
            <w:tcW w:w="1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8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161,651.14</w:t>
            </w:r>
          </w:p>
        </w:tc>
        <w:tc>
          <w:tcPr>
            <w:tcW w:w="7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4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c>
          <w:tcPr>
            <w:tcW w:w="12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5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394,978.00</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2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17.49%</w:t>
            </w:r>
          </w:p>
        </w:tc>
      </w:tr>
      <w:tr w14:paraId="5C23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42FB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136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2EC5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2,257,845.76</w:t>
            </w:r>
          </w:p>
        </w:tc>
        <w:tc>
          <w:tcPr>
            <w:tcW w:w="7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E21C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c>
          <w:tcPr>
            <w:tcW w:w="12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9C4C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2,257,837.29</w:t>
            </w:r>
          </w:p>
        </w:tc>
        <w:tc>
          <w:tcPr>
            <w:tcW w:w="78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9C8D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3BE44F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ascii="仿宋" w:hAnsi="仿宋" w:eastAsia="仿宋" w:cs="仿宋"/>
          <w:b/>
          <w:bCs/>
          <w:sz w:val="32"/>
          <w:szCs w:val="32"/>
          <w:lang w:val="en-US" w:eastAsia="zh-CN"/>
        </w:rPr>
      </w:pPr>
    </w:p>
    <w:p w14:paraId="4D5DC9F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ascii="仿宋" w:hAnsi="仿宋" w:eastAsia="仿宋" w:cs="仿宋"/>
          <w:b/>
          <w:bCs/>
          <w:sz w:val="32"/>
          <w:szCs w:val="32"/>
          <w:lang w:val="en-US" w:eastAsia="zh-CN"/>
        </w:rPr>
      </w:pPr>
      <w:r>
        <w:drawing>
          <wp:inline distT="0" distB="0" distL="114300" distR="114300">
            <wp:extent cx="4921250" cy="3528695"/>
            <wp:effectExtent l="4445" t="4445" r="8255" b="1016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D928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资金</w:t>
      </w:r>
      <w:r>
        <w:rPr>
          <w:rFonts w:hint="eastAsia" w:ascii="仿宋" w:hAnsi="仿宋" w:eastAsia="仿宋" w:cs="仿宋"/>
          <w:b/>
          <w:bCs/>
          <w:sz w:val="32"/>
          <w:szCs w:val="32"/>
          <w:highlight w:val="none"/>
          <w:lang w:eastAsia="zh-CN"/>
        </w:rPr>
        <w:t>合规性检查</w:t>
      </w:r>
      <w:r>
        <w:rPr>
          <w:rFonts w:hint="eastAsia" w:ascii="仿宋" w:hAnsi="仿宋" w:eastAsia="仿宋" w:cs="仿宋"/>
          <w:b/>
          <w:bCs/>
          <w:sz w:val="32"/>
          <w:szCs w:val="32"/>
          <w:lang w:eastAsia="zh-CN"/>
        </w:rPr>
        <w:t>：</w:t>
      </w:r>
      <w:r>
        <w:rPr>
          <w:rFonts w:hint="eastAsia" w:ascii="仿宋" w:hAnsi="仿宋" w:eastAsia="仿宋" w:cs="仿宋"/>
          <w:b w:val="0"/>
          <w:bCs w:val="0"/>
          <w:sz w:val="32"/>
          <w:szCs w:val="32"/>
          <w:lang w:val="en-US" w:eastAsia="zh-CN"/>
        </w:rPr>
        <w:t>检查支出范围及内容是否符合预算用途和财经法规；</w:t>
      </w:r>
      <w:r>
        <w:rPr>
          <w:rFonts w:hint="eastAsia" w:ascii="仿宋" w:hAnsi="仿宋" w:eastAsia="仿宋" w:cs="仿宋"/>
          <w:b w:val="0"/>
          <w:bCs w:val="0"/>
          <w:sz w:val="32"/>
          <w:szCs w:val="32"/>
          <w:lang w:eastAsia="zh-CN"/>
        </w:rPr>
        <w:t>有无超范围、超标准支出</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报销凭证完整</w:t>
      </w:r>
      <w:r>
        <w:rPr>
          <w:rFonts w:hint="eastAsia" w:ascii="仿宋" w:hAnsi="仿宋" w:eastAsia="仿宋" w:cs="仿宋"/>
          <w:b w:val="0"/>
          <w:bCs w:val="0"/>
          <w:sz w:val="32"/>
          <w:szCs w:val="32"/>
          <w:lang w:val="en-US" w:eastAsia="zh-CN"/>
        </w:rPr>
        <w:t>性与</w:t>
      </w:r>
      <w:r>
        <w:rPr>
          <w:rFonts w:hint="eastAsia" w:ascii="仿宋" w:hAnsi="仿宋" w:eastAsia="仿宋" w:cs="仿宋"/>
          <w:b w:val="0"/>
          <w:bCs w:val="0"/>
          <w:sz w:val="32"/>
          <w:szCs w:val="32"/>
          <w:lang w:eastAsia="zh-CN"/>
        </w:rPr>
        <w:t>合规</w:t>
      </w:r>
      <w:r>
        <w:rPr>
          <w:rFonts w:hint="eastAsia" w:ascii="仿宋" w:hAnsi="仿宋" w:eastAsia="仿宋" w:cs="仿宋"/>
          <w:b w:val="0"/>
          <w:bCs w:val="0"/>
          <w:sz w:val="32"/>
          <w:szCs w:val="32"/>
          <w:lang w:val="en-US" w:eastAsia="zh-CN"/>
        </w:rPr>
        <w:t>性；</w:t>
      </w:r>
      <w:r>
        <w:rPr>
          <w:rFonts w:hint="eastAsia" w:ascii="仿宋" w:hAnsi="仿宋" w:eastAsia="仿宋" w:cs="仿宋"/>
          <w:b w:val="0"/>
          <w:bCs w:val="0"/>
          <w:sz w:val="32"/>
          <w:szCs w:val="32"/>
          <w:lang w:eastAsia="zh-CN"/>
        </w:rPr>
        <w:t>政府采购程序是否规范</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eastAsia="zh-CN"/>
        </w:rPr>
        <w:t>招投标是否合规</w:t>
      </w:r>
      <w:r>
        <w:rPr>
          <w:rFonts w:hint="eastAsia" w:ascii="仿宋" w:hAnsi="仿宋" w:eastAsia="仿宋" w:cs="仿宋"/>
          <w:b w:val="0"/>
          <w:bCs w:val="0"/>
          <w:sz w:val="32"/>
          <w:szCs w:val="32"/>
          <w:lang w:val="en-US" w:eastAsia="zh-CN"/>
        </w:rPr>
        <w:t>等。详情见后附各类支出情况汇总及分析。</w:t>
      </w:r>
    </w:p>
    <w:p w14:paraId="6682D6B7">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highlight w:val="none"/>
          <w:lang w:eastAsia="zh-CN"/>
        </w:rPr>
        <w:t>成本控制：</w:t>
      </w:r>
      <w:r>
        <w:rPr>
          <w:rFonts w:hint="eastAsia" w:ascii="仿宋" w:hAnsi="仿宋" w:eastAsia="仿宋" w:cs="仿宋"/>
          <w:b w:val="0"/>
          <w:bCs w:val="0"/>
          <w:sz w:val="32"/>
          <w:szCs w:val="32"/>
          <w:lang w:val="en-US" w:eastAsia="zh-CN"/>
        </w:rPr>
        <w:t>基本支出的绩效评价侧重成本控制和合规性。项目支出的绩效评价关联项目目标，如会议是否推动了政策落地、办公经费是否支撑了专项任务完成等。</w:t>
      </w:r>
      <w:r>
        <w:rPr>
          <w:rFonts w:hint="eastAsia" w:ascii="仿宋" w:hAnsi="仿宋" w:eastAsia="仿宋" w:cs="仿宋"/>
          <w:b w:val="0"/>
          <w:bCs w:val="0"/>
          <w:sz w:val="32"/>
          <w:szCs w:val="32"/>
          <w:lang w:eastAsia="zh-CN"/>
        </w:rPr>
        <w:t>实际支出与预算</w:t>
      </w:r>
      <w:r>
        <w:rPr>
          <w:rFonts w:hint="eastAsia" w:ascii="仿宋" w:hAnsi="仿宋" w:eastAsia="仿宋" w:cs="仿宋"/>
          <w:b w:val="0"/>
          <w:bCs w:val="0"/>
          <w:sz w:val="32"/>
          <w:szCs w:val="32"/>
          <w:lang w:val="en-US" w:eastAsia="zh-CN"/>
        </w:rPr>
        <w:t>金额总数相符，未超支，均为2,257,837.29元</w:t>
      </w:r>
      <w:r>
        <w:rPr>
          <w:rFonts w:hint="eastAsia" w:ascii="仿宋" w:hAnsi="仿宋" w:eastAsia="仿宋" w:cs="仿宋"/>
          <w:b w:val="0"/>
          <w:bCs w:val="0"/>
          <w:sz w:val="32"/>
          <w:szCs w:val="32"/>
          <w:lang w:eastAsia="zh-CN"/>
        </w:rPr>
        <w:t>。实际支出</w:t>
      </w:r>
      <w:r>
        <w:rPr>
          <w:rFonts w:hint="eastAsia" w:ascii="仿宋" w:hAnsi="仿宋" w:eastAsia="仿宋" w:cs="仿宋"/>
          <w:b w:val="0"/>
          <w:bCs w:val="0"/>
          <w:sz w:val="32"/>
          <w:szCs w:val="32"/>
          <w:lang w:val="en-US" w:eastAsia="zh-CN"/>
        </w:rPr>
        <w:t>内部明细结构进行调整。详情见后附各类支出情况汇总及分析。</w:t>
      </w:r>
    </w:p>
    <w:p w14:paraId="69415CA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eastAsia="zh-CN"/>
        </w:rPr>
        <w:t>对产出的影响：</w:t>
      </w:r>
      <w:r>
        <w:rPr>
          <w:rFonts w:hint="eastAsia" w:ascii="仿宋" w:hAnsi="仿宋" w:eastAsia="仿宋" w:cs="仿宋"/>
          <w:b w:val="0"/>
          <w:bCs w:val="0"/>
          <w:sz w:val="32"/>
          <w:szCs w:val="32"/>
          <w:highlight w:val="none"/>
          <w:lang w:val="en-US" w:eastAsia="zh-CN"/>
        </w:rPr>
        <w:t>未存在因预算执行合规与否、快慢情况直接影响绩效产出目标的实现的情况。</w:t>
      </w:r>
    </w:p>
    <w:p w14:paraId="193604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5</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本年度决算数与上年度决算数对比，略有下降（金额：元），</w:t>
      </w:r>
      <w:r>
        <w:rPr>
          <w:rFonts w:hint="eastAsia" w:ascii="仿宋" w:hAnsi="仿宋" w:eastAsia="仿宋" w:cs="仿宋"/>
          <w:b w:val="0"/>
          <w:bCs w:val="0"/>
          <w:sz w:val="32"/>
          <w:szCs w:val="32"/>
          <w:lang w:val="en-US" w:eastAsia="zh-CN"/>
        </w:rPr>
        <w:t>详情列示如下：</w:t>
      </w:r>
    </w:p>
    <w:p w14:paraId="39272CE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drawing>
          <wp:inline distT="0" distB="0" distL="114300" distR="114300">
            <wp:extent cx="5620385" cy="2621280"/>
            <wp:effectExtent l="0" t="0" r="18415" b="7620"/>
            <wp:docPr id="7" name="图片 7"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9"/>
                    <pic:cNvPicPr>
                      <a:picLocks noChangeAspect="1"/>
                    </pic:cNvPicPr>
                  </pic:nvPicPr>
                  <pic:blipFill>
                    <a:blip r:embed="rId13"/>
                    <a:stretch>
                      <a:fillRect/>
                    </a:stretch>
                  </pic:blipFill>
                  <pic:spPr>
                    <a:xfrm>
                      <a:off x="0" y="0"/>
                      <a:ext cx="5620385" cy="2621280"/>
                    </a:xfrm>
                    <a:prstGeom prst="rect">
                      <a:avLst/>
                    </a:prstGeom>
                  </pic:spPr>
                </pic:pic>
              </a:graphicData>
            </a:graphic>
          </wp:inline>
        </w:drawing>
      </w:r>
    </w:p>
    <w:p w14:paraId="6931816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本年度决算数与重分类数对比表列示如下，详情见后附项目支出管理情况汇总及分析与办公经费支出汇总。</w:t>
      </w:r>
    </w:p>
    <w:p w14:paraId="2054674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5266690" cy="938530"/>
            <wp:effectExtent l="0" t="0" r="10160" b="13970"/>
            <wp:docPr id="22" name="图片 22" descr="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666"/>
                    <pic:cNvPicPr>
                      <a:picLocks noChangeAspect="1"/>
                    </pic:cNvPicPr>
                  </pic:nvPicPr>
                  <pic:blipFill>
                    <a:blip r:embed="rId14"/>
                    <a:stretch>
                      <a:fillRect/>
                    </a:stretch>
                  </pic:blipFill>
                  <pic:spPr>
                    <a:xfrm>
                      <a:off x="0" y="0"/>
                      <a:ext cx="5266690" cy="938530"/>
                    </a:xfrm>
                    <a:prstGeom prst="rect">
                      <a:avLst/>
                    </a:prstGeom>
                  </pic:spPr>
                </pic:pic>
              </a:graphicData>
            </a:graphic>
          </wp:inline>
        </w:drawing>
      </w:r>
    </w:p>
    <w:p w14:paraId="57186E9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5264785" cy="1027430"/>
            <wp:effectExtent l="0" t="0" r="12065" b="1270"/>
            <wp:docPr id="24" name="图片 24" descr="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7788"/>
                    <pic:cNvPicPr>
                      <a:picLocks noChangeAspect="1"/>
                    </pic:cNvPicPr>
                  </pic:nvPicPr>
                  <pic:blipFill>
                    <a:blip r:embed="rId15"/>
                    <a:stretch>
                      <a:fillRect/>
                    </a:stretch>
                  </pic:blipFill>
                  <pic:spPr>
                    <a:xfrm>
                      <a:off x="0" y="0"/>
                      <a:ext cx="5264785" cy="1027430"/>
                    </a:xfrm>
                    <a:prstGeom prst="rect">
                      <a:avLst/>
                    </a:prstGeom>
                  </pic:spPr>
                </pic:pic>
              </a:graphicData>
            </a:graphic>
          </wp:inline>
        </w:drawing>
      </w:r>
    </w:p>
    <w:p w14:paraId="4BC0E29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本年度全年预算数、账套数、决算数、重分类决算数汇总对比表列示如下：</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3"/>
        <w:gridCol w:w="1578"/>
        <w:gridCol w:w="1578"/>
        <w:gridCol w:w="1578"/>
        <w:gridCol w:w="1756"/>
      </w:tblGrid>
      <w:tr w14:paraId="7F8A1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3430EB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2024年支出类别</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951BC4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全年预算数</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E6D4F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账套数</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87DC50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决算数</w:t>
            </w:r>
          </w:p>
        </w:tc>
        <w:tc>
          <w:tcPr>
            <w:tcW w:w="103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8F935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重分类后决算数</w:t>
            </w:r>
          </w:p>
        </w:tc>
      </w:tr>
      <w:tr w14:paraId="7314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D7E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基本支出-人员经费</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B93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1,818,720.50</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E29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1,836,911.55</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19C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1,818,710.50</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584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1,927,257.32</w:t>
            </w:r>
          </w:p>
        </w:tc>
      </w:tr>
      <w:tr w14:paraId="3236B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D7E78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基本支出-公用经费</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C5718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38,798.01</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6B4951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119,528.59</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65AB95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38,798.01</w:t>
            </w:r>
          </w:p>
        </w:tc>
        <w:tc>
          <w:tcPr>
            <w:tcW w:w="103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FC646D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54,323.01</w:t>
            </w:r>
          </w:p>
        </w:tc>
      </w:tr>
      <w:tr w14:paraId="363AD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A68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项目支出</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55A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400,328.78</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A6B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301,397.15</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2C7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400,328.78</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18E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276,256.96</w:t>
            </w:r>
          </w:p>
        </w:tc>
      </w:tr>
      <w:tr w14:paraId="21C2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1E096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EFCC9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2,257,847.29</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9A08BA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2,257,837.29</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431BC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2,257,837.29</w:t>
            </w:r>
          </w:p>
        </w:tc>
        <w:tc>
          <w:tcPr>
            <w:tcW w:w="103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DB1F7C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2,257,837.29</w:t>
            </w:r>
          </w:p>
        </w:tc>
      </w:tr>
    </w:tbl>
    <w:p w14:paraId="7E2AC0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ascii="仿宋" w:hAnsi="仿宋" w:eastAsia="仿宋" w:cs="仿宋"/>
          <w:b/>
          <w:bCs/>
          <w:sz w:val="32"/>
          <w:szCs w:val="32"/>
          <w:lang w:val="en-US" w:eastAsia="zh-CN"/>
        </w:rPr>
      </w:pP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23"/>
        <w:gridCol w:w="1578"/>
        <w:gridCol w:w="1578"/>
        <w:gridCol w:w="1578"/>
        <w:gridCol w:w="1756"/>
      </w:tblGrid>
      <w:tr w14:paraId="27525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6F2126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2024年支出类别</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1E192C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全年预算数</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5B5B87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账套数</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CA348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决算数</w:t>
            </w:r>
          </w:p>
        </w:tc>
        <w:tc>
          <w:tcPr>
            <w:tcW w:w="103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98861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重分类后决算数</w:t>
            </w:r>
          </w:p>
        </w:tc>
      </w:tr>
      <w:tr w14:paraId="113A6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819D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基本支出-人员经费</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57E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80.55%</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0C3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81.36%</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A3F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80.55%</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67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85.36%</w:t>
            </w:r>
          </w:p>
        </w:tc>
      </w:tr>
      <w:tr w14:paraId="24CFC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DD399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基本支出-公用经费</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88FECE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1.72%</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5E720E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5.29%</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B13C30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1.72%</w:t>
            </w:r>
          </w:p>
        </w:tc>
        <w:tc>
          <w:tcPr>
            <w:tcW w:w="103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E0916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2.41%</w:t>
            </w:r>
          </w:p>
        </w:tc>
      </w:tr>
      <w:tr w14:paraId="7726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B6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项目支出</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89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17.73%</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5FE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13.35%</w:t>
            </w:r>
          </w:p>
        </w:tc>
        <w:tc>
          <w:tcPr>
            <w:tcW w:w="9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BC0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17.73%</w:t>
            </w:r>
          </w:p>
        </w:tc>
        <w:tc>
          <w:tcPr>
            <w:tcW w:w="10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1C7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12.24%</w:t>
            </w:r>
          </w:p>
        </w:tc>
      </w:tr>
      <w:tr w14:paraId="41B5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B28EB3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563314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100.00%</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83580C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100.00%</w:t>
            </w:r>
          </w:p>
        </w:tc>
        <w:tc>
          <w:tcPr>
            <w:tcW w:w="92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2471D4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100.00%</w:t>
            </w:r>
          </w:p>
        </w:tc>
        <w:tc>
          <w:tcPr>
            <w:tcW w:w="103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04C6E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100.00%</w:t>
            </w:r>
          </w:p>
        </w:tc>
      </w:tr>
    </w:tbl>
    <w:p w14:paraId="49F5B10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sz w:val="32"/>
          <w:szCs w:val="32"/>
          <w:lang w:val="en-US" w:eastAsia="zh-CN"/>
        </w:rPr>
      </w:pPr>
    </w:p>
    <w:p w14:paraId="2E8EAE3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ascii="仿宋" w:hAnsi="仿宋" w:eastAsia="仿宋" w:cs="仿宋"/>
          <w:b w:val="0"/>
          <w:bCs w:val="0"/>
          <w:sz w:val="32"/>
          <w:szCs w:val="32"/>
          <w:lang w:val="en-US" w:eastAsia="zh-CN"/>
        </w:rPr>
      </w:pPr>
      <w:r>
        <w:drawing>
          <wp:inline distT="0" distB="0" distL="114300" distR="114300">
            <wp:extent cx="4826000" cy="4437380"/>
            <wp:effectExtent l="5080" t="4445" r="7620" b="15875"/>
            <wp:docPr id="2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DABC4C">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仿宋" w:hAnsi="仿宋" w:eastAsia="仿宋" w:cs="仿宋"/>
          <w:b w:val="0"/>
          <w:bCs w:val="0"/>
          <w:sz w:val="32"/>
          <w:szCs w:val="32"/>
          <w:lang w:val="en-US" w:eastAsia="zh-CN"/>
        </w:rPr>
      </w:pPr>
      <w:bookmarkStart w:id="31" w:name="_Toc9361"/>
      <w:r>
        <w:rPr>
          <w:rFonts w:hint="eastAsia" w:ascii="楷体" w:hAnsi="楷体" w:eastAsia="楷体" w:cs="楷体"/>
          <w:b/>
          <w:bCs/>
          <w:sz w:val="32"/>
          <w:szCs w:val="32"/>
          <w:lang w:val="en-US" w:eastAsia="zh-CN"/>
        </w:rPr>
        <w:t>各类支出汇总及分析</w:t>
      </w:r>
      <w:bookmarkEnd w:id="31"/>
    </w:p>
    <w:p w14:paraId="6E7074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检查支出范围及内容：是否符合预算用途和相关财经法规条例；有无超范围、超标准支出；报销凭证完整性与合规性；政府采购程序是否规范；招投标是否合规等。</w:t>
      </w:r>
    </w:p>
    <w:p w14:paraId="4645D9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1.整体支出情况汇总</w:t>
      </w:r>
    </w:p>
    <w:p w14:paraId="63B6F1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（1）整体支出明细账套数与决算数差异如下：</w:t>
      </w:r>
    </w:p>
    <w:p w14:paraId="1C718A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基本支出-人员经费差额-18,201.05为基本支出-人员经费-其他交通费用（津贴加车补扣除五险一金后的余额）调入项目支出-其他交通费用；</w:t>
      </w:r>
    </w:p>
    <w:p w14:paraId="5D0644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基本支出-公用经费决算数主要为工会经费38,000.00元；其余均调入项目支出。</w:t>
      </w:r>
    </w:p>
    <w:p w14:paraId="719DC9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详情见下表：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87"/>
        <w:gridCol w:w="2063"/>
        <w:gridCol w:w="2063"/>
        <w:gridCol w:w="1703"/>
      </w:tblGrid>
      <w:tr w14:paraId="60B5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4"/>
            <w:tcBorders>
              <w:top w:val="nil"/>
              <w:left w:val="nil"/>
              <w:bottom w:val="nil"/>
              <w:right w:val="nil"/>
            </w:tcBorders>
            <w:shd w:val="clear" w:color="auto" w:fill="auto"/>
            <w:noWrap/>
            <w:vAlign w:val="bottom"/>
          </w:tcPr>
          <w:p w14:paraId="16BCAF96">
            <w:pPr>
              <w:keepNext w:val="0"/>
              <w:keepLines w:val="0"/>
              <w:widowControl/>
              <w:suppressLineNumbers w:val="0"/>
              <w:jc w:val="center"/>
              <w:textAlignment w:val="bottom"/>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整体支出账套数与决算数对比情况表（金额：元）</w:t>
            </w:r>
          </w:p>
        </w:tc>
      </w:tr>
      <w:tr w14:paraId="115D3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78" w:type="pct"/>
            <w:tcBorders>
              <w:top w:val="single" w:color="000000" w:sz="8" w:space="0"/>
              <w:left w:val="single" w:color="000000" w:sz="8" w:space="0"/>
              <w:bottom w:val="single" w:color="000000" w:sz="8" w:space="0"/>
              <w:right w:val="single" w:color="000000" w:sz="8" w:space="0"/>
            </w:tcBorders>
            <w:shd w:val="clear" w:color="D9E1F4" w:fill="D9E1F4"/>
            <w:noWrap/>
            <w:vAlign w:val="center"/>
          </w:tcPr>
          <w:p w14:paraId="4817FA9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支出类别</w:t>
            </w:r>
          </w:p>
        </w:tc>
        <w:tc>
          <w:tcPr>
            <w:tcW w:w="1211" w:type="pct"/>
            <w:tcBorders>
              <w:top w:val="single" w:color="000000" w:sz="8" w:space="0"/>
              <w:left w:val="nil"/>
              <w:bottom w:val="single" w:color="000000" w:sz="8" w:space="0"/>
              <w:right w:val="single" w:color="000000" w:sz="8" w:space="0"/>
            </w:tcBorders>
            <w:shd w:val="clear" w:color="D9E1F4" w:fill="D9E1F4"/>
            <w:noWrap/>
            <w:vAlign w:val="center"/>
          </w:tcPr>
          <w:p w14:paraId="3FC95A3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2024年账套数</w:t>
            </w:r>
          </w:p>
        </w:tc>
        <w:tc>
          <w:tcPr>
            <w:tcW w:w="1211" w:type="pct"/>
            <w:tcBorders>
              <w:top w:val="single" w:color="000000" w:sz="8" w:space="0"/>
              <w:left w:val="nil"/>
              <w:bottom w:val="single" w:color="000000" w:sz="8" w:space="0"/>
              <w:right w:val="single" w:color="000000" w:sz="8" w:space="0"/>
            </w:tcBorders>
            <w:shd w:val="clear" w:color="D9E1F4" w:fill="D9E1F4"/>
            <w:noWrap/>
            <w:vAlign w:val="center"/>
          </w:tcPr>
          <w:p w14:paraId="5B5BB7B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2024年决算数</w:t>
            </w:r>
          </w:p>
        </w:tc>
        <w:tc>
          <w:tcPr>
            <w:tcW w:w="999" w:type="pct"/>
            <w:tcBorders>
              <w:top w:val="single" w:color="000000" w:sz="8" w:space="0"/>
              <w:left w:val="nil"/>
              <w:bottom w:val="single" w:color="000000" w:sz="8" w:space="0"/>
              <w:right w:val="single" w:color="000000" w:sz="8" w:space="0"/>
            </w:tcBorders>
            <w:shd w:val="clear" w:color="D9E1F4" w:fill="D9E1F4"/>
            <w:noWrap/>
            <w:vAlign w:val="center"/>
          </w:tcPr>
          <w:p w14:paraId="10F63E4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差额</w:t>
            </w:r>
          </w:p>
        </w:tc>
      </w:tr>
      <w:tr w14:paraId="7DCF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78" w:type="pct"/>
            <w:tcBorders>
              <w:top w:val="single" w:color="91AADF" w:sz="4" w:space="0"/>
              <w:left w:val="single" w:color="000000" w:sz="8" w:space="0"/>
              <w:bottom w:val="single" w:color="000000" w:sz="8" w:space="0"/>
              <w:right w:val="single" w:color="000000" w:sz="8" w:space="0"/>
            </w:tcBorders>
            <w:shd w:val="clear" w:color="auto" w:fill="auto"/>
            <w:noWrap/>
            <w:vAlign w:val="center"/>
          </w:tcPr>
          <w:p w14:paraId="382978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基本支出-人员经费</w:t>
            </w:r>
          </w:p>
        </w:tc>
        <w:tc>
          <w:tcPr>
            <w:tcW w:w="1211" w:type="pct"/>
            <w:tcBorders>
              <w:top w:val="single" w:color="91AADF" w:sz="4" w:space="0"/>
              <w:left w:val="nil"/>
              <w:bottom w:val="single" w:color="000000" w:sz="8" w:space="0"/>
              <w:right w:val="single" w:color="000000" w:sz="8" w:space="0"/>
            </w:tcBorders>
            <w:shd w:val="clear" w:color="auto" w:fill="auto"/>
            <w:noWrap/>
            <w:vAlign w:val="center"/>
          </w:tcPr>
          <w:p w14:paraId="3969F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1,836,911.55</w:t>
            </w:r>
          </w:p>
        </w:tc>
        <w:tc>
          <w:tcPr>
            <w:tcW w:w="1211" w:type="pct"/>
            <w:tcBorders>
              <w:top w:val="single" w:color="91AADF" w:sz="4" w:space="0"/>
              <w:left w:val="nil"/>
              <w:bottom w:val="single" w:color="000000" w:sz="8" w:space="0"/>
              <w:right w:val="single" w:color="000000" w:sz="8" w:space="0"/>
            </w:tcBorders>
            <w:shd w:val="clear" w:color="auto" w:fill="auto"/>
            <w:noWrap/>
            <w:vAlign w:val="center"/>
          </w:tcPr>
          <w:p w14:paraId="112D5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1,818,710.50</w:t>
            </w:r>
          </w:p>
        </w:tc>
        <w:tc>
          <w:tcPr>
            <w:tcW w:w="999" w:type="pct"/>
            <w:tcBorders>
              <w:top w:val="single" w:color="91AADF" w:sz="4" w:space="0"/>
              <w:left w:val="nil"/>
              <w:bottom w:val="single" w:color="000000" w:sz="8" w:space="0"/>
              <w:right w:val="single" w:color="000000" w:sz="8" w:space="0"/>
            </w:tcBorders>
            <w:shd w:val="clear" w:color="auto" w:fill="auto"/>
            <w:noWrap/>
            <w:vAlign w:val="center"/>
          </w:tcPr>
          <w:p w14:paraId="61815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-18,201.05</w:t>
            </w:r>
          </w:p>
        </w:tc>
      </w:tr>
      <w:tr w14:paraId="4D46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78" w:type="pct"/>
            <w:tcBorders>
              <w:top w:val="single" w:color="91AADF" w:sz="4" w:space="0"/>
              <w:left w:val="single" w:color="000000" w:sz="8" w:space="0"/>
              <w:bottom w:val="single" w:color="000000" w:sz="8" w:space="0"/>
              <w:right w:val="single" w:color="000000" w:sz="8" w:space="0"/>
            </w:tcBorders>
            <w:shd w:val="clear" w:color="D9E1F4" w:fill="D9E1F4"/>
            <w:noWrap/>
            <w:vAlign w:val="center"/>
          </w:tcPr>
          <w:p w14:paraId="49E658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基本支出-公用经费</w:t>
            </w:r>
          </w:p>
        </w:tc>
        <w:tc>
          <w:tcPr>
            <w:tcW w:w="1211" w:type="pct"/>
            <w:tcBorders>
              <w:top w:val="single" w:color="91AADF" w:sz="4" w:space="0"/>
              <w:left w:val="nil"/>
              <w:bottom w:val="single" w:color="000000" w:sz="8" w:space="0"/>
              <w:right w:val="single" w:color="000000" w:sz="8" w:space="0"/>
            </w:tcBorders>
            <w:shd w:val="clear" w:color="D9E1F4" w:fill="D9E1F4"/>
            <w:noWrap/>
            <w:vAlign w:val="center"/>
          </w:tcPr>
          <w:p w14:paraId="4AF29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119,528.59</w:t>
            </w:r>
          </w:p>
        </w:tc>
        <w:tc>
          <w:tcPr>
            <w:tcW w:w="1211" w:type="pct"/>
            <w:tcBorders>
              <w:top w:val="single" w:color="91AADF" w:sz="4" w:space="0"/>
              <w:left w:val="nil"/>
              <w:bottom w:val="single" w:color="000000" w:sz="8" w:space="0"/>
              <w:right w:val="single" w:color="000000" w:sz="8" w:space="0"/>
            </w:tcBorders>
            <w:shd w:val="clear" w:color="D9E1F4" w:fill="D9E1F4"/>
            <w:noWrap/>
            <w:vAlign w:val="center"/>
          </w:tcPr>
          <w:p w14:paraId="04B9D3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38,798.01</w:t>
            </w:r>
          </w:p>
        </w:tc>
        <w:tc>
          <w:tcPr>
            <w:tcW w:w="999" w:type="pct"/>
            <w:tcBorders>
              <w:top w:val="single" w:color="91AADF" w:sz="4" w:space="0"/>
              <w:left w:val="nil"/>
              <w:bottom w:val="single" w:color="000000" w:sz="8" w:space="0"/>
              <w:right w:val="single" w:color="000000" w:sz="8" w:space="0"/>
            </w:tcBorders>
            <w:shd w:val="clear" w:color="D9E1F4" w:fill="D9E1F4"/>
            <w:noWrap/>
            <w:vAlign w:val="center"/>
          </w:tcPr>
          <w:p w14:paraId="552432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-80,730.58</w:t>
            </w:r>
          </w:p>
        </w:tc>
      </w:tr>
      <w:tr w14:paraId="5638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78" w:type="pct"/>
            <w:tcBorders>
              <w:top w:val="single" w:color="91AADF" w:sz="4" w:space="0"/>
              <w:left w:val="single" w:color="000000" w:sz="8" w:space="0"/>
              <w:bottom w:val="single" w:color="000000" w:sz="8" w:space="0"/>
              <w:right w:val="single" w:color="000000" w:sz="8" w:space="0"/>
            </w:tcBorders>
            <w:shd w:val="clear" w:color="auto" w:fill="auto"/>
            <w:noWrap/>
            <w:vAlign w:val="center"/>
          </w:tcPr>
          <w:p w14:paraId="44D3E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项目支出</w:t>
            </w:r>
          </w:p>
        </w:tc>
        <w:tc>
          <w:tcPr>
            <w:tcW w:w="1211" w:type="pct"/>
            <w:tcBorders>
              <w:top w:val="single" w:color="91AADF" w:sz="4" w:space="0"/>
              <w:left w:val="nil"/>
              <w:bottom w:val="single" w:color="000000" w:sz="8" w:space="0"/>
              <w:right w:val="single" w:color="000000" w:sz="8" w:space="0"/>
            </w:tcBorders>
            <w:shd w:val="clear" w:color="auto" w:fill="auto"/>
            <w:noWrap/>
            <w:vAlign w:val="center"/>
          </w:tcPr>
          <w:p w14:paraId="4715B8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301,397.15</w:t>
            </w:r>
          </w:p>
        </w:tc>
        <w:tc>
          <w:tcPr>
            <w:tcW w:w="1211" w:type="pct"/>
            <w:tcBorders>
              <w:top w:val="single" w:color="91AADF" w:sz="4" w:space="0"/>
              <w:left w:val="nil"/>
              <w:bottom w:val="single" w:color="000000" w:sz="8" w:space="0"/>
              <w:right w:val="single" w:color="000000" w:sz="8" w:space="0"/>
            </w:tcBorders>
            <w:shd w:val="clear" w:color="auto" w:fill="auto"/>
            <w:noWrap/>
            <w:vAlign w:val="center"/>
          </w:tcPr>
          <w:p w14:paraId="5F2E29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400,328.78</w:t>
            </w:r>
          </w:p>
        </w:tc>
        <w:tc>
          <w:tcPr>
            <w:tcW w:w="999" w:type="pct"/>
            <w:tcBorders>
              <w:top w:val="single" w:color="91AADF" w:sz="4" w:space="0"/>
              <w:left w:val="nil"/>
              <w:bottom w:val="single" w:color="000000" w:sz="8" w:space="0"/>
              <w:right w:val="single" w:color="000000" w:sz="8" w:space="0"/>
            </w:tcBorders>
            <w:shd w:val="clear" w:color="auto" w:fill="auto"/>
            <w:noWrap/>
            <w:vAlign w:val="center"/>
          </w:tcPr>
          <w:p w14:paraId="3FBC36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98,931.63</w:t>
            </w:r>
          </w:p>
        </w:tc>
      </w:tr>
      <w:tr w14:paraId="45368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78" w:type="pct"/>
            <w:tcBorders>
              <w:top w:val="single" w:color="91AADF" w:sz="4" w:space="0"/>
              <w:left w:val="single" w:color="000000" w:sz="8" w:space="0"/>
              <w:bottom w:val="single" w:color="000000" w:sz="8" w:space="0"/>
              <w:right w:val="single" w:color="000000" w:sz="8" w:space="0"/>
            </w:tcBorders>
            <w:shd w:val="clear" w:color="D9E1F4" w:fill="D9E1F4"/>
            <w:noWrap/>
            <w:vAlign w:val="center"/>
          </w:tcPr>
          <w:p w14:paraId="4AC20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211" w:type="pct"/>
            <w:tcBorders>
              <w:top w:val="single" w:color="91AADF" w:sz="4" w:space="0"/>
              <w:left w:val="nil"/>
              <w:bottom w:val="single" w:color="000000" w:sz="8" w:space="0"/>
              <w:right w:val="single" w:color="000000" w:sz="8" w:space="0"/>
            </w:tcBorders>
            <w:shd w:val="clear" w:color="D9E1F4" w:fill="D9E1F4"/>
            <w:noWrap/>
            <w:vAlign w:val="center"/>
          </w:tcPr>
          <w:p w14:paraId="204075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2,257,837.29</w:t>
            </w:r>
          </w:p>
        </w:tc>
        <w:tc>
          <w:tcPr>
            <w:tcW w:w="1211" w:type="pct"/>
            <w:tcBorders>
              <w:top w:val="single" w:color="91AADF" w:sz="4" w:space="0"/>
              <w:left w:val="nil"/>
              <w:bottom w:val="single" w:color="000000" w:sz="8" w:space="0"/>
              <w:right w:val="single" w:color="000000" w:sz="8" w:space="0"/>
            </w:tcBorders>
            <w:shd w:val="clear" w:color="D9E1F4" w:fill="D9E1F4"/>
            <w:noWrap/>
            <w:vAlign w:val="center"/>
          </w:tcPr>
          <w:p w14:paraId="323EC7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2,257,837.29</w:t>
            </w:r>
          </w:p>
        </w:tc>
        <w:tc>
          <w:tcPr>
            <w:tcW w:w="999" w:type="pct"/>
            <w:tcBorders>
              <w:top w:val="single" w:color="91AADF" w:sz="4" w:space="0"/>
              <w:left w:val="nil"/>
              <w:bottom w:val="single" w:color="000000" w:sz="8" w:space="0"/>
              <w:right w:val="single" w:color="000000" w:sz="8" w:space="0"/>
            </w:tcBorders>
            <w:shd w:val="clear" w:color="D9E1F4" w:fill="D9E1F4"/>
            <w:noWrap/>
            <w:vAlign w:val="center"/>
          </w:tcPr>
          <w:p w14:paraId="056BE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0.00</w:t>
            </w:r>
          </w:p>
        </w:tc>
      </w:tr>
    </w:tbl>
    <w:p w14:paraId="5919C4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 w:hAnsi="仿宋" w:eastAsia="仿宋" w:cs="仿宋"/>
          <w:b w:val="0"/>
          <w:bCs w:val="0"/>
          <w:sz w:val="32"/>
          <w:szCs w:val="32"/>
          <w:lang w:val="en-US" w:eastAsia="zh-CN"/>
        </w:rPr>
      </w:pPr>
    </w:p>
    <w:p w14:paraId="39CBE2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outlineLvl w:val="9"/>
        <w:rPr>
          <w:rFonts w:hint="eastAsia" w:ascii="仿宋" w:hAnsi="仿宋" w:eastAsia="仿宋" w:cs="仿宋"/>
          <w:b w:val="0"/>
          <w:bCs w:val="0"/>
          <w:sz w:val="32"/>
          <w:szCs w:val="32"/>
          <w:lang w:val="en-US" w:eastAsia="zh-CN"/>
        </w:rPr>
      </w:pPr>
      <w:r>
        <w:drawing>
          <wp:inline distT="0" distB="0" distL="114300" distR="114300">
            <wp:extent cx="4826000" cy="2743200"/>
            <wp:effectExtent l="4445" t="4445" r="8255" b="14605"/>
            <wp:docPr id="2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2C30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（2）各项支出明细决算调整过程及决算数列示如下：</w:t>
      </w:r>
    </w:p>
    <w:p w14:paraId="28547F8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5660390" cy="4072255"/>
            <wp:effectExtent l="0" t="0" r="16510" b="4445"/>
            <wp:docPr id="6" name="图片 6"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1111"/>
                    <pic:cNvPicPr>
                      <a:picLocks noChangeAspect="1"/>
                    </pic:cNvPicPr>
                  </pic:nvPicPr>
                  <pic:blipFill>
                    <a:blip r:embed="rId18"/>
                    <a:stretch>
                      <a:fillRect/>
                    </a:stretch>
                  </pic:blipFill>
                  <pic:spPr>
                    <a:xfrm>
                      <a:off x="0" y="0"/>
                      <a:ext cx="5660390" cy="4072255"/>
                    </a:xfrm>
                    <a:prstGeom prst="rect">
                      <a:avLst/>
                    </a:prstGeom>
                  </pic:spPr>
                </pic:pic>
              </a:graphicData>
            </a:graphic>
          </wp:inline>
        </w:drawing>
      </w:r>
    </w:p>
    <w:p w14:paraId="530E206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p>
    <w:p w14:paraId="3E6ED5B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r>
        <w:drawing>
          <wp:inline distT="0" distB="0" distL="114300" distR="114300">
            <wp:extent cx="5380355" cy="3084195"/>
            <wp:effectExtent l="4445" t="4445" r="6350" b="16510"/>
            <wp:docPr id="1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AC14B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p>
    <w:p w14:paraId="68A05CF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6109335" cy="4206240"/>
            <wp:effectExtent l="0" t="0" r="5715" b="3810"/>
            <wp:docPr id="12" name="图片 12"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222"/>
                    <pic:cNvPicPr>
                      <a:picLocks noChangeAspect="1"/>
                    </pic:cNvPicPr>
                  </pic:nvPicPr>
                  <pic:blipFill>
                    <a:blip r:embed="rId20"/>
                    <a:stretch>
                      <a:fillRect/>
                    </a:stretch>
                  </pic:blipFill>
                  <pic:spPr>
                    <a:xfrm>
                      <a:off x="0" y="0"/>
                      <a:ext cx="6109335" cy="4206240"/>
                    </a:xfrm>
                    <a:prstGeom prst="rect">
                      <a:avLst/>
                    </a:prstGeom>
                  </pic:spPr>
                </pic:pic>
              </a:graphicData>
            </a:graphic>
          </wp:inline>
        </w:drawing>
      </w:r>
    </w:p>
    <w:p w14:paraId="587A71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r>
        <w:drawing>
          <wp:inline distT="0" distB="0" distL="114300" distR="114300">
            <wp:extent cx="5278120" cy="2988310"/>
            <wp:effectExtent l="5080" t="4445" r="12700" b="17145"/>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55856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val="0"/>
          <w:bCs w:val="0"/>
          <w:sz w:val="32"/>
          <w:szCs w:val="32"/>
          <w:lang w:val="en-US" w:eastAsia="zh-CN"/>
        </w:rPr>
      </w:pPr>
    </w:p>
    <w:p w14:paraId="1B740B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5990590" cy="4281170"/>
            <wp:effectExtent l="0" t="0" r="10160" b="5080"/>
            <wp:docPr id="18" name="图片 18"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333"/>
                    <pic:cNvPicPr>
                      <a:picLocks noChangeAspect="1"/>
                    </pic:cNvPicPr>
                  </pic:nvPicPr>
                  <pic:blipFill>
                    <a:blip r:embed="rId22"/>
                    <a:stretch>
                      <a:fillRect/>
                    </a:stretch>
                  </pic:blipFill>
                  <pic:spPr>
                    <a:xfrm>
                      <a:off x="0" y="0"/>
                      <a:ext cx="5990590" cy="4281170"/>
                    </a:xfrm>
                    <a:prstGeom prst="rect">
                      <a:avLst/>
                    </a:prstGeom>
                  </pic:spPr>
                </pic:pic>
              </a:graphicData>
            </a:graphic>
          </wp:inline>
        </w:drawing>
      </w:r>
    </w:p>
    <w:p w14:paraId="6C95C3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2.三公经费决算数汇总及分析</w:t>
      </w:r>
    </w:p>
    <w:p w14:paraId="224BF2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（1）区委统战部2024年度无因公出国（境）费。</w:t>
      </w:r>
    </w:p>
    <w:p w14:paraId="21D6FC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（2）无公务用车购置及运行费。单位资产无公务车，日常无公车维护运行费，决算数为0.00元。</w:t>
      </w:r>
    </w:p>
    <w:p w14:paraId="553F6D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与交通费相关联事项：账套中，每人车补</w:t>
      </w:r>
      <w:r>
        <w:rPr>
          <w:rFonts w:hint="eastAsia" w:ascii="仿宋" w:hAnsi="仿宋" w:eastAsia="仿宋" w:cs="仿宋"/>
          <w:b w:val="0"/>
          <w:bCs w:val="0"/>
          <w:sz w:val="32"/>
          <w:szCs w:val="32"/>
          <w:highlight w:val="none"/>
          <w:lang w:val="en-US" w:eastAsia="zh-CN"/>
        </w:rPr>
        <w:t>500-650元/月，会同津贴款，</w:t>
      </w:r>
      <w:r>
        <w:rPr>
          <w:rFonts w:hint="eastAsia" w:ascii="仿宋" w:hAnsi="仿宋" w:eastAsia="仿宋" w:cs="仿宋"/>
          <w:b w:val="0"/>
          <w:bCs w:val="0"/>
          <w:sz w:val="32"/>
          <w:szCs w:val="32"/>
          <w:lang w:val="en-US" w:eastAsia="zh-CN"/>
        </w:rPr>
        <w:t>扣除社保等五险一金后的余额计入基本支出-人员经费-其他交通费用或基本支出-公用经费-其他交通费用，决算时，调入项目支出-其他交通费用。</w:t>
      </w:r>
    </w:p>
    <w:p w14:paraId="733A3E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（3）公务接待费，基本支出-公用经费0.00元，项目支出-公务接待费8,987.00元。详情列示如下：</w:t>
      </w: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93"/>
        <w:gridCol w:w="2584"/>
        <w:gridCol w:w="2237"/>
      </w:tblGrid>
      <w:tr w14:paraId="73CA2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68"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232245D3">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17"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18364023">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13"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A9E80B3">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CFFC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1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08C3">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1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EED8">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EB2B">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FF9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168"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2598EAAD">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517"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411C164D">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8720312">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FA4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1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4CA6">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2B1D">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BD79">
            <w:pPr>
              <w:keepNext w:val="0"/>
              <w:keepLines w:val="0"/>
              <w:widowControl/>
              <w:suppressLineNumbers w:val="0"/>
              <w:jc w:val="center"/>
              <w:textAlignment w:val="center"/>
              <w:outlineLvl w:val="9"/>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8,987.00</w:t>
            </w:r>
          </w:p>
        </w:tc>
      </w:tr>
      <w:tr w14:paraId="6E906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168"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206F1E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17"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341F90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13" w:type="pct"/>
            <w:tcBorders>
              <w:top w:val="single" w:color="000000" w:sz="4" w:space="0"/>
              <w:left w:val="single" w:color="000000" w:sz="4" w:space="0"/>
              <w:bottom w:val="single" w:color="000000" w:sz="4" w:space="0"/>
              <w:right w:val="single" w:color="000000" w:sz="4" w:space="0"/>
            </w:tcBorders>
            <w:shd w:val="clear" w:color="auto" w:fill="D9E1F4"/>
            <w:noWrap/>
            <w:vAlign w:val="center"/>
          </w:tcPr>
          <w:p w14:paraId="007F2E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8,987.00</w:t>
            </w:r>
          </w:p>
        </w:tc>
      </w:tr>
    </w:tbl>
    <w:p w14:paraId="22626F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(4)凭证抽查内容如下：</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8"/>
        <w:gridCol w:w="1009"/>
        <w:gridCol w:w="2786"/>
        <w:gridCol w:w="1574"/>
        <w:gridCol w:w="1709"/>
      </w:tblGrid>
      <w:tr w14:paraId="3193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4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A7087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日期</w:t>
            </w:r>
          </w:p>
        </w:tc>
        <w:tc>
          <w:tcPr>
            <w:tcW w:w="5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4A070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凭证号</w:t>
            </w:r>
          </w:p>
        </w:tc>
        <w:tc>
          <w:tcPr>
            <w:tcW w:w="163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02DE5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摘要</w:t>
            </w:r>
          </w:p>
        </w:tc>
        <w:tc>
          <w:tcPr>
            <w:tcW w:w="92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2DA06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100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F856A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后附件核查内容</w:t>
            </w:r>
          </w:p>
        </w:tc>
      </w:tr>
      <w:tr w14:paraId="64BDA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FF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2024/9/9</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9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记账-0005</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6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接待澳门参访团</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F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4,673.00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76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后附接待函，同行人员名单，38人，招待清单，金额2808元，未超限额</w:t>
            </w:r>
          </w:p>
        </w:tc>
      </w:tr>
      <w:tr w14:paraId="41346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4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435D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2024/11/28</w:t>
            </w:r>
          </w:p>
        </w:tc>
        <w:tc>
          <w:tcPr>
            <w:tcW w:w="5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8DCC1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记账-0009</w:t>
            </w:r>
          </w:p>
        </w:tc>
        <w:tc>
          <w:tcPr>
            <w:tcW w:w="163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0AAD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省委统战部参观考察离退休30人</w:t>
            </w:r>
          </w:p>
        </w:tc>
        <w:tc>
          <w:tcPr>
            <w:tcW w:w="92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60C7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2,808.00</w:t>
            </w:r>
          </w:p>
        </w:tc>
        <w:tc>
          <w:tcPr>
            <w:tcW w:w="100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1148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后附接待函，调研方案，30人，招待清单，金额2808元，未超限额</w:t>
            </w:r>
          </w:p>
        </w:tc>
      </w:tr>
      <w:tr w14:paraId="3EAC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C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2024/12/4</w:t>
            </w:r>
          </w:p>
        </w:tc>
        <w:tc>
          <w:tcPr>
            <w:tcW w:w="5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3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记账-0001</w:t>
            </w:r>
          </w:p>
        </w:tc>
        <w:tc>
          <w:tcPr>
            <w:tcW w:w="16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D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接待台湾青年参访团15人</w:t>
            </w:r>
          </w:p>
        </w:tc>
        <w:tc>
          <w:tcPr>
            <w:tcW w:w="9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8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1,506.00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B9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后附接待函，接待方案，15人，招待清单，金额1506元，未超限额</w:t>
            </w:r>
          </w:p>
        </w:tc>
      </w:tr>
      <w:tr w14:paraId="4EBDE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CF5DA62">
            <w:pPr>
              <w:jc w:val="left"/>
              <w:rPr>
                <w:rFonts w:hint="eastAsia" w:ascii="宋体" w:hAnsi="宋体" w:eastAsia="宋体" w:cs="宋体"/>
                <w:i w:val="0"/>
                <w:iCs w:val="0"/>
                <w:color w:val="000000"/>
                <w:sz w:val="22"/>
                <w:szCs w:val="22"/>
                <w:u w:val="none"/>
              </w:rPr>
            </w:pPr>
          </w:p>
        </w:tc>
        <w:tc>
          <w:tcPr>
            <w:tcW w:w="5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9F2E011">
            <w:pPr>
              <w:jc w:val="left"/>
              <w:rPr>
                <w:rFonts w:hint="eastAsia" w:ascii="宋体" w:hAnsi="宋体" w:eastAsia="宋体" w:cs="宋体"/>
                <w:i w:val="0"/>
                <w:iCs w:val="0"/>
                <w:color w:val="000000"/>
                <w:sz w:val="22"/>
                <w:szCs w:val="22"/>
                <w:u w:val="none"/>
              </w:rPr>
            </w:pPr>
          </w:p>
        </w:tc>
        <w:tc>
          <w:tcPr>
            <w:tcW w:w="163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8A17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24"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34C4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8,987.00</w:t>
            </w:r>
          </w:p>
        </w:tc>
        <w:tc>
          <w:tcPr>
            <w:tcW w:w="100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0731D57B">
            <w:pPr>
              <w:rPr>
                <w:rFonts w:hint="eastAsia" w:ascii="宋体" w:hAnsi="宋体" w:eastAsia="宋体" w:cs="宋体"/>
                <w:i w:val="0"/>
                <w:iCs w:val="0"/>
                <w:color w:val="000000"/>
                <w:sz w:val="22"/>
                <w:szCs w:val="22"/>
                <w:u w:val="none"/>
              </w:rPr>
            </w:pPr>
          </w:p>
        </w:tc>
      </w:tr>
    </w:tbl>
    <w:p w14:paraId="0DCCA9D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3.会议费情况汇总</w:t>
      </w:r>
    </w:p>
    <w:p w14:paraId="0DFA10B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仿宋" w:hAnsi="仿宋" w:eastAsia="仿宋" w:cs="仿宋"/>
          <w:sz w:val="32"/>
          <w:szCs w:val="32"/>
          <w:highlight w:val="yellow"/>
          <w:lang w:val="en-US" w:eastAsia="zh-CN"/>
        </w:rPr>
      </w:pPr>
      <w:r>
        <w:rPr>
          <w:rFonts w:hint="eastAsia" w:ascii="仿宋" w:hAnsi="仿宋" w:eastAsia="仿宋" w:cs="仿宋"/>
          <w:sz w:val="32"/>
          <w:szCs w:val="32"/>
          <w:lang w:val="en-US" w:eastAsia="zh-CN"/>
        </w:rPr>
        <w:t>会议费预算数0.00元，决算数0.00元。民主党派的公益活动会议费与其他费用均计入项目支出-其他商品与服务支出。详情见后附项目管理情况汇总。</w:t>
      </w:r>
    </w:p>
    <w:p w14:paraId="4222FF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4.办公经费情况汇总</w:t>
      </w:r>
    </w:p>
    <w:p w14:paraId="11ED69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b w:val="0"/>
          <w:bCs w:val="0"/>
          <w:sz w:val="32"/>
          <w:szCs w:val="32"/>
          <w:lang w:val="en-US" w:eastAsia="zh-CN"/>
        </w:rPr>
        <w:t>决算报表办公经费计在项目支出类，无基本支出-公用经费。</w:t>
      </w:r>
      <w:r>
        <w:rPr>
          <w:rFonts w:hint="eastAsia" w:ascii="仿宋" w:hAnsi="仿宋" w:eastAsia="仿宋" w:cs="仿宋"/>
          <w:sz w:val="32"/>
          <w:szCs w:val="32"/>
          <w:lang w:val="en-US" w:eastAsia="zh-CN"/>
        </w:rPr>
        <w:t>（1）区委统战部办公经费内容包括办公用品、杂志报刊费、印刷费、业务委托费、维修费、邮电费（电话费）等。</w:t>
      </w:r>
    </w:p>
    <w:tbl>
      <w:tblPr>
        <w:tblStyle w:val="12"/>
        <w:tblW w:w="9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45"/>
        <w:gridCol w:w="1915"/>
        <w:gridCol w:w="2055"/>
        <w:gridCol w:w="1550"/>
        <w:gridCol w:w="1245"/>
      </w:tblGrid>
      <w:tr w14:paraId="0AF69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A865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办公经费种类</w:t>
            </w:r>
          </w:p>
        </w:tc>
        <w:tc>
          <w:tcPr>
            <w:tcW w:w="191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BD40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05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DF94EF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从基本支出-公用经费调入项目支出</w:t>
            </w:r>
          </w:p>
        </w:tc>
        <w:tc>
          <w:tcPr>
            <w:tcW w:w="155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5924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D246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占比</w:t>
            </w:r>
          </w:p>
        </w:tc>
      </w:tr>
      <w:tr w14:paraId="5050A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1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办公用品/杂志报刊费</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B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23,497.55</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9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10,968.46</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5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34,466.01</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D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45.35%</w:t>
            </w:r>
          </w:p>
        </w:tc>
      </w:tr>
      <w:tr w14:paraId="2FFA7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A8E6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191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D610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24,733.40</w:t>
            </w:r>
          </w:p>
        </w:tc>
        <w:tc>
          <w:tcPr>
            <w:tcW w:w="205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B034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1,280.00</w:t>
            </w:r>
          </w:p>
        </w:tc>
        <w:tc>
          <w:tcPr>
            <w:tcW w:w="155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E251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26,013.40</w:t>
            </w:r>
          </w:p>
        </w:tc>
        <w:tc>
          <w:tcPr>
            <w:tcW w:w="12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D497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r>
      <w:tr w14:paraId="5F72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A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业务委托费/财务报告</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5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13,200.00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9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C1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13,700.00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D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18.03%</w:t>
            </w:r>
          </w:p>
        </w:tc>
      </w:tr>
      <w:tr w14:paraId="6409C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8EB5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维修费</w:t>
            </w:r>
          </w:p>
        </w:tc>
        <w:tc>
          <w:tcPr>
            <w:tcW w:w="191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287D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1,225.00</w:t>
            </w:r>
          </w:p>
        </w:tc>
        <w:tc>
          <w:tcPr>
            <w:tcW w:w="205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B583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EFAA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1,225.00</w:t>
            </w:r>
          </w:p>
        </w:tc>
        <w:tc>
          <w:tcPr>
            <w:tcW w:w="12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D20D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r>
      <w:tr w14:paraId="5724E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B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邮电费/电话费</w:t>
            </w:r>
          </w:p>
        </w:tc>
        <w:tc>
          <w:tcPr>
            <w:tcW w:w="1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E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7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7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B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0.79%</w:t>
            </w:r>
          </w:p>
        </w:tc>
      </w:tr>
      <w:tr w14:paraId="6917B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55A2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1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DA54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62,855.95</w:t>
            </w:r>
          </w:p>
        </w:tc>
        <w:tc>
          <w:tcPr>
            <w:tcW w:w="205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D0B7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13,148.46</w:t>
            </w:r>
          </w:p>
        </w:tc>
        <w:tc>
          <w:tcPr>
            <w:tcW w:w="155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38C4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76,004.41</w:t>
            </w:r>
          </w:p>
        </w:tc>
        <w:tc>
          <w:tcPr>
            <w:tcW w:w="1245"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B842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00A6B5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rPr>
          <w:rFonts w:hint="eastAsia" w:ascii="仿宋" w:hAnsi="仿宋" w:eastAsia="仿宋" w:cs="仿宋"/>
          <w:b/>
          <w:bCs/>
          <w:sz w:val="32"/>
          <w:szCs w:val="32"/>
          <w:lang w:val="en-US" w:eastAsia="zh-CN"/>
        </w:rPr>
      </w:pPr>
    </w:p>
    <w:p w14:paraId="4A2CB2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both"/>
        <w:textAlignment w:val="auto"/>
        <w:outlineLvl w:val="9"/>
      </w:pPr>
      <w:r>
        <w:drawing>
          <wp:inline distT="0" distB="0" distL="114300" distR="114300">
            <wp:extent cx="4826000" cy="2743200"/>
            <wp:effectExtent l="4445" t="4445" r="8255" b="14605"/>
            <wp:docPr id="2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7DF8520">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区委统战部办公经费重分类用于日常运转与项目支出（办公费/杂志报刊费、印刷费均计入项目支出，业务委托费、维修费及邮电费计入日常支出），决算数重分类后，将用于日常支出的办公经费15,525.00元调入基本支出-公用经费。办公费/杂志报刊费、印刷费未重分类为日常运转的原因为无法分开核算该类总支出用于日常办公还是项目支出，出于谨慎原则，未将其进行重分类。详见下表及后附的项目支出管理情况表。</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8"/>
        <w:gridCol w:w="2669"/>
        <w:gridCol w:w="2546"/>
      </w:tblGrid>
      <w:tr w14:paraId="6889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3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BFA4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办公经费重分类</w:t>
            </w:r>
          </w:p>
        </w:tc>
        <w:tc>
          <w:tcPr>
            <w:tcW w:w="156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56F8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49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9BDE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占比</w:t>
            </w:r>
          </w:p>
        </w:tc>
      </w:tr>
      <w:tr w14:paraId="3DCC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5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用于日常支出</w:t>
            </w:r>
          </w:p>
        </w:tc>
        <w:tc>
          <w:tcPr>
            <w:tcW w:w="1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E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15,525.00</w:t>
            </w:r>
          </w:p>
        </w:tc>
        <w:tc>
          <w:tcPr>
            <w:tcW w:w="1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4D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20.43%</w:t>
            </w:r>
          </w:p>
        </w:tc>
      </w:tr>
      <w:tr w14:paraId="5499C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3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EC16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用于项目支出</w:t>
            </w:r>
          </w:p>
        </w:tc>
        <w:tc>
          <w:tcPr>
            <w:tcW w:w="156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FADB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60,479.41</w:t>
            </w:r>
          </w:p>
        </w:tc>
        <w:tc>
          <w:tcPr>
            <w:tcW w:w="1495"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92C0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79.57%</w:t>
            </w:r>
          </w:p>
        </w:tc>
      </w:tr>
      <w:tr w14:paraId="0FCF7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9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4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D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76,004.41</w:t>
            </w:r>
          </w:p>
        </w:tc>
        <w:tc>
          <w:tcPr>
            <w:tcW w:w="1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B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79EF54D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 w:hAnsi="仿宋" w:eastAsia="仿宋" w:cs="仿宋"/>
          <w:sz w:val="32"/>
          <w:szCs w:val="32"/>
          <w:highlight w:val="yellow"/>
          <w:lang w:val="en-US" w:eastAsia="zh-CN"/>
        </w:rPr>
      </w:pPr>
    </w:p>
    <w:p w14:paraId="6886F44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9"/>
        <w:rPr>
          <w:rFonts w:hint="eastAsia" w:ascii="仿宋" w:hAnsi="仿宋" w:eastAsia="仿宋" w:cs="仿宋"/>
          <w:sz w:val="32"/>
          <w:szCs w:val="32"/>
          <w:highlight w:val="yellow"/>
          <w:lang w:val="en-US" w:eastAsia="zh-CN"/>
        </w:rPr>
      </w:pPr>
      <w:r>
        <w:drawing>
          <wp:inline distT="0" distB="0" distL="114300" distR="114300">
            <wp:extent cx="4826000" cy="2743200"/>
            <wp:effectExtent l="4445" t="4445" r="8255" b="14605"/>
            <wp:docPr id="1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A637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 w:hAnsi="仿宋" w:eastAsia="仿宋" w:cs="仿宋"/>
          <w:sz w:val="32"/>
          <w:szCs w:val="32"/>
          <w:highlight w:val="yellow"/>
          <w:lang w:val="en-US" w:eastAsia="zh-CN"/>
        </w:rPr>
      </w:pPr>
      <w:r>
        <w:rPr>
          <w:rFonts w:hint="eastAsia" w:ascii="仿宋" w:hAnsi="仿宋" w:eastAsia="仿宋" w:cs="仿宋"/>
          <w:sz w:val="32"/>
          <w:szCs w:val="32"/>
          <w:highlight w:val="none"/>
          <w:lang w:val="en-US" w:eastAsia="zh-CN"/>
        </w:rPr>
        <w:t>（3）抽查凭证存在以下情况：</w:t>
      </w:r>
    </w:p>
    <w:p w14:paraId="5AC2FD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仿宋" w:hAnsi="仿宋" w:eastAsia="仿宋" w:cs="仿宋"/>
          <w:sz w:val="32"/>
          <w:szCs w:val="32"/>
          <w:highlight w:val="none"/>
          <w:lang w:val="en-US" w:eastAsia="zh-CN"/>
        </w:rPr>
      </w:pPr>
      <w:r>
        <w:rPr>
          <w:rFonts w:hint="eastAsia" w:ascii="仿宋" w:hAnsi="仿宋" w:eastAsia="仿宋" w:cs="仿宋"/>
          <w:b/>
          <w:bCs/>
          <w:sz w:val="32"/>
          <w:szCs w:val="32"/>
          <w:lang w:val="en-US" w:eastAsia="zh-CN"/>
        </w:rPr>
        <w:t>①业务发生时间早于政府采购协议时间。</w:t>
      </w:r>
      <w:r>
        <w:rPr>
          <w:rFonts w:hint="eastAsia" w:ascii="仿宋" w:hAnsi="仿宋" w:eastAsia="仿宋" w:cs="仿宋"/>
          <w:b/>
          <w:bCs/>
          <w:sz w:val="32"/>
          <w:szCs w:val="32"/>
          <w:highlight w:val="none"/>
          <w:lang w:val="en-US" w:eastAsia="zh-CN"/>
        </w:rPr>
        <w:t>②缺个人支付给供应商记录。③验收标准未具象化。④个别无政府采购合同。⑤金额较大(9,782.00元)的项目支出</w:t>
      </w:r>
      <w:r>
        <w:rPr>
          <w:rFonts w:hint="default" w:ascii="仿宋" w:hAnsi="仿宋" w:eastAsia="仿宋" w:cs="仿宋"/>
          <w:b/>
          <w:bCs/>
          <w:sz w:val="32"/>
          <w:szCs w:val="32"/>
          <w:highlight w:val="none"/>
          <w:lang w:val="en-US" w:eastAsia="zh-CN"/>
        </w:rPr>
        <w:t>无政府采购竞价过程，无会议决策</w:t>
      </w:r>
      <w:r>
        <w:rPr>
          <w:rFonts w:hint="eastAsia" w:ascii="仿宋" w:hAnsi="仿宋" w:eastAsia="仿宋" w:cs="仿宋"/>
          <w:b/>
          <w:bCs/>
          <w:sz w:val="32"/>
          <w:szCs w:val="32"/>
          <w:highlight w:val="none"/>
          <w:lang w:val="en-US" w:eastAsia="zh-CN"/>
        </w:rPr>
        <w:t>。</w:t>
      </w:r>
      <w:r>
        <w:rPr>
          <w:rFonts w:hint="eastAsia" w:ascii="仿宋" w:hAnsi="仿宋" w:eastAsia="仿宋" w:cs="仿宋"/>
          <w:sz w:val="32"/>
          <w:szCs w:val="32"/>
          <w:highlight w:val="none"/>
          <w:lang w:val="en-US" w:eastAsia="zh-CN"/>
        </w:rPr>
        <w:t>详情列示如下：</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6"/>
        <w:gridCol w:w="1206"/>
        <w:gridCol w:w="1206"/>
        <w:gridCol w:w="1096"/>
        <w:gridCol w:w="3689"/>
      </w:tblGrid>
      <w:tr w14:paraId="006C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1EA51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日期</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765F9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凭证号</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2CEF04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摘要</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8C751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43D38254">
            <w:pPr>
              <w:keepNext w:val="0"/>
              <w:keepLines w:val="0"/>
              <w:widowControl/>
              <w:suppressLineNumbers w:val="0"/>
              <w:jc w:val="lef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后附凭证信息检查情况</w:t>
            </w:r>
          </w:p>
        </w:tc>
      </w:tr>
      <w:tr w14:paraId="669D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E9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2024-01-30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4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记账-0003</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7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保密机房密码锁</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4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7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缺个人支付给供应商记录。统战部付款凭证，付给刘珍洁，发票，没有个人付款给雁峰金力锁城的付款记录。</w:t>
            </w:r>
          </w:p>
        </w:tc>
      </w:tr>
      <w:tr w14:paraId="775A1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4C8B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2024-03-07</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735EC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记账-0003</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2BB5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办公用品</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B6239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4,415.86</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4C2A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业务发生时间早于采购协议时间。业务发生时间（2023.11-2024.2月办公用品）后附付款，发票，清单，验收单，政府采购协议；签订协议时间2024年3月，验收时间2024年3月；供应商为衡阳市雁峰鸿方商贸行。</w:t>
            </w:r>
          </w:p>
        </w:tc>
      </w:tr>
      <w:tr w14:paraId="2F96A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E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2024-05-24</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B7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记账-0018</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3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电脑维修</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B6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925.00</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50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2023.12-2024.3电脑维修，2024年5月签合同及验收，无验收标准。</w:t>
            </w:r>
          </w:p>
        </w:tc>
      </w:tr>
      <w:tr w14:paraId="1031F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09FF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2024-05-24</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24C1C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记账-0019</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6C4D1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办公耗材</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446D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4,555.00</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5566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业务发生时间早于采购协议时间。2023.12-2024.5办公耗材设备支出，2024年5月签合同与验收单。</w:t>
            </w:r>
          </w:p>
        </w:tc>
      </w:tr>
      <w:tr w14:paraId="7A9C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DFFC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2024-11-27</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122B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记账-0007</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18B5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2024年5月-10月办公耗材及维修</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F7D3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2,050.00</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2C3475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业务发生时间早于采购协议时间，2024年11月签合同及验收。</w:t>
            </w:r>
          </w:p>
        </w:tc>
      </w:tr>
      <w:tr w14:paraId="1F8DF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00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2024-12-13</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8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记账-0006</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43D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办公用品</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E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1,082.91</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5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业务发生时间早于采购协议时间。后附付款，发票，清单，验收单，政府采购协议；2024年6至8月的办公用品，签订协议及验收时间2024年11月26日。</w:t>
            </w:r>
          </w:p>
        </w:tc>
      </w:tr>
      <w:tr w14:paraId="2C1A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ED1D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2024-12-17</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A808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记账-0015</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4A8A8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办公用品</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3F26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1,372.48</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291F5A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业务发生时间早于采购协议时间。（9-11月办公用品）后附付款，发票，验收单，政府采购协议及验收时间2024年12月13日，供应商为衡阳鸿方商贸有限公司。</w:t>
            </w:r>
          </w:p>
        </w:tc>
      </w:tr>
      <w:tr w14:paraId="43D3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0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2024-12-17</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C73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记账-0017</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3C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办公用品</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F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1,234.00</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91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且同一时期办公用品对应两个不同供应商。（9-11月办公用品）后附付款，发票，清单，验收单，政府采购协议；签订协议时间2024年12月13日，验收时间2024年12月13日；供应商为衡阳市雁峰区兴全商贸行。</w:t>
            </w:r>
          </w:p>
        </w:tc>
      </w:tr>
      <w:tr w14:paraId="3C49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56BC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2024-07-01</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C533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记账-0001</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694C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印刷费（社区广告制作）</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C1B5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9,782.00</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A553C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有合同，有验收单，无验收标准，无政府采购竞价过程，无会议决策；</w:t>
            </w:r>
          </w:p>
        </w:tc>
      </w:tr>
      <w:tr w14:paraId="7A01F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D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2024-11-27</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5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记账-0008</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52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2024.5-10月文印室打印费</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EA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5,690.00</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42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业务发生时间早于采购协议时间。2024.5-10月文印室打印，2024年11月签合同，11月付款</w:t>
            </w:r>
          </w:p>
        </w:tc>
      </w:tr>
      <w:tr w14:paraId="1144B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456E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2024-05-07</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E2F8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记账-0002</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6E484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百菲特2年服务费</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0AC8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1,800.00</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5FE0A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工资系统两年服务费，有验收单，未附政府采购合同。</w:t>
            </w:r>
          </w:p>
        </w:tc>
      </w:tr>
      <w:tr w14:paraId="38731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26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2024-05-10</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A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记账-0006</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240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核算云服务费</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0F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3,500.00</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2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2024.1.1-2024.12.31有合同，有验收单，验收标准格式化，且未打勾选项。</w:t>
            </w:r>
          </w:p>
        </w:tc>
      </w:tr>
      <w:tr w14:paraId="5A8F4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F73D7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2024-07-11</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EC4D2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记账-0006</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4DA7E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内控报告</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13E0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1,000.00</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09536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有付款，合同，验收，无申请</w:t>
            </w:r>
          </w:p>
        </w:tc>
      </w:tr>
      <w:tr w14:paraId="235D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7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2024-12-27</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4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记账-0025</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27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财务服务</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CC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5,000.00</w:t>
            </w:r>
          </w:p>
        </w:tc>
        <w:tc>
          <w:tcPr>
            <w:tcW w:w="2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2A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后附付款，发票，验收单，政府采购协议；签订协议及验收时间2024年12月20日，供应商为衡阳乐友软件；内容为2024年运营维护费</w:t>
            </w:r>
          </w:p>
        </w:tc>
      </w:tr>
      <w:tr w14:paraId="4B0DA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09CF9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2024-12-13</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B3B9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记账-0008</w:t>
            </w:r>
          </w:p>
        </w:tc>
        <w:tc>
          <w:tcPr>
            <w:tcW w:w="70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0FA68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64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33E9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1,280.00</w:t>
            </w:r>
          </w:p>
        </w:tc>
        <w:tc>
          <w:tcPr>
            <w:tcW w:w="2166"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0049F7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业务发生时间早于采购协议时间。业务发生时间为2024年2月，4月，政府采购协议时间及验收时间为2024年12月3日。</w:t>
            </w:r>
          </w:p>
        </w:tc>
      </w:tr>
    </w:tbl>
    <w:p w14:paraId="1448D1C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5.新增财政性支出情况汇总</w:t>
      </w:r>
    </w:p>
    <w:p w14:paraId="1D7F44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bCs/>
          <w:sz w:val="32"/>
          <w:szCs w:val="32"/>
          <w:lang w:eastAsia="zh-CN"/>
        </w:rPr>
      </w:pPr>
      <w:r>
        <w:rPr>
          <w:rFonts w:hint="eastAsia" w:ascii="仿宋" w:hAnsi="仿宋" w:eastAsia="仿宋" w:cs="仿宋"/>
          <w:sz w:val="32"/>
          <w:szCs w:val="32"/>
          <w:lang w:val="en-US" w:eastAsia="zh-CN"/>
        </w:rPr>
        <w:t>无新增财政性支出。</w:t>
      </w:r>
    </w:p>
    <w:p w14:paraId="5FA83342">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32" w:name="_Toc17202"/>
      <w:r>
        <w:rPr>
          <w:rFonts w:hint="eastAsia" w:ascii="楷体" w:hAnsi="楷体" w:eastAsia="楷体" w:cs="楷体"/>
          <w:b/>
          <w:bCs/>
          <w:sz w:val="32"/>
          <w:szCs w:val="32"/>
          <w:lang w:eastAsia="zh-CN"/>
        </w:rPr>
        <w:t>预算</w:t>
      </w:r>
      <w:r>
        <w:rPr>
          <w:rFonts w:hint="eastAsia" w:ascii="楷体" w:hAnsi="楷体" w:eastAsia="楷体" w:cs="楷体"/>
          <w:b/>
          <w:bCs/>
          <w:sz w:val="32"/>
          <w:szCs w:val="32"/>
          <w:lang w:val="en-US" w:eastAsia="zh-CN"/>
        </w:rPr>
        <w:t>管理情况及分析</w:t>
      </w:r>
      <w:bookmarkEnd w:id="32"/>
    </w:p>
    <w:p w14:paraId="7107F7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1.预算管理情况</w:t>
      </w:r>
    </w:p>
    <w:p w14:paraId="4FB2880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（1）部门在预算管理方面建立的制度。提供了财务管理制度，</w:t>
      </w:r>
      <w:r>
        <w:rPr>
          <w:rFonts w:hint="eastAsia" w:ascii="仿宋" w:hAnsi="仿宋" w:eastAsia="仿宋" w:cs="仿宋"/>
          <w:sz w:val="32"/>
          <w:szCs w:val="32"/>
          <w:lang w:val="en-US" w:eastAsia="zh-CN"/>
        </w:rPr>
        <w:t>其中结构包括管理方式，部门公共经费管理，部门专项经费管理及监督检查；内容包括资金审批权限、报销流程等。</w:t>
      </w:r>
      <w:r>
        <w:rPr>
          <w:rFonts w:hint="eastAsia" w:ascii="仿宋" w:hAnsi="仿宋" w:eastAsia="仿宋" w:cs="仿宋"/>
          <w:b/>
          <w:bCs/>
          <w:sz w:val="32"/>
          <w:szCs w:val="32"/>
          <w:lang w:val="en-US" w:eastAsia="zh-CN"/>
        </w:rPr>
        <w:t>未提供其他管理制度，</w:t>
      </w:r>
      <w:r>
        <w:rPr>
          <w:rFonts w:hint="eastAsia" w:ascii="仿宋" w:hAnsi="仿宋" w:eastAsia="仿宋" w:cs="仿宋"/>
          <w:sz w:val="32"/>
          <w:szCs w:val="32"/>
          <w:lang w:val="en-US" w:eastAsia="zh-CN"/>
        </w:rPr>
        <w:t>如：预算管理制度，内部控制制度，政府采购管理制度，国有资产管理制度，合同管理制度，专项资金管理办法，绩效管理制度，信息化管理制度，决算与财务报告制度，监督与审计制度等。</w:t>
      </w:r>
    </w:p>
    <w:p w14:paraId="784F03F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预算执行监控的频率、方式和内容，</w:t>
      </w:r>
      <w:r>
        <w:rPr>
          <w:rFonts w:hint="eastAsia" w:ascii="仿宋" w:hAnsi="仿宋" w:eastAsia="仿宋" w:cs="仿宋"/>
          <w:b w:val="0"/>
          <w:bCs w:val="0"/>
          <w:sz w:val="32"/>
          <w:szCs w:val="32"/>
          <w:lang w:val="en-US" w:eastAsia="zh-CN"/>
        </w:rPr>
        <w:t>提供的财务管理制度摘选内容列示如下：</w:t>
      </w:r>
      <w:r>
        <w:rPr>
          <w:rFonts w:hint="default" w:ascii="Times New Roman" w:hAnsi="Times New Roman" w:eastAsia="仿宋" w:cs="Times New Roman"/>
          <w:b w:val="0"/>
          <w:bCs w:val="0"/>
          <w:color w:val="auto"/>
          <w:sz w:val="32"/>
          <w:szCs w:val="32"/>
          <w:highlight w:val="none"/>
        </w:rPr>
        <w:t>财务归口办公室统一管理，</w:t>
      </w:r>
      <w:r>
        <w:rPr>
          <w:rFonts w:hint="default" w:ascii="Times New Roman" w:hAnsi="Times New Roman" w:eastAsia="仿宋" w:cs="Times New Roman"/>
          <w:b/>
          <w:bCs/>
          <w:color w:val="auto"/>
          <w:sz w:val="32"/>
          <w:szCs w:val="32"/>
          <w:highlight w:val="none"/>
        </w:rPr>
        <w:t>不另设账户，</w:t>
      </w:r>
      <w:r>
        <w:rPr>
          <w:rFonts w:hint="default" w:ascii="Times New Roman" w:hAnsi="Times New Roman" w:eastAsia="仿宋" w:cs="Times New Roman"/>
          <w:b w:val="0"/>
          <w:bCs w:val="0"/>
          <w:color w:val="auto"/>
          <w:sz w:val="32"/>
          <w:szCs w:val="32"/>
          <w:highlight w:val="none"/>
        </w:rPr>
        <w:t>专项业务经费</w:t>
      </w:r>
      <w:r>
        <w:rPr>
          <w:rFonts w:hint="default" w:ascii="Times New Roman" w:hAnsi="Times New Roman" w:eastAsia="仿宋" w:cs="Times New Roman"/>
          <w:color w:val="auto"/>
          <w:sz w:val="32"/>
          <w:szCs w:val="32"/>
          <w:highlight w:val="none"/>
        </w:rPr>
        <w:t>一律拨入部机关行政账户。所有开支每月由办公室财务人员</w:t>
      </w:r>
      <w:r>
        <w:rPr>
          <w:rFonts w:hint="eastAsia" w:ascii="Times New Roman" w:hAnsi="Times New Roman" w:eastAsia="仿宋" w:cs="Times New Roman"/>
          <w:color w:val="auto"/>
          <w:sz w:val="32"/>
          <w:szCs w:val="32"/>
          <w:highlight w:val="none"/>
          <w:lang w:eastAsia="zh-CN"/>
        </w:rPr>
        <w:t>出具</w:t>
      </w:r>
      <w:r>
        <w:rPr>
          <w:rFonts w:hint="default" w:ascii="Times New Roman" w:hAnsi="Times New Roman" w:eastAsia="仿宋" w:cs="Times New Roman"/>
          <w:color w:val="auto"/>
          <w:sz w:val="32"/>
          <w:szCs w:val="32"/>
          <w:highlight w:val="none"/>
        </w:rPr>
        <w:t>财务报表交分管财务副部长和部长。</w:t>
      </w:r>
      <w:r>
        <w:rPr>
          <w:rFonts w:hint="default" w:ascii="Times New Roman" w:hAnsi="Times New Roman" w:eastAsia="仿宋" w:cs="Times New Roman"/>
          <w:b/>
          <w:bCs/>
          <w:color w:val="auto"/>
          <w:sz w:val="32"/>
          <w:szCs w:val="32"/>
          <w:highlight w:val="none"/>
        </w:rPr>
        <w:t>每半年通报一次</w:t>
      </w:r>
      <w:r>
        <w:rPr>
          <w:rFonts w:hint="default" w:ascii="Times New Roman" w:hAnsi="Times New Roman" w:eastAsia="仿宋" w:cs="Times New Roman"/>
          <w:color w:val="auto"/>
          <w:sz w:val="32"/>
          <w:szCs w:val="32"/>
          <w:highlight w:val="none"/>
        </w:rPr>
        <w:t>部机关财务开支情况。办公室负责对各项收入和支出准确及时进行核算，</w:t>
      </w:r>
      <w:r>
        <w:rPr>
          <w:rFonts w:hint="default" w:ascii="Times New Roman" w:hAnsi="Times New Roman" w:eastAsia="仿宋" w:cs="Times New Roman"/>
          <w:b/>
          <w:bCs/>
          <w:color w:val="auto"/>
          <w:sz w:val="32"/>
          <w:szCs w:val="32"/>
          <w:highlight w:val="none"/>
        </w:rPr>
        <w:t>定期</w:t>
      </w:r>
      <w:r>
        <w:rPr>
          <w:rFonts w:hint="default" w:ascii="Times New Roman" w:hAnsi="Times New Roman" w:eastAsia="仿宋" w:cs="Times New Roman"/>
          <w:color w:val="auto"/>
          <w:sz w:val="32"/>
          <w:szCs w:val="32"/>
          <w:highlight w:val="none"/>
        </w:rPr>
        <w:t>向部领导通报组室开支情况。严肃财经纪律，强化财务工作责任，各组室经办人员为</w:t>
      </w:r>
      <w:r>
        <w:rPr>
          <w:rFonts w:hint="default" w:ascii="Times New Roman" w:hAnsi="Times New Roman" w:eastAsia="仿宋" w:cs="Times New Roman"/>
          <w:b/>
          <w:bCs/>
          <w:color w:val="auto"/>
          <w:sz w:val="32"/>
          <w:szCs w:val="32"/>
          <w:highlight w:val="none"/>
        </w:rPr>
        <w:t>直接责任人</w:t>
      </w:r>
      <w:r>
        <w:rPr>
          <w:rFonts w:hint="default" w:ascii="Times New Roman" w:hAnsi="Times New Roman" w:eastAsia="仿宋" w:cs="Times New Roman"/>
          <w:color w:val="auto"/>
          <w:sz w:val="32"/>
          <w:szCs w:val="32"/>
          <w:highlight w:val="none"/>
        </w:rPr>
        <w:t>，部机关财务人员为</w:t>
      </w:r>
      <w:r>
        <w:rPr>
          <w:rFonts w:hint="default" w:ascii="Times New Roman" w:hAnsi="Times New Roman" w:eastAsia="仿宋" w:cs="Times New Roman"/>
          <w:b/>
          <w:bCs/>
          <w:color w:val="auto"/>
          <w:sz w:val="32"/>
          <w:szCs w:val="32"/>
          <w:highlight w:val="none"/>
        </w:rPr>
        <w:t>主要责任人</w:t>
      </w:r>
      <w:r>
        <w:rPr>
          <w:rFonts w:hint="default" w:ascii="Times New Roman" w:hAnsi="Times New Roman" w:eastAsia="仿宋" w:cs="Times New Roman"/>
          <w:color w:val="auto"/>
          <w:sz w:val="32"/>
          <w:szCs w:val="32"/>
          <w:highlight w:val="none"/>
        </w:rPr>
        <w:t>，分管财务的副部长负</w:t>
      </w:r>
      <w:r>
        <w:rPr>
          <w:rFonts w:hint="default" w:ascii="Times New Roman" w:hAnsi="Times New Roman" w:eastAsia="仿宋" w:cs="Times New Roman"/>
          <w:b/>
          <w:bCs/>
          <w:color w:val="auto"/>
          <w:sz w:val="32"/>
          <w:szCs w:val="32"/>
          <w:highlight w:val="none"/>
        </w:rPr>
        <w:t>领导责任。</w:t>
      </w:r>
    </w:p>
    <w:p w14:paraId="5B140CF2">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（3）</w:t>
      </w:r>
      <w:r>
        <w:rPr>
          <w:rFonts w:hint="eastAsia" w:ascii="Times New Roman" w:hAnsi="Times New Roman" w:eastAsia="仿宋" w:cs="Times New Roman"/>
          <w:b/>
          <w:bCs/>
          <w:color w:val="auto"/>
          <w:sz w:val="32"/>
          <w:szCs w:val="32"/>
          <w:highlight w:val="none"/>
          <w:lang w:val="en-US" w:eastAsia="zh-CN"/>
        </w:rPr>
        <w:t>预算管理相关的信息化工具：</w:t>
      </w:r>
      <w:r>
        <w:rPr>
          <w:rFonts w:hint="eastAsia" w:ascii="Times New Roman" w:hAnsi="Times New Roman" w:eastAsia="仿宋" w:cs="Times New Roman"/>
          <w:color w:val="auto"/>
          <w:sz w:val="32"/>
          <w:szCs w:val="32"/>
          <w:highlight w:val="none"/>
          <w:lang w:val="en-US" w:eastAsia="zh-CN"/>
        </w:rPr>
        <w:t>使用财政预算一体化信息系统。</w:t>
      </w:r>
    </w:p>
    <w:p w14:paraId="60BB84EB">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（4）</w:t>
      </w:r>
      <w:r>
        <w:rPr>
          <w:rFonts w:hint="eastAsia" w:ascii="Times New Roman" w:hAnsi="Times New Roman" w:eastAsia="仿宋" w:cs="Times New Roman"/>
          <w:b/>
          <w:bCs/>
          <w:color w:val="auto"/>
          <w:sz w:val="32"/>
          <w:szCs w:val="32"/>
          <w:highlight w:val="none"/>
          <w:lang w:val="en-US" w:eastAsia="zh-CN"/>
        </w:rPr>
        <w:t>预算信息公开情况：</w:t>
      </w:r>
      <w:r>
        <w:rPr>
          <w:rFonts w:hint="eastAsia" w:ascii="Times New Roman" w:hAnsi="Times New Roman" w:eastAsia="仿宋" w:cs="Times New Roman"/>
          <w:color w:val="auto"/>
          <w:sz w:val="32"/>
          <w:szCs w:val="32"/>
          <w:highlight w:val="none"/>
          <w:lang w:val="en-US" w:eastAsia="zh-CN"/>
        </w:rPr>
        <w:t>在衡阳雁峰区政府网上可以查到区委统战部的2024年预算公开信息。</w:t>
      </w:r>
    </w:p>
    <w:p w14:paraId="74AE0D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2.预算管理分析</w:t>
      </w:r>
    </w:p>
    <w:p w14:paraId="5771DD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（1）制度健全性</w:t>
      </w:r>
      <w:r>
        <w:rPr>
          <w:rFonts w:hint="eastAsia" w:ascii="仿宋" w:hAnsi="仿宋" w:eastAsia="仿宋" w:cs="仿宋"/>
          <w:b w:val="0"/>
          <w:bCs w:val="0"/>
          <w:sz w:val="32"/>
          <w:szCs w:val="32"/>
          <w:lang w:val="en-US" w:eastAsia="zh-CN"/>
        </w:rPr>
        <w:t>：财务管理制度未覆盖预算编制、调整、核算等关键环节，部分制度缺失。</w:t>
      </w:r>
    </w:p>
    <w:p w14:paraId="7DD60B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highlight w:val="yellow"/>
          <w:lang w:val="en-US" w:eastAsia="zh-CN"/>
        </w:rPr>
      </w:pPr>
      <w:r>
        <w:rPr>
          <w:rFonts w:hint="eastAsia" w:ascii="仿宋" w:hAnsi="仿宋" w:eastAsia="仿宋" w:cs="仿宋"/>
          <w:b/>
          <w:bCs/>
          <w:sz w:val="32"/>
          <w:szCs w:val="32"/>
          <w:lang w:val="en-US" w:eastAsia="zh-CN"/>
        </w:rPr>
        <w:t>（2）执行有效性：</w:t>
      </w:r>
      <w:r>
        <w:rPr>
          <w:rFonts w:hint="eastAsia" w:ascii="仿宋" w:hAnsi="仿宋" w:eastAsia="仿宋" w:cs="仿宋"/>
          <w:b/>
          <w:bCs/>
          <w:sz w:val="32"/>
          <w:szCs w:val="32"/>
          <w:highlight w:val="none"/>
          <w:lang w:val="en-US" w:eastAsia="zh-CN"/>
        </w:rPr>
        <w:t>基本事项按照财务管理制度有效执行。存在部分经济事项未进行会议集体决策。存在支出退回情形：2024年12月退回2021年至2023年三八妇女节物资款，上缴至区财政资金专户。</w:t>
      </w:r>
    </w:p>
    <w:p w14:paraId="1100C890">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监控预警能力：</w:t>
      </w:r>
      <w:r>
        <w:rPr>
          <w:rFonts w:hint="eastAsia" w:ascii="仿宋" w:hAnsi="仿宋" w:eastAsia="仿宋" w:cs="仿宋"/>
          <w:b w:val="0"/>
          <w:bCs w:val="0"/>
          <w:sz w:val="32"/>
          <w:szCs w:val="32"/>
          <w:highlight w:val="none"/>
          <w:lang w:val="en-US" w:eastAsia="zh-CN"/>
        </w:rPr>
        <w:t>政府会计系统通过“指标-支出-核算”一体化管理，实现了预算执行全流程监控。</w:t>
      </w:r>
    </w:p>
    <w:p w14:paraId="3F3089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（4）信息化支撑：</w:t>
      </w:r>
      <w:r>
        <w:rPr>
          <w:rFonts w:hint="eastAsia" w:ascii="仿宋" w:hAnsi="仿宋" w:eastAsia="仿宋" w:cs="仿宋"/>
          <w:b w:val="0"/>
          <w:bCs w:val="0"/>
          <w:sz w:val="32"/>
          <w:szCs w:val="32"/>
          <w:lang w:val="en-US" w:eastAsia="zh-CN"/>
        </w:rPr>
        <w:t>实现预算编制、执行、核算、决算全流程线上化；有效支撑了预算管理和监控。</w:t>
      </w:r>
    </w:p>
    <w:p w14:paraId="234E29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（5）管理规范性：</w:t>
      </w:r>
      <w:r>
        <w:rPr>
          <w:rFonts w:hint="eastAsia" w:ascii="仿宋" w:hAnsi="仿宋" w:eastAsia="仿宋" w:cs="仿宋"/>
          <w:b w:val="0"/>
          <w:bCs w:val="0"/>
          <w:sz w:val="32"/>
          <w:szCs w:val="32"/>
          <w:lang w:val="en-US" w:eastAsia="zh-CN"/>
        </w:rPr>
        <w:t>未提供预算调整批复文件。</w:t>
      </w:r>
      <w:r>
        <w:rPr>
          <w:rFonts w:hint="eastAsia" w:ascii="仿宋" w:hAnsi="仿宋" w:eastAsia="仿宋" w:cs="仿宋"/>
          <w:b w:val="0"/>
          <w:bCs w:val="0"/>
          <w:sz w:val="32"/>
          <w:szCs w:val="32"/>
          <w:highlight w:val="none"/>
          <w:lang w:val="en-US" w:eastAsia="zh-CN"/>
        </w:rPr>
        <w:t>部分会计核算未能真实反映项目收支。详见项目支出管理情况汇总及分析。</w:t>
      </w:r>
    </w:p>
    <w:p w14:paraId="2F3BF7F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33" w:name="_Toc25821"/>
      <w:r>
        <w:rPr>
          <w:rFonts w:hint="eastAsia" w:ascii="楷体" w:hAnsi="楷体" w:eastAsia="楷体" w:cs="楷体"/>
          <w:b/>
          <w:bCs/>
          <w:sz w:val="32"/>
          <w:szCs w:val="32"/>
          <w:lang w:val="en-US" w:eastAsia="zh-CN"/>
        </w:rPr>
        <w:t>工资管理情况及分析</w:t>
      </w:r>
      <w:bookmarkEnd w:id="33"/>
    </w:p>
    <w:p w14:paraId="13D18F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1.未提供相关文件或说明列示如下：</w:t>
      </w:r>
    </w:p>
    <w:p w14:paraId="6E9E97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①人员经费预算调增率31.49%，调增额435,573.95元，上年度退休人员5人，在编在岗10人，本年度退休人员6人，在编在岗9至11人，调整率偏高，未提供相关预算调整文件，未说明调增原因。②未提供发放职工津贴与车补的相关文件。③未提供工资流程及工资管理制度。④未提供相关审计检查文件或资料。</w:t>
      </w:r>
    </w:p>
    <w:p w14:paraId="71C3C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存在缴费主体与编制单位不一致，可能违反《中华人民共和国社会保险法》《住房公积金管理条例》中“用人单位应为其职工缴纳社保”的规定（用人单位应为编制所在单位），存在社保缴纳主体不合规风险，资金管理风险。</w:t>
      </w:r>
      <w:r>
        <w:rPr>
          <w:rFonts w:hint="eastAsia" w:ascii="仿宋" w:hAnsi="仿宋" w:eastAsia="仿宋" w:cs="仿宋"/>
          <w:b w:val="0"/>
          <w:bCs w:val="0"/>
          <w:sz w:val="32"/>
          <w:szCs w:val="32"/>
          <w:lang w:val="en-US" w:eastAsia="zh-CN"/>
        </w:rPr>
        <w:t>区党外知识分子服务中心干事李羽芹、邓鹏，编制在区委统战部党外知识分子服务中心，财政预算已将其年度人员经费已拨付到区委统战部（人员经费拨付至编制所在单位），雁峰区工商业联合会、民宗局先行支付养老保险、医保与住房公积金，再由区委统战部支付给工商业联合会、民宗局养老保险、医保与住房公积金及工作经费。申请支付凭证附件未见缴纳社保医保住房公积金凭证。</w:t>
      </w:r>
    </w:p>
    <w:p w14:paraId="31322B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3.上述员工李羽芹、邓鹏凭证中养老保险、医保、住房公积金计提基数不一致列示如下：</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71"/>
        <w:gridCol w:w="4530"/>
        <w:gridCol w:w="1912"/>
      </w:tblGrid>
      <w:tr w14:paraId="637E4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0C8A">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1209">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基数</w:t>
            </w:r>
          </w:p>
        </w:tc>
        <w:tc>
          <w:tcPr>
            <w:tcW w:w="11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F0C4">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全额扣除比率</w:t>
            </w:r>
          </w:p>
        </w:tc>
      </w:tr>
      <w:tr w14:paraId="4D2C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6"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148FCD22">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养老保险</w:t>
            </w:r>
          </w:p>
        </w:tc>
        <w:tc>
          <w:tcPr>
            <w:tcW w:w="2660"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0C8D49F7">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下达指标工资基数+津补贴</w:t>
            </w:r>
          </w:p>
        </w:tc>
        <w:tc>
          <w:tcPr>
            <w:tcW w:w="1123"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17DD42D8">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14:paraId="25261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BA76">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w:t>
            </w:r>
          </w:p>
        </w:tc>
        <w:tc>
          <w:tcPr>
            <w:tcW w:w="2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CBBD">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下达指标工资基数+津补贴</w:t>
            </w:r>
          </w:p>
        </w:tc>
        <w:tc>
          <w:tcPr>
            <w:tcW w:w="11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5BE9">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515A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6"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526803CA">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660"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7C1E39ED">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下达指标工资基数+津补贴+年底奖金</w:t>
            </w:r>
          </w:p>
        </w:tc>
        <w:tc>
          <w:tcPr>
            <w:tcW w:w="1123" w:type="pct"/>
            <w:tcBorders>
              <w:top w:val="single" w:color="000000" w:sz="4" w:space="0"/>
              <w:left w:val="single" w:color="000000" w:sz="4" w:space="0"/>
              <w:bottom w:val="single" w:color="000000" w:sz="4" w:space="0"/>
              <w:right w:val="single" w:color="000000" w:sz="4" w:space="0"/>
            </w:tcBorders>
            <w:shd w:val="clear" w:color="DDEBF7" w:fill="DDEBF7"/>
            <w:noWrap/>
            <w:vAlign w:val="center"/>
          </w:tcPr>
          <w:p w14:paraId="7A5A2E38">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bl>
    <w:p w14:paraId="5B3C87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需进行内部一致性检查，核查地方财政或人社部门文件：确认是否允许社保和公积金采用不同核定口径（如财政统一规定公积金含奖金、社保不含）。</w:t>
      </w:r>
    </w:p>
    <w:p w14:paraId="3F0DEB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highlight w:val="none"/>
          <w:lang w:val="en-US" w:eastAsia="zh-CN"/>
        </w:rPr>
        <w:t>津贴与车补单独造一张工资表直接用于缴纳社保，住房公积金与职业年金，只有陈芳签字，未见人事或组织部其他人员核实，且表内勾稽关系不平，导致账面流与现金流不符。</w:t>
      </w:r>
      <w:r>
        <w:rPr>
          <w:rFonts w:hint="eastAsia" w:ascii="仿宋" w:hAnsi="仿宋" w:eastAsia="仿宋" w:cs="仿宋"/>
          <w:b w:val="0"/>
          <w:bCs w:val="0"/>
          <w:sz w:val="32"/>
          <w:szCs w:val="32"/>
          <w:highlight w:val="none"/>
          <w:lang w:val="en-US" w:eastAsia="zh-CN"/>
        </w:rPr>
        <w:t>原因为三个人的津贴与车补不足以支付应扣社保，住房公积金及职业年金，分别为周春，梁亚玲，陈琼。直接将负数清零。</w:t>
      </w:r>
    </w:p>
    <w:p w14:paraId="3623CB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jc w:val="both"/>
        <w:textAlignment w:val="auto"/>
        <w:outlineLvl w:val="9"/>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drawing>
          <wp:inline distT="0" distB="0" distL="114300" distR="114300">
            <wp:extent cx="4399915" cy="3082925"/>
            <wp:effectExtent l="0" t="0" r="635" b="3175"/>
            <wp:docPr id="19" name="图片 19" descr="7a82b642d5a99597f2ba328864a43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7a82b642d5a99597f2ba328864a436d"/>
                    <pic:cNvPicPr>
                      <a:picLocks noChangeAspect="1"/>
                    </pic:cNvPicPr>
                  </pic:nvPicPr>
                  <pic:blipFill>
                    <a:blip r:embed="rId25"/>
                    <a:stretch>
                      <a:fillRect/>
                    </a:stretch>
                  </pic:blipFill>
                  <pic:spPr>
                    <a:xfrm>
                      <a:off x="0" y="0"/>
                      <a:ext cx="4399915" cy="3082925"/>
                    </a:xfrm>
                    <a:prstGeom prst="rect">
                      <a:avLst/>
                    </a:prstGeom>
                  </pic:spPr>
                </pic:pic>
              </a:graphicData>
            </a:graphic>
          </wp:inline>
        </w:drawing>
      </w:r>
    </w:p>
    <w:p w14:paraId="61E044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5.退休人员绩效奖发放只有陈芳签字，未见公章，未见组织部或人力部门签署意见。在职绩效奖有填报人、公章、中共雁峰区委组织部工资审批专用章（公务员）或衡阳市雁峰区人力资源和社会保障局工资基金审批专用章（事业人员）。</w:t>
      </w:r>
    </w:p>
    <w:p w14:paraId="4AA12D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6.离职人员工资补贴管理方面，见2024/2/5#凭证，原带编人员（刘海燕）调离（曾口头询问2023年11月调离），补发2023年12月份补贴，后附凭证未提供人力资源部门出具离职具体时间与审批意见。</w:t>
      </w:r>
    </w:p>
    <w:p w14:paraId="11FF4B9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仿宋" w:hAnsi="仿宋" w:eastAsia="仿宋" w:cs="仿宋"/>
          <w:b/>
          <w:bCs/>
          <w:sz w:val="32"/>
          <w:szCs w:val="32"/>
          <w:lang w:val="en-US" w:eastAsia="zh-CN"/>
        </w:rPr>
      </w:pPr>
      <w:bookmarkStart w:id="34" w:name="_Toc26855"/>
      <w:r>
        <w:rPr>
          <w:rFonts w:hint="eastAsia" w:ascii="楷体" w:hAnsi="楷体" w:eastAsia="楷体" w:cs="楷体"/>
          <w:b/>
          <w:bCs/>
          <w:sz w:val="32"/>
          <w:szCs w:val="32"/>
          <w:lang w:val="en-US" w:eastAsia="zh-CN"/>
        </w:rPr>
        <w:t>项目支出管理情况及分析</w:t>
      </w:r>
      <w:bookmarkEnd w:id="34"/>
    </w:p>
    <w:p w14:paraId="1A38F2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区委统战部未提供项目管理制度，未提供政府采购管理制度，未提供相关政府采购询价环节，项目支出108,546.82元用于人员经费，无结余。</w:t>
      </w:r>
    </w:p>
    <w:p w14:paraId="029079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1.决算表中项目支出中占比最大的为项目支出-其他商品和服务支出62.60%，其次为项目支出-人员经费-其他交通费用16.17%，详情列表如下：</w:t>
      </w:r>
    </w:p>
    <w:p w14:paraId="3E7809E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仿宋" w:hAnsi="仿宋" w:eastAsia="仿宋" w:cs="仿宋"/>
          <w:sz w:val="32"/>
          <w:szCs w:val="32"/>
          <w:lang w:val="en-US" w:eastAsia="zh-CN"/>
        </w:rPr>
      </w:pP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5"/>
        <w:gridCol w:w="918"/>
        <w:gridCol w:w="1350"/>
        <w:gridCol w:w="1290"/>
        <w:gridCol w:w="1260"/>
        <w:gridCol w:w="1380"/>
        <w:gridCol w:w="1093"/>
      </w:tblGrid>
      <w:tr w14:paraId="194B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7"/>
            <w:tcBorders>
              <w:top w:val="nil"/>
              <w:left w:val="nil"/>
              <w:bottom w:val="nil"/>
              <w:right w:val="nil"/>
            </w:tcBorders>
            <w:shd w:val="clear" w:color="auto" w:fill="auto"/>
            <w:noWrap/>
            <w:vAlign w:val="center"/>
          </w:tcPr>
          <w:p w14:paraId="47694E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项目支出决算数明细调整过程（金额：元）</w:t>
            </w:r>
          </w:p>
        </w:tc>
      </w:tr>
      <w:tr w14:paraId="6E38D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1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AF234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一级支出名称</w:t>
            </w:r>
          </w:p>
        </w:tc>
        <w:tc>
          <w:tcPr>
            <w:tcW w:w="53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5E5FB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二级支出名称</w:t>
            </w:r>
          </w:p>
        </w:tc>
        <w:tc>
          <w:tcPr>
            <w:tcW w:w="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46820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账套数</w:t>
            </w:r>
          </w:p>
        </w:tc>
        <w:tc>
          <w:tcPr>
            <w:tcW w:w="757"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6385F8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从基本支出-人员经费中调入</w:t>
            </w:r>
          </w:p>
        </w:tc>
        <w:tc>
          <w:tcPr>
            <w:tcW w:w="739"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05FE3C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从基本支出-公用经费中调入</w:t>
            </w:r>
          </w:p>
        </w:tc>
        <w:tc>
          <w:tcPr>
            <w:tcW w:w="8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2E42D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641"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59EE5C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占比</w:t>
            </w:r>
          </w:p>
        </w:tc>
      </w:tr>
      <w:tr w14:paraId="3FCF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18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3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8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187,485.25</w:t>
            </w:r>
          </w:p>
        </w:tc>
        <w:tc>
          <w:tcPr>
            <w:tcW w:w="7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C1A08">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0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63,102.12</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B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250,587.37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7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62.60%</w:t>
            </w:r>
          </w:p>
        </w:tc>
      </w:tr>
      <w:tr w14:paraId="37FC7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AE11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6C2E9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606C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42,068.95</w:t>
            </w:r>
          </w:p>
        </w:tc>
        <w:tc>
          <w:tcPr>
            <w:tcW w:w="75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55E9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18,201.05</w:t>
            </w:r>
          </w:p>
        </w:tc>
        <w:tc>
          <w:tcPr>
            <w:tcW w:w="73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E677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4,480.00</w:t>
            </w:r>
          </w:p>
        </w:tc>
        <w:tc>
          <w:tcPr>
            <w:tcW w:w="8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5EB9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64,750.00</w:t>
            </w:r>
          </w:p>
        </w:tc>
        <w:tc>
          <w:tcPr>
            <w:tcW w:w="6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DF3D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16.17%</w:t>
            </w:r>
          </w:p>
        </w:tc>
      </w:tr>
      <w:tr w14:paraId="49CF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1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E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5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24,733.40</w:t>
            </w:r>
          </w:p>
        </w:tc>
        <w:tc>
          <w:tcPr>
            <w:tcW w:w="7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D2BB">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0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1,280.00</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D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26,013.40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4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r>
      <w:tr w14:paraId="6852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E271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8A07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9A67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23,497.55</w:t>
            </w:r>
          </w:p>
        </w:tc>
        <w:tc>
          <w:tcPr>
            <w:tcW w:w="75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24E40AE">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DDBB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10,968.46</w:t>
            </w:r>
          </w:p>
        </w:tc>
        <w:tc>
          <w:tcPr>
            <w:tcW w:w="8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A908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34,466.01</w:t>
            </w:r>
          </w:p>
        </w:tc>
        <w:tc>
          <w:tcPr>
            <w:tcW w:w="6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4900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8.61%</w:t>
            </w:r>
          </w:p>
        </w:tc>
      </w:tr>
      <w:tr w14:paraId="03CA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9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C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7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13,200.00</w:t>
            </w:r>
          </w:p>
        </w:tc>
        <w:tc>
          <w:tcPr>
            <w:tcW w:w="7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025F">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8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500.00</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4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13,700.00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6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11635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A2A6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4F930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2BC8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8,987.00</w:t>
            </w:r>
          </w:p>
        </w:tc>
        <w:tc>
          <w:tcPr>
            <w:tcW w:w="75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4B25FA4">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67366BA">
            <w:pPr>
              <w:jc w:val="center"/>
              <w:rPr>
                <w:rFonts w:hint="eastAsia" w:ascii="宋体" w:hAnsi="宋体" w:eastAsia="宋体" w:cs="宋体"/>
                <w:i w:val="0"/>
                <w:iCs w:val="0"/>
                <w:color w:val="000000"/>
                <w:sz w:val="22"/>
                <w:szCs w:val="22"/>
                <w:u w:val="none"/>
              </w:rPr>
            </w:pPr>
          </w:p>
        </w:tc>
        <w:tc>
          <w:tcPr>
            <w:tcW w:w="8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AE26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8,987.00</w:t>
            </w:r>
          </w:p>
        </w:tc>
        <w:tc>
          <w:tcPr>
            <w:tcW w:w="6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F1E6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r>
      <w:tr w14:paraId="00DE1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96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F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6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1,225.00</w:t>
            </w:r>
          </w:p>
        </w:tc>
        <w:tc>
          <w:tcPr>
            <w:tcW w:w="7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E86D">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8C48">
            <w:pPr>
              <w:jc w:val="center"/>
              <w:rPr>
                <w:rFonts w:hint="eastAsia" w:ascii="宋体" w:hAnsi="宋体" w:eastAsia="宋体" w:cs="宋体"/>
                <w:i w:val="0"/>
                <w:iCs w:val="0"/>
                <w:color w:val="000000"/>
                <w:sz w:val="22"/>
                <w:szCs w:val="22"/>
                <w:u w:val="none"/>
              </w:rPr>
            </w:pP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3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1,225.00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E7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r>
      <w:tr w14:paraId="718C2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00BF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38"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5956B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792"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B6B6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757"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5B6D0B6">
            <w:pPr>
              <w:jc w:val="center"/>
              <w:rPr>
                <w:rFonts w:hint="eastAsia" w:ascii="宋体" w:hAnsi="宋体" w:eastAsia="宋体" w:cs="宋体"/>
                <w:i w:val="0"/>
                <w:iCs w:val="0"/>
                <w:color w:val="000000"/>
                <w:sz w:val="22"/>
                <w:szCs w:val="22"/>
                <w:u w:val="none"/>
              </w:rPr>
            </w:pPr>
          </w:p>
        </w:tc>
        <w:tc>
          <w:tcPr>
            <w:tcW w:w="739"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0598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400.00</w:t>
            </w:r>
          </w:p>
        </w:tc>
        <w:tc>
          <w:tcPr>
            <w:tcW w:w="8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D8DF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64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A73C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r>
      <w:tr w14:paraId="5D54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A5D9E">
            <w:pPr>
              <w:jc w:val="center"/>
              <w:rPr>
                <w:rFonts w:hint="eastAsia" w:ascii="宋体" w:hAnsi="宋体" w:eastAsia="宋体" w:cs="宋体"/>
                <w:i w:val="0"/>
                <w:iCs w:val="0"/>
                <w:color w:val="000000"/>
                <w:sz w:val="22"/>
                <w:szCs w:val="22"/>
                <w:u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51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3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301,397.15</w:t>
            </w:r>
          </w:p>
        </w:tc>
        <w:tc>
          <w:tcPr>
            <w:tcW w:w="7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3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18,201.05</w:t>
            </w:r>
          </w:p>
        </w:tc>
        <w:tc>
          <w:tcPr>
            <w:tcW w:w="7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E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80,730.58</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8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400,328.78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C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73F31E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default" w:ascii="楷体" w:hAnsi="楷体" w:eastAsia="楷体" w:cs="楷体"/>
          <w:b/>
          <w:bCs/>
          <w:sz w:val="32"/>
          <w:szCs w:val="32"/>
          <w:lang w:val="en-US" w:eastAsia="zh-CN"/>
        </w:rPr>
      </w:pPr>
      <w:r>
        <w:rPr>
          <w:rFonts w:hint="eastAsia" w:ascii="仿宋" w:hAnsi="仿宋" w:eastAsia="仿宋" w:cs="仿宋"/>
          <w:b/>
          <w:bCs/>
          <w:sz w:val="32"/>
          <w:szCs w:val="32"/>
          <w:lang w:val="en-US" w:eastAsia="zh-CN"/>
        </w:rPr>
        <w:t>2.项目支出-其他商品和服务支出重分类后详情见下表：</w:t>
      </w: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66"/>
        <w:gridCol w:w="2320"/>
        <w:gridCol w:w="2128"/>
      </w:tblGrid>
      <w:tr w14:paraId="3905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B28B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项目支出-其他商品和服务支出明细分类</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63CC3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3E2E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占比</w:t>
            </w:r>
          </w:p>
        </w:tc>
      </w:tr>
      <w:tr w14:paraId="4E6B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7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常见项目经费</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34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124,320.00</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6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49.61%</w:t>
            </w:r>
          </w:p>
        </w:tc>
      </w:tr>
      <w:tr w14:paraId="1013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2E7B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餐费-食堂餐费</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2E68A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51,147.00</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2C036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20.41%</w:t>
            </w:r>
          </w:p>
        </w:tc>
      </w:tr>
      <w:tr w14:paraId="15F0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0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统战人员慰问</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6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25,600.00</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7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10.22%</w:t>
            </w:r>
          </w:p>
        </w:tc>
      </w:tr>
      <w:tr w14:paraId="01F0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EB60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人员经费-员工工作经费</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51CF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20,000.00</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3922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6197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7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人员经费-退休</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68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10,500.00</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3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r>
      <w:tr w14:paraId="18C3E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83F9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人员经费-员工体检费</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0819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4,460.82</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4139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r>
      <w:tr w14:paraId="52FC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1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餐费-加班餐费</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7A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3,748.27</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A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r>
      <w:tr w14:paraId="0E65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2E74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人员经费-员工奖励</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499E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810C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r>
      <w:tr w14:paraId="34EEE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F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人员经费-员工保险费</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73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2,920.00</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4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r>
      <w:tr w14:paraId="39CA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0326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人员经费-员工（38，71，81节日）</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6967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2,916.00</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7531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r>
      <w:tr w14:paraId="4F4D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4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春节物资</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0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1,338.28</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B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14:paraId="22F4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3259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餐费-接待餐费</w:t>
            </w:r>
          </w:p>
        </w:tc>
        <w:tc>
          <w:tcPr>
            <w:tcW w:w="1614"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4FF4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637.00</w:t>
            </w:r>
          </w:p>
        </w:tc>
        <w:tc>
          <w:tcPr>
            <w:tcW w:w="150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835D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14:paraId="2EE2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7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1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22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250,587.37</w:t>
            </w:r>
          </w:p>
        </w:tc>
        <w:tc>
          <w:tcPr>
            <w:tcW w:w="1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C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57A05D6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3.总项目支出重分类后，人员经费合计108，546.82元，占比27.11%，详情列示如下：</w:t>
      </w: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40"/>
        <w:gridCol w:w="1720"/>
        <w:gridCol w:w="1254"/>
      </w:tblGrid>
      <w:tr w14:paraId="6CFA0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FA08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4476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F49F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占比</w:t>
            </w:r>
          </w:p>
        </w:tc>
      </w:tr>
      <w:tr w14:paraId="7BB11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3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常见项目经费</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9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124,320.00</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D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r>
      <w:tr w14:paraId="3666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C8A1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7A63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108,546.82</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0DAB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27.11%</w:t>
            </w:r>
          </w:p>
        </w:tc>
      </w:tr>
      <w:tr w14:paraId="34DD1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6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餐费</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9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55,532.27</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D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13.87%</w:t>
            </w:r>
          </w:p>
        </w:tc>
      </w:tr>
      <w:tr w14:paraId="6CE2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559B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统战人员慰问</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AFDE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25,600.00</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8E39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r>
      <w:tr w14:paraId="358E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3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春节物资</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9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1,338.28</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2A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r>
      <w:tr w14:paraId="445B5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531AB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5570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26,013.40</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5E11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r>
      <w:tr w14:paraId="5B62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9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E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34,466.01</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D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8.61%</w:t>
            </w:r>
          </w:p>
        </w:tc>
      </w:tr>
      <w:tr w14:paraId="7C5BA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10C46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66B0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13,700.00</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D8A1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r>
      <w:tr w14:paraId="3AD3D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7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1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8,987.00</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C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r>
      <w:tr w14:paraId="3035C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0C5FD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0102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1,225.00</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584A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w:t>
            </w:r>
          </w:p>
        </w:tc>
      </w:tr>
      <w:tr w14:paraId="2C92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2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10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5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600.00</w:t>
            </w:r>
          </w:p>
        </w:tc>
        <w:tc>
          <w:tcPr>
            <w:tcW w:w="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E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r>
      <w:tr w14:paraId="4862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53"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CCF1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1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3034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400,328.78</w:t>
            </w:r>
          </w:p>
        </w:tc>
        <w:tc>
          <w:tcPr>
            <w:tcW w:w="7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FB04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636042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 w:hAnsi="仿宋" w:eastAsia="仿宋" w:cs="仿宋"/>
          <w:b/>
          <w:bCs/>
          <w:sz w:val="32"/>
          <w:szCs w:val="32"/>
          <w:lang w:val="en-US" w:eastAsia="zh-CN"/>
        </w:rPr>
      </w:pPr>
    </w:p>
    <w:p w14:paraId="7C958F09">
      <w:pPr>
        <w:keepNext w:val="0"/>
        <w:keepLines w:val="0"/>
        <w:pageBreakBefore w:val="0"/>
        <w:widowControl w:val="0"/>
        <w:kinsoku/>
        <w:wordWrap/>
        <w:overflowPunct/>
        <w:topLinePunct w:val="0"/>
        <w:autoSpaceDE/>
        <w:autoSpaceDN/>
        <w:bidi w:val="0"/>
        <w:adjustRightInd/>
        <w:snapToGrid/>
        <w:spacing w:line="240" w:lineRule="auto"/>
        <w:jc w:val="both"/>
        <w:textAlignment w:val="auto"/>
      </w:pPr>
      <w:r>
        <w:drawing>
          <wp:inline distT="0" distB="0" distL="114300" distR="114300">
            <wp:extent cx="4826000" cy="2743200"/>
            <wp:effectExtent l="4445" t="4445" r="8255" b="14605"/>
            <wp:docPr id="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12"/>
        <w:tblW w:w="8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0"/>
        <w:gridCol w:w="2320"/>
        <w:gridCol w:w="2010"/>
      </w:tblGrid>
      <w:tr w14:paraId="4DF8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2EB7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项目支出的人员经费分类</w:t>
            </w:r>
          </w:p>
        </w:tc>
        <w:tc>
          <w:tcPr>
            <w:tcW w:w="2320" w:type="dxa"/>
            <w:tcBorders>
              <w:top w:val="single" w:color="000000" w:sz="4" w:space="0"/>
              <w:left w:val="single" w:color="000000" w:sz="4" w:space="0"/>
              <w:bottom w:val="single" w:color="000000" w:sz="4" w:space="0"/>
              <w:right w:val="single" w:color="000000" w:sz="4" w:space="0"/>
            </w:tcBorders>
            <w:shd w:val="clear" w:color="D9E1F4" w:fill="D9E1F4"/>
            <w:vAlign w:val="center"/>
          </w:tcPr>
          <w:p w14:paraId="5DA42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201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677B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占比</w:t>
            </w:r>
          </w:p>
        </w:tc>
      </w:tr>
      <w:tr w14:paraId="7B95E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1E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人员经费-员工工作经费</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1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4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18.43%</w:t>
            </w:r>
          </w:p>
        </w:tc>
      </w:tr>
      <w:tr w14:paraId="40207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A053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人员经费-退休</w:t>
            </w:r>
          </w:p>
        </w:tc>
        <w:tc>
          <w:tcPr>
            <w:tcW w:w="2320" w:type="dxa"/>
            <w:tcBorders>
              <w:top w:val="single" w:color="000000" w:sz="4" w:space="0"/>
              <w:left w:val="single" w:color="000000" w:sz="4" w:space="0"/>
              <w:bottom w:val="single" w:color="000000" w:sz="4" w:space="0"/>
              <w:right w:val="single" w:color="000000" w:sz="4" w:space="0"/>
            </w:tcBorders>
            <w:shd w:val="clear" w:color="D9E1F4" w:fill="D9E1F4"/>
            <w:vAlign w:val="center"/>
          </w:tcPr>
          <w:p w14:paraId="7DE11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10,500.00</w:t>
            </w:r>
          </w:p>
        </w:tc>
        <w:tc>
          <w:tcPr>
            <w:tcW w:w="201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4552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9.67%</w:t>
            </w:r>
          </w:p>
        </w:tc>
      </w:tr>
      <w:tr w14:paraId="36460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7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人员经费-员工体检费</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3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4,460.82</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9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w:t>
            </w:r>
          </w:p>
        </w:tc>
      </w:tr>
      <w:tr w14:paraId="3E293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0B9B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人员经费-员工奖励</w:t>
            </w:r>
          </w:p>
        </w:tc>
        <w:tc>
          <w:tcPr>
            <w:tcW w:w="2320" w:type="dxa"/>
            <w:tcBorders>
              <w:top w:val="single" w:color="000000" w:sz="4" w:space="0"/>
              <w:left w:val="single" w:color="000000" w:sz="4" w:space="0"/>
              <w:bottom w:val="single" w:color="000000" w:sz="4" w:space="0"/>
              <w:right w:val="single" w:color="000000" w:sz="4" w:space="0"/>
            </w:tcBorders>
            <w:shd w:val="clear" w:color="D9E1F4" w:fill="D9E1F4"/>
            <w:vAlign w:val="center"/>
          </w:tcPr>
          <w:p w14:paraId="3D5D8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3,000.00</w:t>
            </w:r>
          </w:p>
        </w:tc>
        <w:tc>
          <w:tcPr>
            <w:tcW w:w="201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81D4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r>
      <w:tr w14:paraId="55BB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C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人员经费-员工保险费</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3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3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r>
      <w:tr w14:paraId="2AAE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1C25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人员经费-员工（38，71，81节日）</w:t>
            </w:r>
          </w:p>
        </w:tc>
        <w:tc>
          <w:tcPr>
            <w:tcW w:w="2320" w:type="dxa"/>
            <w:tcBorders>
              <w:top w:val="single" w:color="000000" w:sz="4" w:space="0"/>
              <w:left w:val="single" w:color="000000" w:sz="4" w:space="0"/>
              <w:bottom w:val="single" w:color="000000" w:sz="4" w:space="0"/>
              <w:right w:val="single" w:color="000000" w:sz="4" w:space="0"/>
            </w:tcBorders>
            <w:shd w:val="clear" w:color="D9E1F4" w:fill="D9E1F4"/>
            <w:vAlign w:val="center"/>
          </w:tcPr>
          <w:p w14:paraId="5095A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2,916.00</w:t>
            </w:r>
          </w:p>
        </w:tc>
        <w:tc>
          <w:tcPr>
            <w:tcW w:w="201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FF99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r>
      <w:tr w14:paraId="1D470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4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2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2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64,750.00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3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59.65%</w:t>
            </w:r>
          </w:p>
        </w:tc>
      </w:tr>
      <w:tr w14:paraId="72FD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8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B90A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2320" w:type="dxa"/>
            <w:tcBorders>
              <w:top w:val="single" w:color="000000" w:sz="4" w:space="0"/>
              <w:left w:val="single" w:color="000000" w:sz="4" w:space="0"/>
              <w:bottom w:val="single" w:color="000000" w:sz="4" w:space="0"/>
              <w:right w:val="single" w:color="000000" w:sz="4" w:space="0"/>
            </w:tcBorders>
            <w:shd w:val="clear" w:color="D9E1F4" w:fill="D9E1F4"/>
            <w:vAlign w:val="center"/>
          </w:tcPr>
          <w:p w14:paraId="32B33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108,546.82</w:t>
            </w:r>
          </w:p>
        </w:tc>
        <w:tc>
          <w:tcPr>
            <w:tcW w:w="2010" w:type="dxa"/>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B90D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100.00%</w:t>
            </w:r>
          </w:p>
        </w:tc>
      </w:tr>
    </w:tbl>
    <w:p w14:paraId="1EF947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lang w:val="en-US" w:eastAsia="zh-CN"/>
        </w:rPr>
      </w:pPr>
    </w:p>
    <w:p w14:paraId="4EAF7F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4.重分类后整体支出分布情况表如下：</w:t>
      </w:r>
    </w:p>
    <w:p w14:paraId="5C312A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重分类内容：人员经费重分类是指从项目支出实际金额中调出的人员经费。日常支出重分类是指从项目支出实际金额中调出的办公经费中的维持日常运行的委托业务费、邮电费、维修费等，不包括办公费用、报刊杂志、印刷费及餐费。</w:t>
      </w:r>
    </w:p>
    <w:p w14:paraId="1D28B30C">
      <w:pPr>
        <w:keepNext w:val="0"/>
        <w:keepLines w:val="0"/>
        <w:pageBreakBefore w:val="0"/>
        <w:widowControl w:val="0"/>
        <w:kinsoku/>
        <w:wordWrap/>
        <w:overflowPunct/>
        <w:topLinePunct w:val="0"/>
        <w:autoSpaceDE/>
        <w:autoSpaceDN/>
        <w:bidi w:val="0"/>
        <w:adjustRightInd/>
        <w:snapToGrid/>
        <w:spacing w:line="240" w:lineRule="auto"/>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drawing>
          <wp:inline distT="0" distB="0" distL="114300" distR="114300">
            <wp:extent cx="5265420" cy="1276350"/>
            <wp:effectExtent l="0" t="0" r="11430" b="0"/>
            <wp:docPr id="26" name="图片 26" descr="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898"/>
                    <pic:cNvPicPr>
                      <a:picLocks noChangeAspect="1"/>
                    </pic:cNvPicPr>
                  </pic:nvPicPr>
                  <pic:blipFill>
                    <a:blip r:embed="rId27"/>
                    <a:stretch>
                      <a:fillRect/>
                    </a:stretch>
                  </pic:blipFill>
                  <pic:spPr>
                    <a:xfrm>
                      <a:off x="0" y="0"/>
                      <a:ext cx="5265420" cy="1276350"/>
                    </a:xfrm>
                    <a:prstGeom prst="rect">
                      <a:avLst/>
                    </a:prstGeom>
                  </pic:spPr>
                </pic:pic>
              </a:graphicData>
            </a:graphic>
          </wp:inline>
        </w:drawing>
      </w:r>
    </w:p>
    <w:p w14:paraId="0E4CDE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5.项目支出取得效益</w:t>
      </w:r>
    </w:p>
    <w:p w14:paraId="3BC059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新的社会阶层人士联谊会成员</w:t>
      </w:r>
      <w:r>
        <w:rPr>
          <w:rFonts w:hint="eastAsia" w:ascii="仿宋" w:hAnsi="仿宋" w:eastAsia="仿宋" w:cs="仿宋"/>
          <w:b/>
          <w:bCs/>
          <w:sz w:val="32"/>
          <w:szCs w:val="32"/>
          <w:lang w:val="en-US" w:eastAsia="zh-CN"/>
        </w:rPr>
        <w:t>规模同比增长25%</w:t>
      </w:r>
      <w:r>
        <w:rPr>
          <w:rFonts w:hint="eastAsia" w:ascii="仿宋" w:hAnsi="仿宋" w:eastAsia="仿宋" w:cs="仿宋"/>
          <w:b w:val="0"/>
          <w:bCs w:val="0"/>
          <w:sz w:val="32"/>
          <w:szCs w:val="32"/>
          <w:lang w:val="en-US" w:eastAsia="zh-CN"/>
        </w:rPr>
        <w:t>，2024年建言献策被政协采用数量较上年</w:t>
      </w:r>
      <w:r>
        <w:rPr>
          <w:rFonts w:hint="eastAsia" w:ascii="仿宋" w:hAnsi="仿宋" w:eastAsia="仿宋" w:cs="仿宋"/>
          <w:b/>
          <w:bCs/>
          <w:sz w:val="32"/>
          <w:szCs w:val="32"/>
          <w:lang w:val="en-US" w:eastAsia="zh-CN"/>
        </w:rPr>
        <w:t>提升40%</w:t>
      </w:r>
      <w:r>
        <w:rPr>
          <w:rFonts w:hint="eastAsia" w:ascii="仿宋" w:hAnsi="仿宋" w:eastAsia="仿宋" w:cs="仿宋"/>
          <w:b w:val="0"/>
          <w:bCs w:val="0"/>
          <w:sz w:val="32"/>
          <w:szCs w:val="32"/>
          <w:lang w:val="en-US" w:eastAsia="zh-CN"/>
        </w:rPr>
        <w:t>，党外知识分子服务</w:t>
      </w:r>
      <w:r>
        <w:rPr>
          <w:rFonts w:hint="eastAsia" w:ascii="仿宋" w:hAnsi="仿宋" w:eastAsia="仿宋" w:cs="仿宋"/>
          <w:b/>
          <w:bCs/>
          <w:sz w:val="32"/>
          <w:szCs w:val="32"/>
          <w:lang w:val="en-US" w:eastAsia="zh-CN"/>
        </w:rPr>
        <w:t>满意度达92.3%。</w:t>
      </w:r>
      <w:r>
        <w:rPr>
          <w:rFonts w:hint="eastAsia" w:ascii="仿宋" w:hAnsi="仿宋" w:eastAsia="仿宋" w:cs="仿宋"/>
          <w:b w:val="0"/>
          <w:bCs w:val="0"/>
          <w:sz w:val="32"/>
          <w:szCs w:val="32"/>
          <w:lang w:val="en-US" w:eastAsia="zh-CN"/>
        </w:rPr>
        <w:t>新的社会阶层人士实践创新基地服务增加19人次，获《衡阳日报》专题报道。直接产出：举办11场活动。长期效益：形成统战方面理论调研材料5篇、实践创新材料1篇，得到了省委常委、统战部长隋忠诚对我区统战“双融”工作的</w:t>
      </w:r>
      <w:r>
        <w:rPr>
          <w:rFonts w:hint="eastAsia" w:ascii="仿宋" w:hAnsi="仿宋" w:eastAsia="仿宋" w:cs="仿宋"/>
          <w:b/>
          <w:bCs/>
          <w:sz w:val="32"/>
          <w:szCs w:val="32"/>
          <w:lang w:val="en-US" w:eastAsia="zh-CN"/>
        </w:rPr>
        <w:t>高度肯定。</w:t>
      </w:r>
    </w:p>
    <w:p w14:paraId="46797457">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6.抽查凭证存在以下情形：</w:t>
      </w:r>
    </w:p>
    <w:p w14:paraId="3DBB8B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①走访慰问无文件无会议纪要。②存在以拨代付情形，未附相关会议纪要。③相关党派报销时，未附预算。④支付民宗局、工商局（李羽芹、邓鹏）工作经费未附相关文件及说明。⑤包括办公经费存在问题详见办公经费支出汇总及分析。⑥未提供项目支出的相关管理与内控制度。</w:t>
      </w:r>
      <w:r>
        <w:rPr>
          <w:rFonts w:hint="eastAsia" w:ascii="仿宋" w:hAnsi="仿宋" w:eastAsia="仿宋" w:cs="仿宋"/>
          <w:b w:val="0"/>
          <w:bCs w:val="0"/>
          <w:sz w:val="32"/>
          <w:szCs w:val="32"/>
          <w:lang w:val="en-US" w:eastAsia="zh-CN"/>
        </w:rPr>
        <w:t>凭证抽查汇总如下：</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8"/>
        <w:gridCol w:w="1172"/>
        <w:gridCol w:w="1569"/>
        <w:gridCol w:w="1425"/>
        <w:gridCol w:w="3072"/>
      </w:tblGrid>
      <w:tr w14:paraId="779C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5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1B1D91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日期</w:t>
            </w:r>
          </w:p>
        </w:tc>
        <w:tc>
          <w:tcPr>
            <w:tcW w:w="6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52735A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凭证号</w:t>
            </w:r>
          </w:p>
        </w:tc>
        <w:tc>
          <w:tcPr>
            <w:tcW w:w="9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64A4A0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摘要</w:t>
            </w:r>
          </w:p>
        </w:tc>
        <w:tc>
          <w:tcPr>
            <w:tcW w:w="8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8EE44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180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29111F41">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后附凭证信息检查</w:t>
            </w:r>
          </w:p>
        </w:tc>
      </w:tr>
      <w:tr w14:paraId="53BE0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A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2024-02-06</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1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记账-0006</w:t>
            </w:r>
          </w:p>
        </w:tc>
        <w:tc>
          <w:tcPr>
            <w:tcW w:w="9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9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春节走访慰问</w:t>
            </w:r>
          </w:p>
        </w:tc>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DC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24,000.00</w:t>
            </w:r>
          </w:p>
        </w:tc>
        <w:tc>
          <w:tcPr>
            <w:tcW w:w="1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FA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后附付款及人员名单，无文件或会议纪要</w:t>
            </w:r>
          </w:p>
        </w:tc>
      </w:tr>
      <w:tr w14:paraId="0740F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75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9E9F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2024-02-06</w:t>
            </w:r>
          </w:p>
        </w:tc>
        <w:tc>
          <w:tcPr>
            <w:tcW w:w="6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18FE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记账-0006</w:t>
            </w:r>
          </w:p>
        </w:tc>
        <w:tc>
          <w:tcPr>
            <w:tcW w:w="9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722C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走访统战人士</w:t>
            </w:r>
          </w:p>
        </w:tc>
        <w:tc>
          <w:tcPr>
            <w:tcW w:w="8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2908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1,600.00</w:t>
            </w:r>
          </w:p>
        </w:tc>
        <w:tc>
          <w:tcPr>
            <w:tcW w:w="180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3BEBA4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后附付款及人员名单，无文件或会议纪要</w:t>
            </w:r>
          </w:p>
        </w:tc>
      </w:tr>
      <w:tr w14:paraId="71673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9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2024-07-17</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5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记账-0010</w:t>
            </w:r>
          </w:p>
        </w:tc>
        <w:tc>
          <w:tcPr>
            <w:tcW w:w="9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8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新阶联</w:t>
            </w:r>
          </w:p>
        </w:tc>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F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20,000.00</w:t>
            </w:r>
          </w:p>
        </w:tc>
        <w:tc>
          <w:tcPr>
            <w:tcW w:w="1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A3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以拨代付情形，后附付给衡阳市雁峰区新的社会阶层人士联谊会，报告，湖南省资金往来结算票据（电子），未见会议纪要</w:t>
            </w:r>
          </w:p>
        </w:tc>
      </w:tr>
      <w:tr w14:paraId="708DA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75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DD869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2024-11-27</w:t>
            </w:r>
          </w:p>
        </w:tc>
        <w:tc>
          <w:tcPr>
            <w:tcW w:w="6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28E0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记账-0006</w:t>
            </w:r>
          </w:p>
        </w:tc>
        <w:tc>
          <w:tcPr>
            <w:tcW w:w="9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97F3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民建活动开支</w:t>
            </w:r>
          </w:p>
        </w:tc>
        <w:tc>
          <w:tcPr>
            <w:tcW w:w="8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0964A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7,703.00</w:t>
            </w:r>
          </w:p>
        </w:tc>
        <w:tc>
          <w:tcPr>
            <w:tcW w:w="180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7A72C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后附付款发票及比赛方案，租场地合同，有审批。比赛方案上“八活动经费预算”空白。无预算。购买运动服4580元，未签订政府采购合同。有采购明细单。</w:t>
            </w:r>
          </w:p>
        </w:tc>
      </w:tr>
      <w:tr w14:paraId="2BA62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B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2024-08-27</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A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记账-0012</w:t>
            </w:r>
          </w:p>
        </w:tc>
        <w:tc>
          <w:tcPr>
            <w:tcW w:w="9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B0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付民宗局工作经费（李羽芹人员经费）</w:t>
            </w:r>
          </w:p>
        </w:tc>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E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7,200.00</w:t>
            </w:r>
          </w:p>
        </w:tc>
        <w:tc>
          <w:tcPr>
            <w:tcW w:w="1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BCF96">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后附三张，付款凭证，资金往来结算收据，李羽芹经费明细，未见相关文件及说明，无缴费凭证。</w:t>
            </w:r>
          </w:p>
        </w:tc>
      </w:tr>
      <w:tr w14:paraId="4480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50"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421A9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2024-10-18</w:t>
            </w:r>
          </w:p>
        </w:tc>
        <w:tc>
          <w:tcPr>
            <w:tcW w:w="688"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297A6D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记账-0011</w:t>
            </w:r>
          </w:p>
        </w:tc>
        <w:tc>
          <w:tcPr>
            <w:tcW w:w="921"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3F6FD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付民宗局工作经费（李羽芹人员经费）</w:t>
            </w:r>
          </w:p>
        </w:tc>
        <w:tc>
          <w:tcPr>
            <w:tcW w:w="836" w:type="pct"/>
            <w:tcBorders>
              <w:top w:val="single" w:color="000000" w:sz="4" w:space="0"/>
              <w:left w:val="single" w:color="000000" w:sz="4" w:space="0"/>
              <w:bottom w:val="single" w:color="000000" w:sz="4" w:space="0"/>
              <w:right w:val="single" w:color="000000" w:sz="4" w:space="0"/>
            </w:tcBorders>
            <w:shd w:val="clear" w:color="D9E1F4" w:fill="D9E1F4"/>
            <w:noWrap/>
            <w:vAlign w:val="center"/>
          </w:tcPr>
          <w:p w14:paraId="75A49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4,800.00</w:t>
            </w:r>
          </w:p>
        </w:tc>
        <w:tc>
          <w:tcPr>
            <w:tcW w:w="1803" w:type="pct"/>
            <w:tcBorders>
              <w:top w:val="single" w:color="000000" w:sz="4" w:space="0"/>
              <w:left w:val="single" w:color="000000" w:sz="4" w:space="0"/>
              <w:bottom w:val="single" w:color="000000" w:sz="4" w:space="0"/>
              <w:right w:val="single" w:color="000000" w:sz="4" w:space="0"/>
            </w:tcBorders>
            <w:shd w:val="clear" w:color="D9E1F4" w:fill="D9E1F4"/>
            <w:vAlign w:val="center"/>
          </w:tcPr>
          <w:p w14:paraId="27FDC06A">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后附三张，付款凭证，资金往来结算收据，李羽芹经费明细，未见相关文件及说明，无缴费凭证。</w:t>
            </w:r>
          </w:p>
        </w:tc>
      </w:tr>
      <w:tr w14:paraId="370F1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8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2024-10-18</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5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记账-0012</w:t>
            </w:r>
          </w:p>
        </w:tc>
        <w:tc>
          <w:tcPr>
            <w:tcW w:w="9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A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付工商联（工作经费）（邓鹏人员经费）</w:t>
            </w:r>
          </w:p>
        </w:tc>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1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8,000.00</w:t>
            </w:r>
          </w:p>
        </w:tc>
        <w:tc>
          <w:tcPr>
            <w:tcW w:w="1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AA02F">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后附三张，付款凭证，报告，邓鹏经费明细，未见相关文件及说明，无缴费凭证。</w:t>
            </w:r>
          </w:p>
        </w:tc>
      </w:tr>
    </w:tbl>
    <w:p w14:paraId="2D3ADE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 w:hAnsi="仿宋" w:eastAsia="仿宋" w:cs="仿宋"/>
          <w:sz w:val="32"/>
          <w:szCs w:val="32"/>
          <w:highlight w:val="none"/>
          <w:lang w:val="en-US" w:eastAsia="zh-CN"/>
        </w:rPr>
      </w:pPr>
      <w:bookmarkStart w:id="35" w:name="_Toc15513"/>
      <w:r>
        <w:rPr>
          <w:rFonts w:hint="eastAsia" w:ascii="楷体" w:hAnsi="楷体" w:eastAsia="楷体" w:cs="楷体"/>
          <w:b/>
          <w:bCs/>
          <w:sz w:val="32"/>
          <w:szCs w:val="32"/>
          <w:highlight w:val="none"/>
          <w:lang w:val="en-US" w:eastAsia="zh-CN"/>
        </w:rPr>
        <w:t>（七）固定资产管理情况及分析</w:t>
      </w:r>
      <w:bookmarkEnd w:id="35"/>
    </w:p>
    <w:p w14:paraId="27D93A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1.固定资产增减变动明细，单位：元</w:t>
      </w:r>
    </w:p>
    <w:tbl>
      <w:tblPr>
        <w:tblStyle w:val="12"/>
        <w:tblW w:w="8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60"/>
        <w:gridCol w:w="1455"/>
        <w:gridCol w:w="1635"/>
        <w:gridCol w:w="1710"/>
        <w:gridCol w:w="1380"/>
      </w:tblGrid>
      <w:tr w14:paraId="1BD3C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60" w:type="dxa"/>
            <w:tcBorders>
              <w:top w:val="single" w:color="4874CB" w:sz="4" w:space="0"/>
              <w:left w:val="single" w:color="4874CB" w:sz="4" w:space="0"/>
              <w:bottom w:val="single" w:color="4874CB" w:sz="8" w:space="0"/>
              <w:right w:val="single" w:color="91AADF" w:sz="4" w:space="0"/>
            </w:tcBorders>
            <w:shd w:val="clear" w:color="auto" w:fill="auto"/>
            <w:noWrap/>
            <w:vAlign w:val="center"/>
          </w:tcPr>
          <w:p w14:paraId="3B71AB67">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项目名称</w:t>
            </w:r>
          </w:p>
        </w:tc>
        <w:tc>
          <w:tcPr>
            <w:tcW w:w="1455" w:type="dxa"/>
            <w:tcBorders>
              <w:top w:val="single" w:color="4874CB" w:sz="4" w:space="0"/>
              <w:left w:val="single" w:color="91AADF" w:sz="4" w:space="0"/>
              <w:bottom w:val="single" w:color="4874CB" w:sz="8" w:space="0"/>
              <w:right w:val="single" w:color="91AADF" w:sz="4" w:space="0"/>
            </w:tcBorders>
            <w:shd w:val="clear" w:color="auto" w:fill="auto"/>
            <w:noWrap/>
            <w:vAlign w:val="center"/>
          </w:tcPr>
          <w:p w14:paraId="26CB674F">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期初余额</w:t>
            </w:r>
          </w:p>
        </w:tc>
        <w:tc>
          <w:tcPr>
            <w:tcW w:w="1635" w:type="dxa"/>
            <w:tcBorders>
              <w:top w:val="single" w:color="4874CB" w:sz="4" w:space="0"/>
              <w:left w:val="single" w:color="91AADF" w:sz="4" w:space="0"/>
              <w:bottom w:val="single" w:color="4874CB" w:sz="8" w:space="0"/>
              <w:right w:val="single" w:color="91AADF" w:sz="4" w:space="0"/>
            </w:tcBorders>
            <w:shd w:val="clear" w:color="auto" w:fill="auto"/>
            <w:noWrap/>
            <w:vAlign w:val="center"/>
          </w:tcPr>
          <w:p w14:paraId="61D532B4">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2024年增加额</w:t>
            </w:r>
          </w:p>
        </w:tc>
        <w:tc>
          <w:tcPr>
            <w:tcW w:w="1710" w:type="dxa"/>
            <w:tcBorders>
              <w:top w:val="single" w:color="4874CB" w:sz="4" w:space="0"/>
              <w:left w:val="single" w:color="91AADF" w:sz="4" w:space="0"/>
              <w:bottom w:val="single" w:color="4874CB" w:sz="8" w:space="0"/>
              <w:right w:val="single" w:color="91AADF" w:sz="4" w:space="0"/>
            </w:tcBorders>
            <w:shd w:val="clear" w:color="auto" w:fill="auto"/>
            <w:noWrap/>
            <w:vAlign w:val="center"/>
          </w:tcPr>
          <w:p w14:paraId="59E2F90E">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2024年减少额</w:t>
            </w:r>
          </w:p>
        </w:tc>
        <w:tc>
          <w:tcPr>
            <w:tcW w:w="1380" w:type="dxa"/>
            <w:tcBorders>
              <w:top w:val="single" w:color="4874CB" w:sz="4" w:space="0"/>
              <w:left w:val="single" w:color="91AADF" w:sz="4" w:space="0"/>
              <w:bottom w:val="single" w:color="4874CB" w:sz="8" w:space="0"/>
              <w:right w:val="single" w:color="4874CB" w:sz="4" w:space="0"/>
            </w:tcBorders>
            <w:shd w:val="clear" w:color="auto" w:fill="auto"/>
            <w:noWrap/>
            <w:vAlign w:val="center"/>
          </w:tcPr>
          <w:p w14:paraId="396ED249">
            <w:pPr>
              <w:keepNext w:val="0"/>
              <w:keepLines w:val="0"/>
              <w:widowControl/>
              <w:suppressLineNumbers w:val="0"/>
              <w:jc w:val="center"/>
              <w:textAlignment w:val="center"/>
              <w:outlineLvl w:val="9"/>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期末余额</w:t>
            </w:r>
          </w:p>
        </w:tc>
      </w:tr>
      <w:tr w14:paraId="4A832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4874CB" w:sz="8" w:space="0"/>
              <w:left w:val="single" w:color="4874CB" w:sz="4" w:space="0"/>
              <w:bottom w:val="single" w:color="91AADF" w:sz="4" w:space="0"/>
              <w:right w:val="single" w:color="91AADF" w:sz="4" w:space="0"/>
            </w:tcBorders>
            <w:shd w:val="clear" w:color="D9E1F4" w:fill="D9E1F4"/>
            <w:noWrap/>
            <w:vAlign w:val="center"/>
          </w:tcPr>
          <w:p w14:paraId="6C406406">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固定资产原值</w:t>
            </w:r>
          </w:p>
        </w:tc>
        <w:tc>
          <w:tcPr>
            <w:tcW w:w="1455" w:type="dxa"/>
            <w:tcBorders>
              <w:top w:val="single" w:color="4874CB" w:sz="8" w:space="0"/>
              <w:left w:val="single" w:color="91AADF" w:sz="4" w:space="0"/>
              <w:bottom w:val="single" w:color="91AADF" w:sz="4" w:space="0"/>
              <w:right w:val="single" w:color="91AADF" w:sz="4" w:space="0"/>
            </w:tcBorders>
            <w:shd w:val="clear" w:color="D9E1F4" w:fill="D9E1F4"/>
            <w:noWrap/>
            <w:vAlign w:val="bottom"/>
          </w:tcPr>
          <w:p w14:paraId="13D16216">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236,046.00</w:t>
            </w:r>
          </w:p>
        </w:tc>
        <w:tc>
          <w:tcPr>
            <w:tcW w:w="1635" w:type="dxa"/>
            <w:tcBorders>
              <w:top w:val="single" w:color="4874CB" w:sz="8" w:space="0"/>
              <w:left w:val="single" w:color="91AADF" w:sz="4" w:space="0"/>
              <w:bottom w:val="single" w:color="91AADF" w:sz="4" w:space="0"/>
              <w:right w:val="single" w:color="91AADF" w:sz="4" w:space="0"/>
            </w:tcBorders>
            <w:shd w:val="clear" w:color="D9E1F4" w:fill="D9E1F4"/>
            <w:noWrap/>
            <w:vAlign w:val="center"/>
          </w:tcPr>
          <w:p w14:paraId="5B910593">
            <w:pPr>
              <w:jc w:val="center"/>
              <w:outlineLvl w:val="9"/>
              <w:rPr>
                <w:rFonts w:hint="eastAsia" w:ascii="宋体" w:hAnsi="宋体" w:eastAsia="宋体" w:cs="宋体"/>
                <w:i w:val="0"/>
                <w:iCs w:val="0"/>
                <w:color w:val="000000"/>
                <w:sz w:val="22"/>
                <w:szCs w:val="22"/>
                <w:highlight w:val="none"/>
                <w:u w:val="none"/>
              </w:rPr>
            </w:pPr>
          </w:p>
        </w:tc>
        <w:tc>
          <w:tcPr>
            <w:tcW w:w="0" w:type="auto"/>
            <w:tcBorders>
              <w:top w:val="single" w:color="4874CB" w:sz="8" w:space="0"/>
              <w:left w:val="single" w:color="91AADF" w:sz="4" w:space="0"/>
              <w:bottom w:val="single" w:color="91AADF" w:sz="4" w:space="0"/>
              <w:right w:val="single" w:color="91AADF" w:sz="4" w:space="0"/>
            </w:tcBorders>
            <w:shd w:val="clear" w:color="D9E1F4" w:fill="D9E1F4"/>
            <w:noWrap/>
            <w:vAlign w:val="center"/>
          </w:tcPr>
          <w:p w14:paraId="6D3490DD">
            <w:pPr>
              <w:jc w:val="center"/>
              <w:outlineLvl w:val="9"/>
              <w:rPr>
                <w:rFonts w:hint="eastAsia" w:ascii="宋体" w:hAnsi="宋体" w:eastAsia="宋体" w:cs="宋体"/>
                <w:i w:val="0"/>
                <w:iCs w:val="0"/>
                <w:color w:val="000000"/>
                <w:sz w:val="22"/>
                <w:szCs w:val="22"/>
                <w:highlight w:val="none"/>
                <w:u w:val="none"/>
              </w:rPr>
            </w:pPr>
          </w:p>
        </w:tc>
        <w:tc>
          <w:tcPr>
            <w:tcW w:w="0" w:type="auto"/>
            <w:tcBorders>
              <w:top w:val="single" w:color="4874CB" w:sz="8" w:space="0"/>
              <w:left w:val="single" w:color="91AADF" w:sz="4" w:space="0"/>
              <w:bottom w:val="single" w:color="91AADF" w:sz="4" w:space="0"/>
              <w:right w:val="single" w:color="4874CB" w:sz="4" w:space="0"/>
            </w:tcBorders>
            <w:shd w:val="clear" w:color="D9E1F4" w:fill="D9E1F4"/>
            <w:noWrap/>
            <w:vAlign w:val="bottom"/>
          </w:tcPr>
          <w:p w14:paraId="5D2BFF63">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236,046.00</w:t>
            </w:r>
          </w:p>
        </w:tc>
      </w:tr>
      <w:tr w14:paraId="35DD0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91AADF" w:sz="4" w:space="0"/>
              <w:left w:val="single" w:color="4874CB" w:sz="4" w:space="0"/>
              <w:bottom w:val="single" w:color="91AADF" w:sz="4" w:space="0"/>
              <w:right w:val="single" w:color="91AADF" w:sz="4" w:space="0"/>
            </w:tcBorders>
            <w:shd w:val="clear" w:color="auto" w:fill="auto"/>
            <w:noWrap/>
            <w:vAlign w:val="center"/>
          </w:tcPr>
          <w:p w14:paraId="769F0510">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累计折旧</w:t>
            </w:r>
          </w:p>
        </w:tc>
        <w:tc>
          <w:tcPr>
            <w:tcW w:w="1455" w:type="dxa"/>
            <w:tcBorders>
              <w:top w:val="single" w:color="91AADF" w:sz="4" w:space="0"/>
              <w:left w:val="single" w:color="91AADF" w:sz="4" w:space="0"/>
              <w:bottom w:val="single" w:color="91AADF" w:sz="4" w:space="0"/>
              <w:right w:val="single" w:color="91AADF" w:sz="4" w:space="0"/>
            </w:tcBorders>
            <w:shd w:val="clear" w:color="auto" w:fill="auto"/>
            <w:noWrap/>
            <w:vAlign w:val="bottom"/>
          </w:tcPr>
          <w:p w14:paraId="34136FA0">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109,523.48</w:t>
            </w:r>
          </w:p>
        </w:tc>
        <w:tc>
          <w:tcPr>
            <w:tcW w:w="1635" w:type="dxa"/>
            <w:tcBorders>
              <w:top w:val="single" w:color="91AADF" w:sz="4" w:space="0"/>
              <w:left w:val="single" w:color="91AADF" w:sz="4" w:space="0"/>
              <w:bottom w:val="single" w:color="91AADF" w:sz="4" w:space="0"/>
              <w:right w:val="single" w:color="91AADF" w:sz="4" w:space="0"/>
            </w:tcBorders>
            <w:shd w:val="clear" w:color="auto" w:fill="auto"/>
            <w:noWrap/>
            <w:vAlign w:val="bottom"/>
          </w:tcPr>
          <w:p w14:paraId="6CC8F807">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30,388.48</w:t>
            </w:r>
          </w:p>
        </w:tc>
        <w:tc>
          <w:tcPr>
            <w:tcW w:w="0" w:type="auto"/>
            <w:tcBorders>
              <w:top w:val="single" w:color="91AADF" w:sz="4" w:space="0"/>
              <w:left w:val="single" w:color="91AADF" w:sz="4" w:space="0"/>
              <w:bottom w:val="single" w:color="91AADF" w:sz="4" w:space="0"/>
              <w:right w:val="single" w:color="91AADF" w:sz="4" w:space="0"/>
            </w:tcBorders>
            <w:shd w:val="clear" w:color="auto" w:fill="auto"/>
            <w:noWrap/>
            <w:vAlign w:val="center"/>
          </w:tcPr>
          <w:p w14:paraId="0ACFE443">
            <w:pPr>
              <w:jc w:val="center"/>
              <w:outlineLvl w:val="9"/>
              <w:rPr>
                <w:rFonts w:hint="eastAsia" w:ascii="宋体" w:hAnsi="宋体" w:eastAsia="宋体" w:cs="宋体"/>
                <w:i w:val="0"/>
                <w:iCs w:val="0"/>
                <w:color w:val="000000"/>
                <w:sz w:val="22"/>
                <w:szCs w:val="22"/>
                <w:highlight w:val="none"/>
                <w:u w:val="none"/>
              </w:rPr>
            </w:pPr>
          </w:p>
        </w:tc>
        <w:tc>
          <w:tcPr>
            <w:tcW w:w="0" w:type="auto"/>
            <w:tcBorders>
              <w:top w:val="single" w:color="91AADF" w:sz="4" w:space="0"/>
              <w:left w:val="single" w:color="91AADF" w:sz="4" w:space="0"/>
              <w:bottom w:val="single" w:color="91AADF" w:sz="4" w:space="0"/>
              <w:right w:val="single" w:color="4874CB" w:sz="4" w:space="0"/>
            </w:tcBorders>
            <w:shd w:val="clear" w:color="auto" w:fill="auto"/>
            <w:noWrap/>
            <w:vAlign w:val="bottom"/>
          </w:tcPr>
          <w:p w14:paraId="049F3861">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139,911.96</w:t>
            </w:r>
          </w:p>
        </w:tc>
      </w:tr>
      <w:tr w14:paraId="65FDD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91AADF" w:sz="4" w:space="0"/>
              <w:left w:val="single" w:color="4874CB" w:sz="4" w:space="0"/>
              <w:bottom w:val="single" w:color="4874CB" w:sz="4" w:space="0"/>
              <w:right w:val="single" w:color="91AADF" w:sz="4" w:space="0"/>
            </w:tcBorders>
            <w:shd w:val="clear" w:color="D9E1F4" w:fill="D9E1F4"/>
            <w:noWrap/>
            <w:vAlign w:val="center"/>
          </w:tcPr>
          <w:p w14:paraId="4F77EACF">
            <w:pPr>
              <w:keepNext w:val="0"/>
              <w:keepLines w:val="0"/>
              <w:widowControl/>
              <w:suppressLineNumbers w:val="0"/>
              <w:jc w:val="center"/>
              <w:textAlignment w:val="center"/>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固定资产净值</w:t>
            </w:r>
          </w:p>
        </w:tc>
        <w:tc>
          <w:tcPr>
            <w:tcW w:w="1455" w:type="dxa"/>
            <w:tcBorders>
              <w:top w:val="single" w:color="91AADF" w:sz="4" w:space="0"/>
              <w:left w:val="single" w:color="91AADF" w:sz="4" w:space="0"/>
              <w:bottom w:val="single" w:color="4874CB" w:sz="4" w:space="0"/>
              <w:right w:val="single" w:color="91AADF" w:sz="4" w:space="0"/>
            </w:tcBorders>
            <w:shd w:val="clear" w:color="D9E1F4" w:fill="D9E1F4"/>
            <w:noWrap/>
            <w:vAlign w:val="bottom"/>
          </w:tcPr>
          <w:p w14:paraId="3FD6048E">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126,522.52</w:t>
            </w:r>
          </w:p>
        </w:tc>
        <w:tc>
          <w:tcPr>
            <w:tcW w:w="1635" w:type="dxa"/>
            <w:tcBorders>
              <w:top w:val="single" w:color="91AADF" w:sz="4" w:space="0"/>
              <w:left w:val="single" w:color="91AADF" w:sz="4" w:space="0"/>
              <w:bottom w:val="single" w:color="4874CB" w:sz="4" w:space="0"/>
              <w:right w:val="single" w:color="91AADF" w:sz="4" w:space="0"/>
            </w:tcBorders>
            <w:shd w:val="clear" w:color="D9E1F4" w:fill="D9E1F4"/>
            <w:noWrap/>
            <w:vAlign w:val="bottom"/>
          </w:tcPr>
          <w:p w14:paraId="1AE7D62A">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30,388.48</w:t>
            </w:r>
          </w:p>
        </w:tc>
        <w:tc>
          <w:tcPr>
            <w:tcW w:w="0" w:type="auto"/>
            <w:tcBorders>
              <w:top w:val="single" w:color="91AADF" w:sz="4" w:space="0"/>
              <w:left w:val="single" w:color="91AADF" w:sz="4" w:space="0"/>
              <w:bottom w:val="single" w:color="4874CB" w:sz="4" w:space="0"/>
              <w:right w:val="single" w:color="91AADF" w:sz="4" w:space="0"/>
            </w:tcBorders>
            <w:shd w:val="clear" w:color="D9E1F4" w:fill="D9E1F4"/>
            <w:noWrap/>
            <w:vAlign w:val="center"/>
          </w:tcPr>
          <w:p w14:paraId="4FA03F49">
            <w:pPr>
              <w:jc w:val="center"/>
              <w:outlineLvl w:val="9"/>
              <w:rPr>
                <w:rFonts w:hint="eastAsia" w:ascii="宋体" w:hAnsi="宋体" w:eastAsia="宋体" w:cs="宋体"/>
                <w:i w:val="0"/>
                <w:iCs w:val="0"/>
                <w:color w:val="000000"/>
                <w:sz w:val="22"/>
                <w:szCs w:val="22"/>
                <w:highlight w:val="none"/>
                <w:u w:val="none"/>
              </w:rPr>
            </w:pPr>
          </w:p>
        </w:tc>
        <w:tc>
          <w:tcPr>
            <w:tcW w:w="0" w:type="auto"/>
            <w:tcBorders>
              <w:top w:val="single" w:color="91AADF" w:sz="4" w:space="0"/>
              <w:left w:val="single" w:color="91AADF" w:sz="4" w:space="0"/>
              <w:bottom w:val="single" w:color="4874CB" w:sz="4" w:space="0"/>
              <w:right w:val="single" w:color="4874CB" w:sz="4" w:space="0"/>
            </w:tcBorders>
            <w:shd w:val="clear" w:color="D9E1F4" w:fill="D9E1F4"/>
            <w:noWrap/>
            <w:vAlign w:val="bottom"/>
          </w:tcPr>
          <w:p w14:paraId="45FB9228">
            <w:pPr>
              <w:keepNext w:val="0"/>
              <w:keepLines w:val="0"/>
              <w:widowControl/>
              <w:suppressLineNumbers w:val="0"/>
              <w:jc w:val="right"/>
              <w:textAlignment w:val="bottom"/>
              <w:outlineLvl w:val="9"/>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96,134.04</w:t>
            </w:r>
          </w:p>
        </w:tc>
      </w:tr>
    </w:tbl>
    <w:p w14:paraId="784015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highlight w:val="yellow"/>
          <w:lang w:val="en-US" w:eastAsia="zh-CN"/>
        </w:rPr>
      </w:pPr>
      <w:r>
        <w:rPr>
          <w:rFonts w:hint="eastAsia" w:ascii="仿宋" w:hAnsi="仿宋" w:eastAsia="仿宋" w:cs="仿宋"/>
          <w:b/>
          <w:bCs/>
          <w:sz w:val="32"/>
          <w:szCs w:val="32"/>
          <w:highlight w:val="none"/>
          <w:lang w:val="en-US" w:eastAsia="zh-CN"/>
        </w:rPr>
        <w:t>2.固定资产管理情况</w:t>
      </w:r>
    </w:p>
    <w:p w14:paraId="09F62E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纳入湖南省资产管理系统，2024年固定资产未增加或减少。未标识使用状态，使用部门，使用人及存放地点，管理人为临时管理人员，部分资产要素待完善。</w:t>
      </w:r>
    </w:p>
    <w:tbl>
      <w:tblPr>
        <w:tblStyle w:val="1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89"/>
        <w:gridCol w:w="1839"/>
        <w:gridCol w:w="1740"/>
        <w:gridCol w:w="1515"/>
        <w:gridCol w:w="1333"/>
      </w:tblGrid>
      <w:tr w14:paraId="1856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CB2133F">
            <w:pPr>
              <w:keepNext w:val="0"/>
              <w:keepLines w:val="0"/>
              <w:widowControl/>
              <w:suppressLineNumbers w:val="0"/>
              <w:jc w:val="center"/>
              <w:textAlignment w:val="center"/>
              <w:outlineLvl w:val="9"/>
              <w:rPr>
                <w:rFonts w:ascii="Calibri" w:hAnsi="Calibri" w:eastAsia="宋体" w:cs="Calibri"/>
                <w:b/>
                <w:bCs/>
                <w:i w:val="0"/>
                <w:iCs w:val="0"/>
                <w:color w:val="000000"/>
                <w:sz w:val="22"/>
                <w:szCs w:val="22"/>
                <w:highlight w:val="none"/>
                <w:u w:val="none"/>
              </w:rPr>
            </w:pPr>
            <w:r>
              <w:rPr>
                <w:rFonts w:hint="default" w:ascii="Calibri" w:hAnsi="Calibri" w:eastAsia="宋体" w:cs="Calibri"/>
                <w:b/>
                <w:bCs/>
                <w:i w:val="0"/>
                <w:iCs w:val="0"/>
                <w:color w:val="000000"/>
                <w:kern w:val="0"/>
                <w:sz w:val="22"/>
                <w:szCs w:val="22"/>
                <w:highlight w:val="none"/>
                <w:u w:val="none"/>
                <w:lang w:val="en-US" w:eastAsia="zh-CN" w:bidi="ar"/>
              </w:rPr>
              <w:t>资产编号</w:t>
            </w:r>
          </w:p>
        </w:tc>
        <w:tc>
          <w:tcPr>
            <w:tcW w:w="1079"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37392BC">
            <w:pPr>
              <w:keepNext w:val="0"/>
              <w:keepLines w:val="0"/>
              <w:widowControl/>
              <w:suppressLineNumbers w:val="0"/>
              <w:jc w:val="center"/>
              <w:textAlignment w:val="center"/>
              <w:outlineLvl w:val="9"/>
              <w:rPr>
                <w:rFonts w:hint="default" w:ascii="Calibri" w:hAnsi="Calibri" w:eastAsia="宋体" w:cs="Calibri"/>
                <w:b/>
                <w:bCs/>
                <w:i w:val="0"/>
                <w:iCs w:val="0"/>
                <w:color w:val="000000"/>
                <w:sz w:val="22"/>
                <w:szCs w:val="22"/>
                <w:highlight w:val="none"/>
                <w:u w:val="none"/>
              </w:rPr>
            </w:pPr>
            <w:r>
              <w:rPr>
                <w:rFonts w:hint="default" w:ascii="Calibri" w:hAnsi="Calibri" w:eastAsia="宋体" w:cs="Calibri"/>
                <w:b/>
                <w:bCs/>
                <w:i w:val="0"/>
                <w:iCs w:val="0"/>
                <w:color w:val="000000"/>
                <w:kern w:val="0"/>
                <w:sz w:val="22"/>
                <w:szCs w:val="22"/>
                <w:highlight w:val="none"/>
                <w:u w:val="none"/>
                <w:lang w:val="en-US" w:eastAsia="zh-CN" w:bidi="ar"/>
              </w:rPr>
              <w:t>资产名称</w:t>
            </w:r>
          </w:p>
        </w:tc>
        <w:tc>
          <w:tcPr>
            <w:tcW w:w="1021"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627FE6A">
            <w:pPr>
              <w:keepNext w:val="0"/>
              <w:keepLines w:val="0"/>
              <w:widowControl/>
              <w:suppressLineNumbers w:val="0"/>
              <w:jc w:val="center"/>
              <w:textAlignment w:val="center"/>
              <w:outlineLvl w:val="9"/>
              <w:rPr>
                <w:rFonts w:hint="default" w:ascii="Calibri" w:hAnsi="Calibri" w:eastAsia="宋体" w:cs="Calibri"/>
                <w:b/>
                <w:bCs/>
                <w:i w:val="0"/>
                <w:iCs w:val="0"/>
                <w:color w:val="000000"/>
                <w:sz w:val="22"/>
                <w:szCs w:val="22"/>
                <w:highlight w:val="none"/>
                <w:u w:val="none"/>
              </w:rPr>
            </w:pPr>
            <w:r>
              <w:rPr>
                <w:rFonts w:hint="default" w:ascii="Calibri" w:hAnsi="Calibri" w:eastAsia="宋体" w:cs="Calibri"/>
                <w:b/>
                <w:bCs/>
                <w:i w:val="0"/>
                <w:iCs w:val="0"/>
                <w:color w:val="000000"/>
                <w:kern w:val="0"/>
                <w:sz w:val="22"/>
                <w:szCs w:val="22"/>
                <w:highlight w:val="none"/>
                <w:u w:val="none"/>
                <w:lang w:val="en-US" w:eastAsia="zh-CN" w:bidi="ar"/>
              </w:rPr>
              <w:t>资产分类</w:t>
            </w:r>
          </w:p>
        </w:tc>
        <w:tc>
          <w:tcPr>
            <w:tcW w:w="889"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E58DFEC">
            <w:pPr>
              <w:keepNext w:val="0"/>
              <w:keepLines w:val="0"/>
              <w:widowControl/>
              <w:suppressLineNumbers w:val="0"/>
              <w:jc w:val="center"/>
              <w:textAlignment w:val="center"/>
              <w:outlineLvl w:val="9"/>
              <w:rPr>
                <w:rFonts w:hint="default" w:ascii="Calibri" w:hAnsi="Calibri" w:eastAsia="宋体" w:cs="Calibri"/>
                <w:b/>
                <w:bCs/>
                <w:i w:val="0"/>
                <w:iCs w:val="0"/>
                <w:color w:val="000000"/>
                <w:sz w:val="22"/>
                <w:szCs w:val="22"/>
                <w:highlight w:val="none"/>
                <w:u w:val="none"/>
              </w:rPr>
            </w:pPr>
            <w:r>
              <w:rPr>
                <w:rFonts w:hint="default" w:ascii="Calibri" w:hAnsi="Calibri" w:eastAsia="宋体" w:cs="Calibri"/>
                <w:b/>
                <w:bCs/>
                <w:i w:val="0"/>
                <w:iCs w:val="0"/>
                <w:color w:val="000000"/>
                <w:kern w:val="0"/>
                <w:sz w:val="22"/>
                <w:szCs w:val="22"/>
                <w:highlight w:val="none"/>
                <w:u w:val="none"/>
                <w:lang w:val="en-US" w:eastAsia="zh-CN" w:bidi="ar"/>
              </w:rPr>
              <w:t>记账日期</w:t>
            </w:r>
          </w:p>
        </w:tc>
        <w:tc>
          <w:tcPr>
            <w:tcW w:w="782" w:type="pc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21B31F3">
            <w:pPr>
              <w:keepNext w:val="0"/>
              <w:keepLines w:val="0"/>
              <w:widowControl/>
              <w:suppressLineNumbers w:val="0"/>
              <w:jc w:val="center"/>
              <w:textAlignment w:val="center"/>
              <w:outlineLvl w:val="9"/>
              <w:rPr>
                <w:rFonts w:hint="default" w:ascii="Calibri" w:hAnsi="Calibri" w:eastAsia="宋体" w:cs="Calibri"/>
                <w:b/>
                <w:bCs/>
                <w:i w:val="0"/>
                <w:iCs w:val="0"/>
                <w:color w:val="000000"/>
                <w:sz w:val="22"/>
                <w:szCs w:val="22"/>
                <w:highlight w:val="none"/>
                <w:u w:val="none"/>
              </w:rPr>
            </w:pPr>
            <w:r>
              <w:rPr>
                <w:rFonts w:hint="eastAsia" w:ascii="Calibri" w:hAnsi="Calibri" w:eastAsia="宋体" w:cs="Calibri"/>
                <w:b/>
                <w:bCs/>
                <w:i w:val="0"/>
                <w:iCs w:val="0"/>
                <w:color w:val="000000"/>
                <w:kern w:val="0"/>
                <w:sz w:val="22"/>
                <w:szCs w:val="22"/>
                <w:highlight w:val="none"/>
                <w:u w:val="none"/>
                <w:lang w:val="en-US" w:eastAsia="zh-CN" w:bidi="ar"/>
              </w:rPr>
              <w:t>固定</w:t>
            </w:r>
            <w:r>
              <w:rPr>
                <w:rFonts w:hint="default" w:ascii="Calibri" w:hAnsi="Calibri" w:eastAsia="宋体" w:cs="Calibri"/>
                <w:b/>
                <w:bCs/>
                <w:i w:val="0"/>
                <w:iCs w:val="0"/>
                <w:color w:val="000000"/>
                <w:kern w:val="0"/>
                <w:sz w:val="22"/>
                <w:szCs w:val="22"/>
                <w:highlight w:val="none"/>
                <w:u w:val="none"/>
                <w:lang w:val="en-US" w:eastAsia="zh-CN" w:bidi="ar"/>
              </w:rPr>
              <w:t>资产原值(元)</w:t>
            </w:r>
          </w:p>
        </w:tc>
      </w:tr>
      <w:tr w14:paraId="1A46D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86FAB2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TY2007000001</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D131393">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98F66D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EE0990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2007-12-31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3D4FA3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5,485.00</w:t>
            </w:r>
          </w:p>
        </w:tc>
      </w:tr>
      <w:tr w14:paraId="4260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230E5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TY2008000001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595F7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电脑及打印机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59F99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A0C19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2008-10-30</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07502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11,080.00</w:t>
            </w:r>
          </w:p>
        </w:tc>
      </w:tr>
      <w:tr w14:paraId="2497A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B406B8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TY2013000001</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DE01A7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01E672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其他照相机及器材</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18D74D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2013-09-30</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992D47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1,460.00</w:t>
            </w:r>
          </w:p>
        </w:tc>
      </w:tr>
      <w:tr w14:paraId="14E65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81EA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TY2016000001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5A12D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55F3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ADC16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2016-12-31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19A6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4,399.00</w:t>
            </w:r>
          </w:p>
        </w:tc>
      </w:tr>
      <w:tr w14:paraId="3D170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82058A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JJ2017000001</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63E6E2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94CE9E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9BD9FF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2017-12-21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08D824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1,080.00</w:t>
            </w:r>
          </w:p>
        </w:tc>
      </w:tr>
      <w:tr w14:paraId="13179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1AAE0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TY2017000001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EB08E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B8D2E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90A2B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2017-12-31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42B690">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4,299.00</w:t>
            </w:r>
          </w:p>
        </w:tc>
      </w:tr>
      <w:tr w14:paraId="76A49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4D8ADC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TY2017000003</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F1B885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D36272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441F09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2017-12-31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F84E0E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4,369.00</w:t>
            </w:r>
          </w:p>
        </w:tc>
      </w:tr>
      <w:tr w14:paraId="4A13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D1B36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TY2017000004</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47473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9F5A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CE59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2017-12-31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5F444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4,299.00</w:t>
            </w:r>
          </w:p>
        </w:tc>
      </w:tr>
      <w:tr w14:paraId="28393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A50A8B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TY2018000001</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F709E1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电脑</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AD1321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E89BB2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2018-12-31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9ACB95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5,360.00</w:t>
            </w:r>
          </w:p>
        </w:tc>
      </w:tr>
      <w:tr w14:paraId="29734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55CA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TY2019000001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0927C3">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多功能一体机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C11DE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多功能一体机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812B9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2019-03-19</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48755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1,760.00</w:t>
            </w:r>
          </w:p>
        </w:tc>
      </w:tr>
      <w:tr w14:paraId="63B9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FEC84A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TY2019000002</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BA85A0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台式机等</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CAA04D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BF1BFB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2019-05-29</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68B057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9,020.00</w:t>
            </w:r>
          </w:p>
        </w:tc>
      </w:tr>
      <w:tr w14:paraId="5F3CC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711D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JJ2019000001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22130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办公家具</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AA77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其他台、桌类</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7958C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2019-05-29</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DDA4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5,100.00</w:t>
            </w:r>
          </w:p>
        </w:tc>
      </w:tr>
      <w:tr w14:paraId="3703C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63DCB2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TY2019000003</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64F4F7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保密电脑</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224F18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41EAEE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2019-05-31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AF88E1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9,990.00</w:t>
            </w:r>
          </w:p>
        </w:tc>
      </w:tr>
      <w:tr w14:paraId="06B58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776D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TY2020000001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27556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B8AD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0CEC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2020-01-31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5A94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4,950.00</w:t>
            </w:r>
          </w:p>
        </w:tc>
      </w:tr>
      <w:tr w14:paraId="465A3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7EA0EA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TY2020000002</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B95793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多功能一体机（打印、传真、复印）</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9D1363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多功能一体机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D6EDEF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2020-01-31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4575F0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1,880.00</w:t>
            </w:r>
          </w:p>
        </w:tc>
      </w:tr>
      <w:tr w14:paraId="66B3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E583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JJ2020000001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4D0AF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33952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其他台、桌类</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F5BE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2020-01-31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7ECD9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2,180.00</w:t>
            </w:r>
          </w:p>
        </w:tc>
      </w:tr>
      <w:tr w14:paraId="4390E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34854D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JJ2020000002</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D13282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25381F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其他椅凳类</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12A672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2020-01-31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63F86E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1,980.00</w:t>
            </w:r>
          </w:p>
        </w:tc>
      </w:tr>
      <w:tr w14:paraId="22A8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96EB1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TY2021000001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8FDED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数据库系统接入设备</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88109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终端接入设备</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3ED1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2021-09-30</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8D120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62,830.00</w:t>
            </w:r>
          </w:p>
        </w:tc>
      </w:tr>
      <w:tr w14:paraId="0AAB0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0C1609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TY2021000002</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950B24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电子政务内网</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0426BF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计算机终端安全设备</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C58A6C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2021-09-30</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C24964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23,330.00</w:t>
            </w:r>
          </w:p>
        </w:tc>
      </w:tr>
      <w:tr w14:paraId="3EFEF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42F8B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TY2022000004</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1CEC8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6F65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DAECF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0CEBA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4,980.00</w:t>
            </w:r>
          </w:p>
        </w:tc>
      </w:tr>
      <w:tr w14:paraId="0FB3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E1D8D9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TY2022000005</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EE3BD1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BBD6F1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3B2E5E3">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981595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4,980.00</w:t>
            </w:r>
          </w:p>
        </w:tc>
      </w:tr>
      <w:tr w14:paraId="7A1E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B456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TY2022000003</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91D5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打印设备</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EA89D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其他打印机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0A5A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3D9F9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950.00</w:t>
            </w:r>
          </w:p>
        </w:tc>
      </w:tr>
      <w:tr w14:paraId="4DA3A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1F8527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TY2022000001</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BC0B6F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LED显示屏会议室条屏</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EC19D80">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LED显示屏</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976D98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706854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5,904.00</w:t>
            </w:r>
          </w:p>
        </w:tc>
      </w:tr>
      <w:tr w14:paraId="1555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2A9A1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TY2022000002</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AA134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音响电视组合机会议室系统</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25CDD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音响电视组合机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DF97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9C69F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7,300.00</w:t>
            </w:r>
          </w:p>
        </w:tc>
      </w:tr>
      <w:tr w14:paraId="36A9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0307B7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JJ2022000002</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E774990">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台、桌类</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9675A9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其他台、桌类</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86D079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5C585C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2,490.00</w:t>
            </w:r>
          </w:p>
        </w:tc>
      </w:tr>
      <w:tr w14:paraId="349DC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9B20F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JJ2022000003</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1E53B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台、桌类会议桌</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5DFF3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其他台、桌类</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768B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0F208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5,376.00</w:t>
            </w:r>
          </w:p>
        </w:tc>
      </w:tr>
      <w:tr w14:paraId="736C2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43633E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JJ2022000001</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9E5878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椅凳类会议椅</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4242A5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其他椅凳类</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DE52FB3">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2022-04-06</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C41B8E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4,845.00</w:t>
            </w:r>
          </w:p>
        </w:tc>
      </w:tr>
      <w:tr w14:paraId="7B9F5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7295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JJ2022000004</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23CB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保险柜</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927E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保密柜</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8D3E6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2022-05-19</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69C1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2,180.00</w:t>
            </w:r>
          </w:p>
        </w:tc>
      </w:tr>
      <w:tr w14:paraId="7489C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ED0038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JJ2022000005</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147ACD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阅读桌</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6CBD27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其他台、桌类</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C11610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2022-09-06</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6D2C16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580.00</w:t>
            </w:r>
          </w:p>
        </w:tc>
      </w:tr>
      <w:tr w14:paraId="66594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814BF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JJ2022000006</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F599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B156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文件柜</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95CE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2022-09-06</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882AE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2,160.00</w:t>
            </w:r>
          </w:p>
        </w:tc>
      </w:tr>
      <w:tr w14:paraId="2136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BDA3DA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TY2022000006</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6D1D83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2990DB9">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46F8A76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2022-12-31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96E3C3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4,980.00</w:t>
            </w:r>
          </w:p>
        </w:tc>
      </w:tr>
      <w:tr w14:paraId="72FB6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1A23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430406587020675223000001</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2B8E3">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AAF5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D2CDE2">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2023-03-01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198A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4,980.00</w:t>
            </w:r>
          </w:p>
        </w:tc>
      </w:tr>
      <w:tr w14:paraId="44F02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4132AD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430406587020675223000002</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D55145F">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6935DF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5C3E959E">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2023-03-01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C1008E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4,980.00</w:t>
            </w:r>
          </w:p>
        </w:tc>
      </w:tr>
      <w:tr w14:paraId="1B2AB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D7DC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430406587020675523000004</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3A29B">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0264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办公桌</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D0A85">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2023-03-01</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2CB3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2,490.00</w:t>
            </w:r>
          </w:p>
        </w:tc>
      </w:tr>
      <w:tr w14:paraId="0B94A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01161B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430406587020675523000003</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86AA17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9809E70">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办公椅</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2FE29956">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2023-03-01</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184217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1,420.00</w:t>
            </w:r>
          </w:p>
        </w:tc>
      </w:tr>
      <w:tr w14:paraId="1C2B9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6B3B9D">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430406587020675223000105</w:t>
            </w:r>
          </w:p>
        </w:tc>
        <w:tc>
          <w:tcPr>
            <w:tcW w:w="107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D4495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w:t>
            </w:r>
          </w:p>
        </w:tc>
        <w:tc>
          <w:tcPr>
            <w:tcW w:w="102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13E8">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DF294">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2023-12-25</w:t>
            </w:r>
          </w:p>
        </w:tc>
        <w:tc>
          <w:tcPr>
            <w:tcW w:w="7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8F9A27">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5,300.00</w:t>
            </w:r>
          </w:p>
        </w:tc>
      </w:tr>
      <w:tr w14:paraId="03312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BED9CCA">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430406587020675223000106</w:t>
            </w: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B5C97D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356C427C">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台式计算机</w:t>
            </w: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AA2F201">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2023-12-25</w:t>
            </w: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D00F9F0">
            <w:pPr>
              <w:keepNext w:val="0"/>
              <w:keepLines w:val="0"/>
              <w:widowControl/>
              <w:suppressLineNumbers w:val="0"/>
              <w:jc w:val="center"/>
              <w:textAlignment w:val="bottom"/>
              <w:outlineLvl w:val="9"/>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5,300.00</w:t>
            </w:r>
          </w:p>
        </w:tc>
      </w:tr>
      <w:tr w14:paraId="427AB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226"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4D81C6A">
            <w:pPr>
              <w:keepNext w:val="0"/>
              <w:keepLines w:val="0"/>
              <w:widowControl/>
              <w:suppressLineNumbers w:val="0"/>
              <w:jc w:val="center"/>
              <w:textAlignment w:val="bottom"/>
              <w:outlineLvl w:val="9"/>
              <w:rPr>
                <w:rFonts w:hint="eastAsia" w:ascii="宋体" w:hAnsi="宋体" w:eastAsia="宋体" w:cs="宋体"/>
                <w:i w:val="0"/>
                <w:iCs w:val="0"/>
                <w:color w:val="000000"/>
                <w:kern w:val="0"/>
                <w:sz w:val="22"/>
                <w:szCs w:val="22"/>
                <w:u w:val="none"/>
                <w:lang w:val="en-US" w:eastAsia="zh-CN" w:bidi="ar"/>
              </w:rPr>
            </w:pPr>
          </w:p>
        </w:tc>
        <w:tc>
          <w:tcPr>
            <w:tcW w:w="107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0AA5F963">
            <w:pPr>
              <w:keepNext w:val="0"/>
              <w:keepLines w:val="0"/>
              <w:widowControl/>
              <w:suppressLineNumbers w:val="0"/>
              <w:jc w:val="center"/>
              <w:textAlignment w:val="bottom"/>
              <w:outlineLvl w:val="9"/>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021"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12AFA5E3">
            <w:pPr>
              <w:keepNext w:val="0"/>
              <w:keepLines w:val="0"/>
              <w:widowControl/>
              <w:suppressLineNumbers w:val="0"/>
              <w:jc w:val="center"/>
              <w:textAlignment w:val="bottom"/>
              <w:outlineLvl w:val="9"/>
              <w:rPr>
                <w:rFonts w:hint="eastAsia" w:ascii="宋体" w:hAnsi="宋体" w:eastAsia="宋体" w:cs="宋体"/>
                <w:i w:val="0"/>
                <w:iCs w:val="0"/>
                <w:color w:val="000000"/>
                <w:kern w:val="0"/>
                <w:sz w:val="22"/>
                <w:szCs w:val="22"/>
                <w:u w:val="none"/>
                <w:lang w:val="en-US" w:eastAsia="zh-CN" w:bidi="ar"/>
              </w:rPr>
            </w:pPr>
          </w:p>
        </w:tc>
        <w:tc>
          <w:tcPr>
            <w:tcW w:w="889"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72B86A85">
            <w:pPr>
              <w:keepNext w:val="0"/>
              <w:keepLines w:val="0"/>
              <w:widowControl/>
              <w:suppressLineNumbers w:val="0"/>
              <w:jc w:val="center"/>
              <w:textAlignment w:val="bottom"/>
              <w:outlineLvl w:val="9"/>
              <w:rPr>
                <w:rFonts w:hint="eastAsia" w:ascii="宋体" w:hAnsi="宋体" w:eastAsia="宋体" w:cs="宋体"/>
                <w:i w:val="0"/>
                <w:iCs w:val="0"/>
                <w:color w:val="000000"/>
                <w:kern w:val="0"/>
                <w:sz w:val="22"/>
                <w:szCs w:val="22"/>
                <w:u w:val="none"/>
                <w:lang w:val="en-US" w:eastAsia="zh-CN" w:bidi="ar"/>
              </w:rPr>
            </w:pPr>
          </w:p>
        </w:tc>
        <w:tc>
          <w:tcPr>
            <w:tcW w:w="782" w:type="pct"/>
            <w:tcBorders>
              <w:top w:val="single" w:color="000000" w:sz="4" w:space="0"/>
              <w:left w:val="single" w:color="000000" w:sz="4" w:space="0"/>
              <w:bottom w:val="single" w:color="000000" w:sz="4" w:space="0"/>
              <w:right w:val="single" w:color="000000" w:sz="4" w:space="0"/>
            </w:tcBorders>
            <w:shd w:val="clear" w:color="DDEBF7" w:fill="DDEBF7"/>
            <w:noWrap/>
            <w:vAlign w:val="bottom"/>
          </w:tcPr>
          <w:p w14:paraId="686CAFF5">
            <w:pPr>
              <w:keepNext w:val="0"/>
              <w:keepLines w:val="0"/>
              <w:widowControl/>
              <w:suppressLineNumbers w:val="0"/>
              <w:jc w:val="center"/>
              <w:textAlignment w:val="bottom"/>
              <w:outlineLvl w:val="9"/>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236，046.00</w:t>
            </w:r>
          </w:p>
        </w:tc>
      </w:tr>
    </w:tbl>
    <w:p w14:paraId="578640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z w:val="32"/>
          <w:szCs w:val="32"/>
          <w:highlight w:val="none"/>
          <w:lang w:val="en-US" w:eastAsia="zh-CN"/>
        </w:rPr>
      </w:pPr>
      <w:bookmarkStart w:id="36" w:name="_Toc4414"/>
      <w:r>
        <w:rPr>
          <w:rFonts w:hint="eastAsia" w:ascii="楷体" w:hAnsi="楷体" w:eastAsia="楷体" w:cs="楷体"/>
          <w:b/>
          <w:bCs/>
          <w:sz w:val="32"/>
          <w:szCs w:val="32"/>
          <w:highlight w:val="none"/>
          <w:lang w:val="en-US" w:eastAsia="zh-CN"/>
        </w:rPr>
        <w:t>（八）厉行节约保障措施的执行情况及其政策效果</w:t>
      </w:r>
      <w:bookmarkEnd w:id="36"/>
    </w:p>
    <w:p w14:paraId="3D416D6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为深入贯彻落实党政机关厉行节约反对浪费的工作要求，区委统战部立足实际，通过强化思想引导、完善检查机制等举措，扎实推进厉行节约保障措施落地落实，取得了阶段性成效。现将相关情况总结如下：</w:t>
      </w:r>
    </w:p>
    <w:p w14:paraId="6A3718A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1、提高思想认识，筑牢节约理念根基。</w:t>
      </w:r>
      <w:r>
        <w:rPr>
          <w:rFonts w:hint="eastAsia" w:ascii="仿宋" w:hAnsi="仿宋" w:eastAsia="仿宋" w:cs="仿宋"/>
          <w:sz w:val="32"/>
          <w:szCs w:val="32"/>
          <w:lang w:val="en-US" w:eastAsia="zh-CN"/>
        </w:rPr>
        <w:t>组织全体干部职工专题学习《党政机关厉行节约反对浪费条例》，通过原文解读、案例剖析等方式，深入阐释厉行节约的重要意义和实践要求。结合工作实际强调“长期过紧日子”的必要性，引导干部职工从思想上摒弃铺张浪费观念，将节约意识融入日常工作，为厉行节约工作开展奠定坚实思想基础。</w:t>
      </w:r>
    </w:p>
    <w:p w14:paraId="2B9E290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2、聚焦重点领域，落实节约具体举措。（1）节约办公用品，降低办公成本。</w:t>
      </w:r>
      <w:r>
        <w:rPr>
          <w:rFonts w:hint="eastAsia" w:ascii="仿宋" w:hAnsi="仿宋" w:eastAsia="仿宋" w:cs="仿宋"/>
          <w:sz w:val="32"/>
          <w:szCs w:val="32"/>
          <w:lang w:val="en-US" w:eastAsia="zh-CN"/>
        </w:rPr>
        <w:t>推行无纸化办公，鼓励通过办公自动化系统、微信群等方式传递文件和信息，减少纸质文件打印数量；严格控制纸质文件打印规格，提倡双面打印，对非正式文件优先使用废纸打印；规范办公用品领用，建立领用登记台账，按需发放，杜绝“多领多用”“闲置浪费”现象；加强办公设备维护保养，延长设备使用寿命，减少设备更新频率。</w:t>
      </w:r>
      <w:r>
        <w:rPr>
          <w:rFonts w:hint="eastAsia" w:ascii="仿宋" w:hAnsi="仿宋" w:eastAsia="仿宋" w:cs="仿宋"/>
          <w:b/>
          <w:bCs/>
          <w:sz w:val="32"/>
          <w:szCs w:val="32"/>
          <w:lang w:val="en-US" w:eastAsia="zh-CN"/>
        </w:rPr>
        <w:t>（2）节约水电资源，践行绿色办公。</w:t>
      </w:r>
      <w:r>
        <w:rPr>
          <w:rFonts w:hint="eastAsia" w:ascii="仿宋" w:hAnsi="仿宋" w:eastAsia="仿宋" w:cs="仿宋"/>
          <w:sz w:val="32"/>
          <w:szCs w:val="32"/>
          <w:lang w:val="en-US" w:eastAsia="zh-CN"/>
        </w:rPr>
        <w:t>加强水电使用宣传教育，在办公室、卫生间等场所张贴节约水电提示标语，提醒干部职工养成随手关灯、关水的习惯；合理使用空调设备，严格控制空调温度，无人时及时关闭空调；定期检查水电设施设备，发现漏水、漏电等问题及时报修，减少资源浪费。</w:t>
      </w:r>
      <w:r>
        <w:rPr>
          <w:rFonts w:hint="eastAsia" w:ascii="仿宋" w:hAnsi="仿宋" w:eastAsia="仿宋" w:cs="仿宋"/>
          <w:b/>
          <w:bCs/>
          <w:sz w:val="32"/>
          <w:szCs w:val="32"/>
          <w:lang w:val="en-US" w:eastAsia="zh-CN"/>
        </w:rPr>
        <w:t>（3）规范公务接待，严控招待支出。</w:t>
      </w:r>
      <w:r>
        <w:rPr>
          <w:rFonts w:hint="eastAsia" w:ascii="仿宋" w:hAnsi="仿宋" w:eastAsia="仿宋" w:cs="仿宋"/>
          <w:sz w:val="32"/>
          <w:szCs w:val="32"/>
          <w:lang w:val="en-US" w:eastAsia="zh-CN"/>
        </w:rPr>
        <w:t>严格执行公务接待管理规定，强化项目支出中招待费的精细化管控。一方面，实行接待费用标准量化管理，根据来访人数和接待标准合理控制餐饮费用，按照接待对象中级别最高的标准核算，确保实际支出不超过核算额度，杜绝超标准接待。另一方面，严把公务接待审批关口，建立“先审批、后接待”机制，对无公函的公务活动一律不予接待，对有公函的接待严格履行办公室申请、分管领导审批、办公室备案流程，从源头控制不必要的接待支出，切实降低行政运行成本。</w:t>
      </w:r>
    </w:p>
    <w:p w14:paraId="52EDDAEE">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进行了民主生活会整改。</w:t>
      </w:r>
      <w:r>
        <w:rPr>
          <w:rFonts w:hint="eastAsia" w:ascii="仿宋" w:hAnsi="仿宋" w:eastAsia="仿宋" w:cs="仿宋"/>
          <w:sz w:val="32"/>
          <w:szCs w:val="32"/>
          <w:lang w:val="en-US" w:eastAsia="zh-CN"/>
        </w:rPr>
        <w:t>区委统战部常务副部长陈芳、胡宏斌就班子成员主题教育民主生活会问题进行了整改，针对整改类别，检视问题，整改措施、整改时限，出具了整改清单。</w:t>
      </w:r>
    </w:p>
    <w:p w14:paraId="144A19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eastAsia="zh-CN"/>
        </w:rPr>
      </w:pPr>
      <w:bookmarkStart w:id="37" w:name="_Toc5777"/>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部门</w:t>
      </w:r>
      <w:r>
        <w:rPr>
          <w:rFonts w:hint="eastAsia" w:ascii="黑体" w:hAnsi="黑体" w:eastAsia="黑体" w:cs="黑体"/>
          <w:sz w:val="32"/>
          <w:szCs w:val="32"/>
          <w:lang w:eastAsia="zh-CN"/>
        </w:rPr>
        <w:t>绩效目标</w:t>
      </w:r>
      <w:bookmarkEnd w:id="37"/>
    </w:p>
    <w:p w14:paraId="57658F9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eastAsia="zh-CN"/>
        </w:rPr>
      </w:pPr>
      <w:bookmarkStart w:id="38" w:name="_Toc25985"/>
      <w:r>
        <w:rPr>
          <w:rFonts w:hint="eastAsia" w:ascii="楷体" w:hAnsi="楷体" w:eastAsia="楷体" w:cs="楷体"/>
          <w:b/>
          <w:bCs/>
          <w:sz w:val="32"/>
          <w:szCs w:val="32"/>
          <w:lang w:eastAsia="zh-CN"/>
        </w:rPr>
        <w:t>（一）总体目标</w:t>
      </w:r>
      <w:bookmarkEnd w:id="38"/>
    </w:p>
    <w:p w14:paraId="7E32DDD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一是政治引领效能，</w:t>
      </w:r>
      <w:r>
        <w:rPr>
          <w:rFonts w:hint="eastAsia" w:ascii="仿宋" w:hAnsi="仿宋" w:eastAsia="仿宋" w:cs="仿宋"/>
          <w:sz w:val="32"/>
          <w:szCs w:val="32"/>
          <w:lang w:val="en-US" w:eastAsia="zh-CN"/>
        </w:rPr>
        <w:t>巩固统一战线成员对党的政治认同，推动党的方针政策在统战领域的贯彻落实，团结协作成效，扩大团结覆盖面（如新的社会阶层、民主党派、无党派人士等），促进各民族、宗教、港澳台同胞及海外侨胞的和谐关系，服务发展贡献，引导统战对象参与经济社会发展（如建言献策、招商引资、公益事业等）。二是</w:t>
      </w:r>
      <w:r>
        <w:rPr>
          <w:rFonts w:hint="eastAsia" w:ascii="仿宋" w:hAnsi="仿宋" w:eastAsia="仿宋" w:cs="仿宋"/>
          <w:b/>
          <w:bCs/>
          <w:sz w:val="32"/>
          <w:szCs w:val="32"/>
          <w:lang w:val="en-US" w:eastAsia="zh-CN"/>
        </w:rPr>
        <w:t>优化民营经济营商环境，推动非公经济健康发展。三是提高风险防范能力，及时化解统战领域意识形态和矛盾纠纷风险。</w:t>
      </w:r>
    </w:p>
    <w:p w14:paraId="0D281C1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39" w:name="_Toc25062"/>
      <w:r>
        <w:rPr>
          <w:rFonts w:hint="eastAsia" w:ascii="楷体" w:hAnsi="楷体" w:eastAsia="楷体" w:cs="楷体"/>
          <w:b/>
          <w:bCs/>
          <w:sz w:val="32"/>
          <w:szCs w:val="32"/>
          <w:lang w:val="en-US" w:eastAsia="zh-CN"/>
        </w:rPr>
        <w:t>（二）细化绩效指标</w:t>
      </w:r>
      <w:bookmarkEnd w:id="39"/>
    </w:p>
    <w:p w14:paraId="799F095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bookmarkStart w:id="40" w:name="_Toc6424"/>
      <w:bookmarkStart w:id="41" w:name="_Toc29770"/>
      <w:r>
        <w:rPr>
          <w:rFonts w:hint="eastAsia" w:ascii="仿宋" w:hAnsi="仿宋" w:eastAsia="仿宋" w:cs="仿宋"/>
          <w:b/>
          <w:bCs/>
          <w:sz w:val="32"/>
          <w:szCs w:val="32"/>
          <w:lang w:val="en-US" w:eastAsia="zh-CN"/>
        </w:rPr>
        <w:t>1.政治引领类。覆盖率：（</w:t>
      </w:r>
      <w:r>
        <w:rPr>
          <w:rFonts w:hint="eastAsia" w:ascii="仿宋" w:hAnsi="仿宋" w:eastAsia="仿宋" w:cs="仿宋"/>
          <w:b w:val="0"/>
          <w:bCs w:val="0"/>
          <w:sz w:val="32"/>
          <w:szCs w:val="32"/>
          <w:lang w:val="en-US" w:eastAsia="zh-CN"/>
        </w:rPr>
        <w:t>政策宣讲/培训参与率)年度培训场次≥12场，覆盖人数占统战对象总人数比例≥80%。</w:t>
      </w:r>
      <w:r>
        <w:rPr>
          <w:rFonts w:hint="eastAsia" w:ascii="仿宋" w:hAnsi="仿宋" w:eastAsia="仿宋" w:cs="仿宋"/>
          <w:b/>
          <w:bCs/>
          <w:sz w:val="32"/>
          <w:szCs w:val="32"/>
          <w:lang w:val="en-US" w:eastAsia="zh-CN"/>
        </w:rPr>
        <w:t>政策知晓率：</w:t>
      </w:r>
      <w:r>
        <w:rPr>
          <w:rFonts w:hint="eastAsia" w:ascii="仿宋" w:hAnsi="仿宋" w:eastAsia="仿宋" w:cs="仿宋"/>
          <w:b w:val="0"/>
          <w:bCs w:val="0"/>
          <w:sz w:val="32"/>
          <w:szCs w:val="32"/>
          <w:lang w:val="en-US" w:eastAsia="zh-CN"/>
        </w:rPr>
        <w:t>抽样调查平均得分≥85（满分100）。</w:t>
      </w:r>
      <w:r>
        <w:rPr>
          <w:rFonts w:hint="eastAsia" w:ascii="仿宋" w:hAnsi="仿宋" w:eastAsia="仿宋" w:cs="仿宋"/>
          <w:b/>
          <w:bCs/>
          <w:sz w:val="32"/>
          <w:szCs w:val="32"/>
          <w:lang w:val="en-US" w:eastAsia="zh-CN"/>
        </w:rPr>
        <w:t>成果输出：</w:t>
      </w:r>
      <w:r>
        <w:rPr>
          <w:rFonts w:hint="eastAsia" w:ascii="仿宋" w:hAnsi="仿宋" w:eastAsia="仿宋" w:cs="仿宋"/>
          <w:b w:val="0"/>
          <w:bCs w:val="0"/>
          <w:sz w:val="32"/>
          <w:szCs w:val="32"/>
          <w:lang w:val="en-US" w:eastAsia="zh-CN"/>
        </w:rPr>
        <w:t>建言献策提案数量，年度提案总数≥200件，其中民主党派/政协委员提案数 ≥150件。</w:t>
      </w:r>
      <w:r>
        <w:rPr>
          <w:rFonts w:hint="eastAsia" w:ascii="仿宋" w:hAnsi="仿宋" w:eastAsia="仿宋" w:cs="仿宋"/>
          <w:b/>
          <w:bCs/>
          <w:sz w:val="32"/>
          <w:szCs w:val="32"/>
          <w:lang w:val="en-US" w:eastAsia="zh-CN"/>
        </w:rPr>
        <w:t>统战宣传报道量：</w:t>
      </w:r>
      <w:r>
        <w:rPr>
          <w:rFonts w:hint="eastAsia" w:ascii="仿宋" w:hAnsi="仿宋" w:eastAsia="仿宋" w:cs="仿宋"/>
          <w:b w:val="0"/>
          <w:bCs w:val="0"/>
          <w:sz w:val="32"/>
          <w:szCs w:val="32"/>
          <w:lang w:val="en-US" w:eastAsia="zh-CN"/>
        </w:rPr>
        <w:t>主流媒体刊发篇数≥50篇，新媒体平台阅读量/转发量 ≥100万。</w:t>
      </w:r>
      <w:r>
        <w:rPr>
          <w:rFonts w:hint="eastAsia" w:ascii="仿宋" w:hAnsi="仿宋" w:eastAsia="仿宋" w:cs="仿宋"/>
          <w:b/>
          <w:bCs/>
          <w:sz w:val="32"/>
          <w:szCs w:val="32"/>
          <w:lang w:val="en-US" w:eastAsia="zh-CN"/>
        </w:rPr>
        <w:t>民族团结活动参与人次：</w:t>
      </w:r>
      <w:r>
        <w:rPr>
          <w:rFonts w:hint="eastAsia" w:ascii="仿宋" w:hAnsi="仿宋" w:eastAsia="仿宋" w:cs="仿宋"/>
          <w:b w:val="0"/>
          <w:bCs w:val="0"/>
          <w:sz w:val="32"/>
          <w:szCs w:val="32"/>
          <w:lang w:val="en-US" w:eastAsia="zh-CN"/>
        </w:rPr>
        <w:t>年度累计参与人次≥10,000人次。</w:t>
      </w:r>
      <w:r>
        <w:rPr>
          <w:rFonts w:hint="eastAsia" w:ascii="仿宋" w:hAnsi="仿宋" w:eastAsia="仿宋" w:cs="仿宋"/>
          <w:b/>
          <w:bCs/>
          <w:sz w:val="32"/>
          <w:szCs w:val="32"/>
          <w:lang w:val="en-US" w:eastAsia="zh-CN"/>
        </w:rPr>
        <w:t>民主党派提案采纳率：</w:t>
      </w:r>
      <w:r>
        <w:rPr>
          <w:rFonts w:hint="eastAsia" w:ascii="仿宋" w:hAnsi="仿宋" w:eastAsia="仿宋" w:cs="仿宋"/>
          <w:b w:val="0"/>
          <w:bCs w:val="0"/>
          <w:sz w:val="32"/>
          <w:szCs w:val="32"/>
          <w:lang w:val="en-US" w:eastAsia="zh-CN"/>
        </w:rPr>
        <w:t>被政府/政协采纳的提案比例≥30%。</w:t>
      </w:r>
    </w:p>
    <w:p w14:paraId="4116E522">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2.团结协作类。组织建设：</w:t>
      </w:r>
      <w:r>
        <w:rPr>
          <w:rFonts w:hint="eastAsia" w:ascii="仿宋" w:hAnsi="仿宋" w:eastAsia="仿宋" w:cs="仿宋"/>
          <w:b w:val="0"/>
          <w:bCs w:val="0"/>
          <w:sz w:val="32"/>
          <w:szCs w:val="32"/>
          <w:lang w:val="en-US" w:eastAsia="zh-CN"/>
        </w:rPr>
        <w:t>新建统战团体数量，年度新成立团体≥5个。</w:t>
      </w:r>
      <w:r>
        <w:rPr>
          <w:rFonts w:hint="eastAsia" w:ascii="仿宋" w:hAnsi="仿宋" w:eastAsia="仿宋" w:cs="仿宋"/>
          <w:b/>
          <w:bCs/>
          <w:sz w:val="32"/>
          <w:szCs w:val="32"/>
          <w:lang w:val="en-US" w:eastAsia="zh-CN"/>
        </w:rPr>
        <w:t>矛盾调解成功率：</w:t>
      </w:r>
      <w:r>
        <w:rPr>
          <w:rFonts w:hint="eastAsia" w:ascii="仿宋" w:hAnsi="仿宋" w:eastAsia="仿宋" w:cs="仿宋"/>
          <w:b w:val="0"/>
          <w:bCs w:val="0"/>
          <w:sz w:val="32"/>
          <w:szCs w:val="32"/>
          <w:lang w:val="en-US" w:eastAsia="zh-CN"/>
        </w:rPr>
        <w:t>少数民族、宗教团体矛盾调解成功率≥95%。</w:t>
      </w:r>
      <w:r>
        <w:rPr>
          <w:rFonts w:hint="eastAsia" w:ascii="仿宋" w:hAnsi="仿宋" w:eastAsia="仿宋" w:cs="仿宋"/>
          <w:b/>
          <w:bCs/>
          <w:sz w:val="32"/>
          <w:szCs w:val="32"/>
          <w:lang w:val="en-US" w:eastAsia="zh-CN"/>
        </w:rPr>
        <w:t>交流活动：</w:t>
      </w:r>
      <w:r>
        <w:rPr>
          <w:rFonts w:hint="eastAsia" w:ascii="仿宋" w:hAnsi="仿宋" w:eastAsia="仿宋" w:cs="仿宋"/>
          <w:b w:val="0"/>
          <w:bCs w:val="0"/>
          <w:sz w:val="32"/>
          <w:szCs w:val="32"/>
          <w:lang w:val="en-US" w:eastAsia="zh-CN"/>
        </w:rPr>
        <w:t>港澳台侨交流活动举办次数≥10次.</w:t>
      </w:r>
      <w:r>
        <w:rPr>
          <w:rFonts w:hint="eastAsia" w:ascii="仿宋" w:hAnsi="仿宋" w:eastAsia="仿宋" w:cs="仿宋"/>
          <w:b/>
          <w:bCs/>
          <w:sz w:val="32"/>
          <w:szCs w:val="32"/>
          <w:lang w:val="en-US" w:eastAsia="zh-CN"/>
        </w:rPr>
        <w:t>参与总人数：</w:t>
      </w:r>
      <w:r>
        <w:rPr>
          <w:rFonts w:hint="eastAsia" w:ascii="仿宋" w:hAnsi="仿宋" w:eastAsia="仿宋" w:cs="仿宋"/>
          <w:b w:val="0"/>
          <w:bCs w:val="0"/>
          <w:sz w:val="32"/>
          <w:szCs w:val="32"/>
          <w:lang w:val="en-US" w:eastAsia="zh-CN"/>
        </w:rPr>
        <w:t>≥1,000人。</w:t>
      </w:r>
      <w:r>
        <w:rPr>
          <w:rFonts w:hint="eastAsia" w:ascii="仿宋" w:hAnsi="仿宋" w:eastAsia="仿宋" w:cs="仿宋"/>
          <w:b/>
          <w:bCs/>
          <w:sz w:val="32"/>
          <w:szCs w:val="32"/>
          <w:lang w:val="en-US" w:eastAsia="zh-CN"/>
        </w:rPr>
        <w:t>落地公益项目数</w:t>
      </w:r>
      <w:r>
        <w:rPr>
          <w:rFonts w:hint="eastAsia" w:ascii="仿宋" w:hAnsi="仿宋" w:eastAsia="仿宋" w:cs="仿宋"/>
          <w:b w:val="0"/>
          <w:bCs w:val="0"/>
          <w:sz w:val="32"/>
          <w:szCs w:val="32"/>
          <w:lang w:val="en-US" w:eastAsia="zh-CN"/>
        </w:rPr>
        <w:t>≥50个。</w:t>
      </w:r>
      <w:r>
        <w:rPr>
          <w:rFonts w:hint="eastAsia" w:ascii="仿宋" w:hAnsi="仿宋" w:eastAsia="仿宋" w:cs="仿宋"/>
          <w:b/>
          <w:bCs/>
          <w:sz w:val="32"/>
          <w:szCs w:val="32"/>
          <w:lang w:val="en-US" w:eastAsia="zh-CN"/>
        </w:rPr>
        <w:t>港澳台侨项目覆盖率：</w:t>
      </w:r>
      <w:r>
        <w:rPr>
          <w:rFonts w:hint="eastAsia" w:ascii="仿宋" w:hAnsi="仿宋" w:eastAsia="仿宋" w:cs="仿宋"/>
          <w:b w:val="0"/>
          <w:bCs w:val="0"/>
          <w:sz w:val="32"/>
          <w:szCs w:val="32"/>
          <w:lang w:val="en-US" w:eastAsia="zh-CN"/>
        </w:rPr>
        <w:t>覆盖区域/单位比例≥90%。</w:t>
      </w:r>
    </w:p>
    <w:p w14:paraId="732B77B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3.服务发展类。经济贡献：</w:t>
      </w:r>
      <w:r>
        <w:rPr>
          <w:rFonts w:hint="eastAsia" w:ascii="仿宋" w:hAnsi="仿宋" w:eastAsia="仿宋" w:cs="仿宋"/>
          <w:b w:val="0"/>
          <w:bCs w:val="0"/>
          <w:sz w:val="32"/>
          <w:szCs w:val="32"/>
          <w:lang w:val="en-US" w:eastAsia="zh-CN"/>
        </w:rPr>
        <w:t>引进投资项目统战对象引进项目总投资额 ≥500万元，</w:t>
      </w:r>
      <w:r>
        <w:rPr>
          <w:rFonts w:hint="eastAsia" w:ascii="仿宋" w:hAnsi="仿宋" w:eastAsia="仿宋" w:cs="仿宋"/>
          <w:b/>
          <w:bCs/>
          <w:sz w:val="32"/>
          <w:szCs w:val="32"/>
          <w:lang w:val="en-US" w:eastAsia="zh-CN"/>
        </w:rPr>
        <w:t>项目数量</w:t>
      </w:r>
      <w:r>
        <w:rPr>
          <w:rFonts w:hint="eastAsia" w:ascii="仿宋" w:hAnsi="仿宋" w:eastAsia="仿宋" w:cs="仿宋"/>
          <w:b w:val="0"/>
          <w:bCs w:val="0"/>
          <w:sz w:val="32"/>
          <w:szCs w:val="32"/>
          <w:lang w:val="en-US" w:eastAsia="zh-CN"/>
        </w:rPr>
        <w:t>≥20个。</w:t>
      </w:r>
      <w:r>
        <w:rPr>
          <w:rFonts w:hint="eastAsia" w:ascii="仿宋" w:hAnsi="仿宋" w:eastAsia="仿宋" w:cs="仿宋"/>
          <w:b/>
          <w:bCs/>
          <w:sz w:val="32"/>
          <w:szCs w:val="32"/>
          <w:lang w:val="en-US" w:eastAsia="zh-CN"/>
        </w:rPr>
        <w:t>非公企业贡献：</w:t>
      </w:r>
      <w:r>
        <w:rPr>
          <w:rFonts w:hint="eastAsia" w:ascii="仿宋" w:hAnsi="仿宋" w:eastAsia="仿宋" w:cs="仿宋"/>
          <w:b w:val="0"/>
          <w:bCs w:val="0"/>
          <w:sz w:val="32"/>
          <w:szCs w:val="32"/>
          <w:lang w:val="en-US" w:eastAsia="zh-CN"/>
        </w:rPr>
        <w:t>非公企业新增就业岗位增长率≥5%。志愿服务人次≥5,000人次。</w:t>
      </w:r>
    </w:p>
    <w:p w14:paraId="3D7F851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4.风险防控类。舆情管理：</w:t>
      </w:r>
      <w:r>
        <w:rPr>
          <w:rFonts w:hint="eastAsia" w:ascii="仿宋" w:hAnsi="仿宋" w:eastAsia="仿宋" w:cs="仿宋"/>
          <w:b w:val="0"/>
          <w:bCs w:val="0"/>
          <w:sz w:val="32"/>
          <w:szCs w:val="32"/>
          <w:lang w:val="en-US" w:eastAsia="zh-CN"/>
        </w:rPr>
        <w:t>负面舆情处置率，及时处置率≥98%，平均响应时间≤2小时。</w:t>
      </w:r>
      <w:r>
        <w:rPr>
          <w:rFonts w:hint="eastAsia" w:ascii="仿宋" w:hAnsi="仿宋" w:eastAsia="仿宋" w:cs="仿宋"/>
          <w:b/>
          <w:bCs/>
          <w:sz w:val="32"/>
          <w:szCs w:val="32"/>
          <w:lang w:val="en-US" w:eastAsia="zh-CN"/>
        </w:rPr>
        <w:t>矛盾化解：</w:t>
      </w:r>
      <w:r>
        <w:rPr>
          <w:rFonts w:hint="eastAsia" w:ascii="仿宋" w:hAnsi="仿宋" w:eastAsia="仿宋" w:cs="仿宋"/>
          <w:b w:val="0"/>
          <w:bCs w:val="0"/>
          <w:sz w:val="32"/>
          <w:szCs w:val="32"/>
          <w:lang w:val="en-US" w:eastAsia="zh-CN"/>
        </w:rPr>
        <w:t>信访案件办结率，涉及统战对象的信访案件年度办结率≥95%。</w:t>
      </w:r>
    </w:p>
    <w:p w14:paraId="6BEAFE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5.创新工作类。创新平台/载体建设：</w:t>
      </w:r>
      <w:r>
        <w:rPr>
          <w:rFonts w:hint="eastAsia" w:ascii="仿宋" w:hAnsi="仿宋" w:eastAsia="仿宋" w:cs="仿宋"/>
          <w:b w:val="0"/>
          <w:bCs w:val="0"/>
          <w:sz w:val="32"/>
          <w:szCs w:val="32"/>
          <w:lang w:val="en-US" w:eastAsia="zh-CN"/>
        </w:rPr>
        <w:t>新建平台数量，年度新建数字化平台/创新联谊模式≥3个。</w:t>
      </w:r>
      <w:r>
        <w:rPr>
          <w:rFonts w:hint="eastAsia" w:ascii="仿宋" w:hAnsi="仿宋" w:eastAsia="仿宋" w:cs="仿宋"/>
          <w:b/>
          <w:bCs/>
          <w:sz w:val="32"/>
          <w:szCs w:val="32"/>
          <w:lang w:val="en-US" w:eastAsia="zh-CN"/>
        </w:rPr>
        <w:t>表彰与推广：</w:t>
      </w:r>
      <w:r>
        <w:rPr>
          <w:rFonts w:hint="eastAsia" w:ascii="仿宋" w:hAnsi="仿宋" w:eastAsia="仿宋" w:cs="仿宋"/>
          <w:b w:val="0"/>
          <w:bCs w:val="0"/>
          <w:sz w:val="32"/>
          <w:szCs w:val="32"/>
          <w:lang w:val="en-US" w:eastAsia="zh-CN"/>
        </w:rPr>
        <w:t>获得上级表彰或推广次数，年度获省级以上表彰≥2次，典型经验被推广≥5次。</w:t>
      </w:r>
    </w:p>
    <w:p w14:paraId="308B02B0">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both"/>
        <w:textAlignment w:val="auto"/>
        <w:outlineLvl w:val="0"/>
        <w:rPr>
          <w:rFonts w:hint="eastAsia" w:ascii="黑体" w:hAnsi="黑体" w:eastAsia="黑体" w:cs="黑体"/>
          <w:sz w:val="32"/>
          <w:szCs w:val="32"/>
          <w:highlight w:val="none"/>
          <w:lang w:eastAsia="zh-CN"/>
        </w:rPr>
      </w:pPr>
      <w:bookmarkStart w:id="42" w:name="_Toc24391"/>
      <w:r>
        <w:rPr>
          <w:rFonts w:hint="eastAsia" w:ascii="黑体" w:hAnsi="黑体" w:eastAsia="黑体" w:cs="黑体"/>
          <w:sz w:val="32"/>
          <w:szCs w:val="32"/>
          <w:highlight w:val="none"/>
          <w:lang w:val="en-US" w:eastAsia="zh-CN"/>
        </w:rPr>
        <w:t>五、部门</w:t>
      </w:r>
      <w:r>
        <w:rPr>
          <w:rFonts w:hint="eastAsia" w:ascii="黑体" w:hAnsi="黑体" w:eastAsia="黑体" w:cs="黑体"/>
          <w:sz w:val="32"/>
          <w:szCs w:val="32"/>
          <w:highlight w:val="none"/>
          <w:lang w:eastAsia="zh-CN"/>
        </w:rPr>
        <w:t>绩效考评情况</w:t>
      </w:r>
      <w:bookmarkEnd w:id="40"/>
      <w:bookmarkEnd w:id="41"/>
      <w:bookmarkEnd w:id="42"/>
    </w:p>
    <w:p w14:paraId="1FC593C9">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43" w:name="_Toc10865"/>
      <w:bookmarkStart w:id="44" w:name="_Toc17641"/>
      <w:bookmarkStart w:id="45" w:name="_Toc8508"/>
      <w:r>
        <w:rPr>
          <w:rFonts w:hint="eastAsia" w:ascii="楷体" w:hAnsi="楷体" w:eastAsia="楷体" w:cs="楷体"/>
          <w:b/>
          <w:bCs/>
          <w:sz w:val="32"/>
          <w:szCs w:val="32"/>
          <w:lang w:val="en-US" w:eastAsia="zh-CN"/>
        </w:rPr>
        <w:t>（一）评价框架</w:t>
      </w:r>
      <w:bookmarkEnd w:id="43"/>
      <w:bookmarkEnd w:id="44"/>
      <w:bookmarkEnd w:id="45"/>
    </w:p>
    <w:p w14:paraId="480FAAC5">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依据财政部《项目支出绩效评价管理办法》（财预〔2020〕10号），结合一般债券资金管理要求，</w:t>
      </w:r>
    </w:p>
    <w:p w14:paraId="1040E76E">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1.投入指标20分：目标设定、预算配置。</w:t>
      </w:r>
    </w:p>
    <w:p w14:paraId="4BAF2F52">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2.过程指标30分：预算执行、部门管理、资产管理。</w:t>
      </w:r>
    </w:p>
    <w:p w14:paraId="7EF6695F">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3.产出指标30分：职能工作完成率、重点工作办结率。</w:t>
      </w:r>
    </w:p>
    <w:p w14:paraId="0E6B866E">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pPr>
      <w:r>
        <w:rPr>
          <w:rFonts w:hint="eastAsia" w:ascii="仿宋" w:hAnsi="仿宋" w:eastAsia="仿宋" w:cs="仿宋"/>
          <w:b/>
          <w:bCs/>
          <w:i w:val="0"/>
          <w:iCs w:val="0"/>
          <w:caps w:val="0"/>
          <w:color w:val="000000"/>
          <w:spacing w:val="0"/>
          <w:sz w:val="32"/>
          <w:szCs w:val="32"/>
          <w:highlight w:val="none"/>
          <w:u w:val="none"/>
          <w:shd w:val="clear" w:fill="FFFFFF"/>
          <w:lang w:val="en-US" w:eastAsia="zh-CN"/>
        </w:rPr>
        <w:t>4.效益指标20分：社会效益、相关人员满意度。</w:t>
      </w:r>
    </w:p>
    <w:p w14:paraId="561A01A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bCs/>
          <w:i w:val="0"/>
          <w:iCs w:val="0"/>
          <w:caps w:val="0"/>
          <w:color w:val="000000"/>
          <w:spacing w:val="0"/>
          <w:sz w:val="32"/>
          <w:szCs w:val="32"/>
          <w:highlight w:val="none"/>
          <w:u w:val="none"/>
          <w:shd w:val="clear" w:fill="FFFFFF"/>
          <w:lang w:val="en-US" w:eastAsia="zh-CN"/>
        </w:rPr>
        <w:sectPr>
          <w:footerReference r:id="rId5"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32" w:charSpace="0"/>
        </w:sectPr>
      </w:pPr>
    </w:p>
    <w:p w14:paraId="46FE2DB3">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both"/>
        <w:textAlignment w:val="auto"/>
        <w:outlineLvl w:val="1"/>
        <w:rPr>
          <w:rFonts w:hint="default" w:ascii="楷体" w:hAnsi="楷体" w:eastAsia="楷体" w:cs="楷体"/>
          <w:b/>
          <w:bCs/>
          <w:sz w:val="32"/>
          <w:szCs w:val="32"/>
          <w:highlight w:val="none"/>
          <w:lang w:val="en-US" w:eastAsia="zh-CN"/>
        </w:rPr>
      </w:pPr>
      <w:bookmarkStart w:id="46" w:name="_Toc25462"/>
      <w:bookmarkStart w:id="47" w:name="_Toc7412"/>
      <w:bookmarkStart w:id="48" w:name="_Toc6756"/>
      <w:r>
        <w:rPr>
          <w:rFonts w:hint="eastAsia" w:ascii="楷体" w:hAnsi="楷体" w:eastAsia="楷体" w:cs="楷体"/>
          <w:b/>
          <w:bCs/>
          <w:sz w:val="32"/>
          <w:szCs w:val="32"/>
          <w:highlight w:val="none"/>
          <w:lang w:val="en-US" w:eastAsia="zh-CN"/>
        </w:rPr>
        <w:t>（二）评价分析</w:t>
      </w:r>
      <w:bookmarkEnd w:id="46"/>
      <w:bookmarkEnd w:id="47"/>
      <w:bookmarkEnd w:id="48"/>
    </w:p>
    <w:p w14:paraId="1F2B17C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643" w:firstLineChars="200"/>
        <w:jc w:val="both"/>
        <w:textAlignment w:val="auto"/>
        <w:rPr>
          <w:rFonts w:hint="eastAsia" w:ascii="仿宋" w:hAnsi="仿宋" w:eastAsia="仿宋" w:cs="仿宋"/>
          <w:b/>
          <w:bCs/>
          <w:i w:val="0"/>
          <w:iCs w:val="0"/>
          <w:caps w:val="0"/>
          <w:color w:val="000000"/>
          <w:spacing w:val="0"/>
          <w:sz w:val="32"/>
          <w:szCs w:val="32"/>
          <w:u w:val="none"/>
          <w:shd w:val="clear" w:fill="FFFFFF"/>
          <w:lang w:val="en-US" w:eastAsia="zh-CN"/>
        </w:rPr>
      </w:pPr>
      <w:r>
        <w:rPr>
          <w:rFonts w:hint="eastAsia" w:ascii="仿宋" w:hAnsi="仿宋" w:eastAsia="仿宋" w:cs="仿宋"/>
          <w:b/>
          <w:bCs/>
          <w:i w:val="0"/>
          <w:iCs w:val="0"/>
          <w:caps w:val="0"/>
          <w:color w:val="000000"/>
          <w:spacing w:val="0"/>
          <w:sz w:val="32"/>
          <w:szCs w:val="32"/>
          <w:u w:val="none"/>
          <w:shd w:val="clear" w:fill="FFFFFF"/>
          <w:lang w:val="en-US" w:eastAsia="zh-CN"/>
        </w:rPr>
        <w:t>1.总分100分，得分83分，扣分17分，详见后述绩效评价得分扣分表</w:t>
      </w: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2"/>
        <w:gridCol w:w="1185"/>
        <w:gridCol w:w="1710"/>
        <w:gridCol w:w="750"/>
        <w:gridCol w:w="735"/>
        <w:gridCol w:w="765"/>
        <w:gridCol w:w="2324"/>
        <w:gridCol w:w="5933"/>
      </w:tblGrid>
      <w:tr w14:paraId="73F2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blHeader/>
        </w:trPr>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2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2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D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4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4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8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扣分</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D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扣分说明</w:t>
            </w:r>
          </w:p>
        </w:tc>
        <w:tc>
          <w:tcPr>
            <w:tcW w:w="2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C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评价要点</w:t>
            </w:r>
          </w:p>
        </w:tc>
      </w:tr>
      <w:tr w14:paraId="7E430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B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投入（20分）</w:t>
            </w: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7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目标设定（10分）</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09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绩效目标合理性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5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C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61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4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编制预算时未按要求编制绩效目标</w:t>
            </w: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8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①是否符合国家法律法规、国民经济和社会发展总体规划；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②是否符合部门“三定”方案确定的职责；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③是否符合部门制定的发展实施规划和年度主要工作计划；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④所属部门（单位）编报预算时是否按要求编制绩效目标。</w:t>
            </w:r>
          </w:p>
        </w:tc>
      </w:tr>
      <w:tr w14:paraId="135DF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8DCB">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B2DD">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4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绩效指标明确性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C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5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FC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5A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未提供细化绩效指标</w:t>
            </w: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EC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①是否将部门整体的绩效目标细化分解为具体的工作任务；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②是否通过清晰、可衡量的指标值予以体现；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③是否将项目绩效目标与部门年度的任务数或计划数相对应：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④是否与本年度部门预算资金相匹配，是否对下属部门（单位）预算编报的绩</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效目标进行审核。</w:t>
            </w:r>
          </w:p>
        </w:tc>
      </w:tr>
      <w:tr w14:paraId="74C14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F20C">
            <w:pPr>
              <w:jc w:val="center"/>
              <w:rPr>
                <w:rFonts w:hint="eastAsia" w:ascii="宋体" w:hAnsi="宋体" w:eastAsia="宋体" w:cs="宋体"/>
                <w:i w:val="0"/>
                <w:iCs w:val="0"/>
                <w:color w:val="000000"/>
                <w:sz w:val="22"/>
                <w:szCs w:val="22"/>
                <w:u w:val="none"/>
              </w:rPr>
            </w:pP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3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预算编制与配置（10分）</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B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在职人员控制率</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83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55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3B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2AC1">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71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在职人员控制率=（在职人员数/编制数）×100%。聘用人员控制率</w:t>
            </w:r>
            <w:r>
              <w:rPr>
                <w:rFonts w:ascii="Arial" w:hAnsi="Arial" w:eastAsia="宋体" w:cs="Arial"/>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人社和编办共同批复的人数；在职人员数：部门（单位）实际在职人数，以财政部门确定的部门决算编制口径为准。编制数：机构编制部门核定批复的部门（单位）的人员编制数。</w:t>
            </w:r>
          </w:p>
        </w:tc>
      </w:tr>
      <w:tr w14:paraId="01BA7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35BC">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E7A5">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E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预算编制科学性与配置合理性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3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D4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36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F1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年初预算经过调整，未提供预算调整批复</w:t>
            </w: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530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预算编制科学性，预算与政策目标的匹配度与预算标准合理性。</w:t>
            </w:r>
          </w:p>
        </w:tc>
      </w:tr>
      <w:tr w14:paraId="6899A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6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过程（30分）</w:t>
            </w: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1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预算执行（10分）</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A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整体/基本支出执行率</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E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E5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D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33DFE">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存在基本支出挤占项目支出情况。</w:t>
            </w:r>
          </w:p>
        </w:tc>
        <w:tc>
          <w:tcPr>
            <w:tcW w:w="2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3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预算到位率（实际到位资金/预算安排资金），支出标准合理性（人员经费、公用经费等）</w:t>
            </w:r>
          </w:p>
        </w:tc>
      </w:tr>
      <w:tr w14:paraId="6B4CA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2361">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E979">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D6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结转结余率</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B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20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1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FF8B">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E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根据市政府文件规定，预算单位年度安排的市级预算资金不能结转</w:t>
            </w:r>
          </w:p>
        </w:tc>
      </w:tr>
      <w:tr w14:paraId="0F46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4D60">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1BD9">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0C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三公经费控制率</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F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0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04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D764E">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1A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①“三公”经费总控制率=（“三公”经费实际支出数/“三公”经费预算安排数）×100%，不超当年预算，不超上年决算；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②“三公”经费分科目控制率=（分科目调整数/预算数）×100%。</w:t>
            </w:r>
          </w:p>
        </w:tc>
      </w:tr>
      <w:tr w14:paraId="4384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8334">
            <w:pPr>
              <w:jc w:val="center"/>
              <w:rPr>
                <w:rFonts w:hint="eastAsia" w:ascii="宋体" w:hAnsi="宋体" w:eastAsia="宋体" w:cs="宋体"/>
                <w:i w:val="0"/>
                <w:iCs w:val="0"/>
                <w:color w:val="000000"/>
                <w:sz w:val="22"/>
                <w:szCs w:val="22"/>
                <w:u w:val="none"/>
              </w:rPr>
            </w:pPr>
          </w:p>
        </w:tc>
        <w:tc>
          <w:tcPr>
            <w:tcW w:w="41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1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部门管理（15分）</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0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管理制度健全性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4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DB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D9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D3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提供其他管理制度。如：预算管理制度，内部控制制度，政府采购管理制度，国有资产管理制度，合同管理制度，专项资金管理办法，绩效管理制度，信息化管理制度，决算与财务报告制度，监督与审计制度等。</w:t>
            </w: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E14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①部门（单位）内控制度、内部财务管理制度和会计核算制度是否健全；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②相关管理制度是否合法、合规、完整、有效；</w:t>
            </w:r>
          </w:p>
        </w:tc>
      </w:tr>
      <w:tr w14:paraId="49587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D587">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403D">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F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制度执行有效性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F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35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8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E8AB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shd w:val="clear"/>
                <w:lang w:val="en-US" w:eastAsia="zh-CN" w:bidi="ar"/>
              </w:rPr>
              <w:t>“三重一大”未进行会议决策；民主生活会进行整改。业务发生时间早于政府采购协议签订时间。</w:t>
            </w: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86F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①相关管理制度是否得到有效执行；</w:t>
            </w:r>
          </w:p>
          <w:p w14:paraId="36065DD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②是否存在整改情况；</w:t>
            </w:r>
          </w:p>
        </w:tc>
      </w:tr>
      <w:tr w14:paraId="66C3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95AA">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3373">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0B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预决算信息公开化</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4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B9B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B3F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D0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可以在衡阳雁峰区政府网搜索到2024预算公开信息</w:t>
            </w: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652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①无涉密情况的预算单位按规定及时、准确、完整地公开预决算和绩效管理信息；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②基础数据信息和会计信息资料真实、准确、完整；</w:t>
            </w:r>
          </w:p>
        </w:tc>
      </w:tr>
      <w:tr w14:paraId="1AEE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611C">
            <w:pPr>
              <w:jc w:val="center"/>
              <w:rPr>
                <w:rFonts w:hint="eastAsia" w:ascii="宋体" w:hAnsi="宋体" w:eastAsia="宋体" w:cs="宋体"/>
                <w:i w:val="0"/>
                <w:iCs w:val="0"/>
                <w:color w:val="000000"/>
                <w:sz w:val="22"/>
                <w:szCs w:val="22"/>
                <w:u w:val="none"/>
              </w:rPr>
            </w:pPr>
          </w:p>
        </w:tc>
        <w:tc>
          <w:tcPr>
            <w:tcW w:w="41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9159">
            <w:pPr>
              <w:jc w:val="left"/>
              <w:rPr>
                <w:rFonts w:hint="eastAsia" w:ascii="宋体" w:hAnsi="宋体" w:eastAsia="宋体" w:cs="宋体"/>
                <w:i w:val="0"/>
                <w:iCs w:val="0"/>
                <w:color w:val="000000"/>
                <w:sz w:val="22"/>
                <w:szCs w:val="22"/>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C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资金使用合规性与时效性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7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E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A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8F9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民主党报账凭证后附未提供预算金额的项目支出；曾退回2021-2023的三八过节物资款；支付民宗局、工商联工作经费缺缴纳社保医疗住房公积金缴费凭证；存在以拨代付情况；</w:t>
            </w:r>
          </w:p>
        </w:tc>
        <w:tc>
          <w:tcPr>
            <w:tcW w:w="2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B9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资金分配及时性（转移支付下达时效，资金保障有效性；是否接受检查，受过处罚或上缴财政资金情况</w:t>
            </w:r>
          </w:p>
        </w:tc>
      </w:tr>
      <w:tr w14:paraId="3DF9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76B1">
            <w:pPr>
              <w:jc w:val="center"/>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C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资产管理（5分）</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DA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资产管理有效性</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C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5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7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8420">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1C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①资产保存是否完整并有台账；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②资产配置是否合理，是否有闲置现象；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③资产处置是否规范；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④资产账务管理是否合规，是否账实相符；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⑤是否完成国有“三资”盘活工作，资产是否有偿使用或处置收入及时足额上缴；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⑥相关资产购置是否履行政府采购手续，外租资产是否走合规程序；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⑦资产是否定期进行盘点并有记录。</w:t>
            </w:r>
          </w:p>
        </w:tc>
      </w:tr>
      <w:tr w14:paraId="1B2E7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72" w:type="pct"/>
            <w:vMerge w:val="restart"/>
            <w:tcBorders>
              <w:top w:val="single" w:color="000000" w:sz="4" w:space="0"/>
              <w:left w:val="single" w:color="000000" w:sz="4" w:space="0"/>
              <w:bottom w:val="nil"/>
              <w:right w:val="single" w:color="000000" w:sz="4" w:space="0"/>
            </w:tcBorders>
            <w:shd w:val="clear" w:color="auto" w:fill="auto"/>
            <w:noWrap/>
            <w:vAlign w:val="center"/>
          </w:tcPr>
          <w:p w14:paraId="505FB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产出（20分）</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3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职能工作完成率（10分）</w:t>
            </w:r>
          </w:p>
        </w:tc>
        <w:tc>
          <w:tcPr>
            <w:tcW w:w="603" w:type="pct"/>
            <w:tcBorders>
              <w:top w:val="single" w:color="000000" w:sz="4" w:space="0"/>
              <w:left w:val="single" w:color="000000" w:sz="4" w:space="0"/>
              <w:bottom w:val="single" w:color="auto" w:sz="4" w:space="0"/>
              <w:right w:val="single" w:color="000000" w:sz="4" w:space="0"/>
            </w:tcBorders>
            <w:shd w:val="clear" w:color="auto" w:fill="auto"/>
            <w:vAlign w:val="center"/>
          </w:tcPr>
          <w:p w14:paraId="1DBB0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①统战成员对党的政策知晓率。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②统战对象提交建言献策提案数量。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③主流媒体统战宣传报道篇数。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④新成立的统战团体/联谊会数量。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⑤创新性统战平台/载体建设。</w:t>
            </w:r>
          </w:p>
        </w:tc>
        <w:tc>
          <w:tcPr>
            <w:tcW w:w="26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4D2D1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59" w:type="pct"/>
            <w:tcBorders>
              <w:top w:val="single" w:color="000000" w:sz="4" w:space="0"/>
              <w:left w:val="single" w:color="000000" w:sz="4" w:space="0"/>
              <w:bottom w:val="single" w:color="auto" w:sz="4" w:space="0"/>
              <w:right w:val="single" w:color="000000" w:sz="4" w:space="0"/>
            </w:tcBorders>
            <w:shd w:val="clear" w:color="auto" w:fill="auto"/>
            <w:vAlign w:val="center"/>
          </w:tcPr>
          <w:p w14:paraId="4E2E6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9" w:type="pct"/>
            <w:tcBorders>
              <w:top w:val="single" w:color="000000" w:sz="4" w:space="0"/>
              <w:left w:val="single" w:color="000000" w:sz="4" w:space="0"/>
              <w:bottom w:val="single" w:color="auto" w:sz="4" w:space="0"/>
              <w:right w:val="single" w:color="000000" w:sz="4" w:space="0"/>
            </w:tcBorders>
            <w:shd w:val="clear" w:color="auto" w:fill="auto"/>
            <w:vAlign w:val="center"/>
          </w:tcPr>
          <w:p w14:paraId="36E48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000000" w:sz="4" w:space="0"/>
              <w:left w:val="single" w:color="000000" w:sz="4" w:space="0"/>
              <w:bottom w:val="single" w:color="auto" w:sz="4" w:space="0"/>
              <w:right w:val="single" w:color="000000" w:sz="4" w:space="0"/>
            </w:tcBorders>
            <w:shd w:val="clear" w:color="auto" w:fill="auto"/>
            <w:vAlign w:val="center"/>
          </w:tcPr>
          <w:p w14:paraId="0C7DDC9B">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auto" w:sz="4" w:space="0"/>
              <w:right w:val="single" w:color="000000" w:sz="4" w:space="0"/>
            </w:tcBorders>
            <w:shd w:val="clear" w:color="auto" w:fill="auto"/>
            <w:vAlign w:val="center"/>
          </w:tcPr>
          <w:p w14:paraId="7999D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①统战成员对党的政策知晓率≥95%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②统战对象提交建言献策提案数量。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③主流媒体统战宣传报道篇数。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④新成立的统战团体/联谊会数量。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⑤创新性统战平台/载体建设。</w:t>
            </w:r>
          </w:p>
        </w:tc>
      </w:tr>
      <w:tr w14:paraId="5621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72"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44124BE">
            <w:pPr>
              <w:jc w:val="center"/>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D4AC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重点工作办结率（10分）</w:t>
            </w:r>
          </w:p>
        </w:tc>
        <w:tc>
          <w:tcPr>
            <w:tcW w:w="603" w:type="pct"/>
            <w:tcBorders>
              <w:top w:val="single" w:color="auto" w:sz="4" w:space="0"/>
              <w:left w:val="single" w:color="auto" w:sz="4" w:space="0"/>
              <w:bottom w:val="single" w:color="auto" w:sz="4" w:space="0"/>
              <w:right w:val="single" w:color="auto" w:sz="4" w:space="0"/>
            </w:tcBorders>
            <w:shd w:val="clear" w:color="auto" w:fill="auto"/>
            <w:vAlign w:val="center"/>
          </w:tcPr>
          <w:p w14:paraId="584924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①少数民族、宗教团体矛盾调解成功率。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②港澳台侨交流活动举办次数及参与人数。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③涉及统战对象的信访案件办结率。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④统战领域负面舆情及时处置率。</w:t>
            </w:r>
          </w:p>
        </w:tc>
        <w:tc>
          <w:tcPr>
            <w:tcW w:w="26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E2A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59" w:type="pct"/>
            <w:tcBorders>
              <w:top w:val="single" w:color="auto" w:sz="4" w:space="0"/>
              <w:left w:val="single" w:color="auto" w:sz="4" w:space="0"/>
              <w:bottom w:val="single" w:color="auto" w:sz="4" w:space="0"/>
              <w:right w:val="single" w:color="auto" w:sz="4" w:space="0"/>
            </w:tcBorders>
            <w:shd w:val="clear" w:color="auto" w:fill="auto"/>
            <w:vAlign w:val="center"/>
          </w:tcPr>
          <w:p w14:paraId="50F6B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69" w:type="pct"/>
            <w:tcBorders>
              <w:top w:val="single" w:color="auto" w:sz="4" w:space="0"/>
              <w:left w:val="single" w:color="auto" w:sz="4" w:space="0"/>
              <w:bottom w:val="single" w:color="auto" w:sz="4" w:space="0"/>
              <w:right w:val="single" w:color="auto" w:sz="4" w:space="0"/>
            </w:tcBorders>
            <w:shd w:val="clear" w:color="auto" w:fill="auto"/>
            <w:vAlign w:val="center"/>
          </w:tcPr>
          <w:p w14:paraId="403BD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auto" w:sz="4" w:space="0"/>
              <w:left w:val="single" w:color="auto" w:sz="4" w:space="0"/>
              <w:bottom w:val="single" w:color="auto" w:sz="4" w:space="0"/>
              <w:right w:val="single" w:color="auto" w:sz="4" w:space="0"/>
            </w:tcBorders>
            <w:shd w:val="clear" w:color="auto" w:fill="auto"/>
            <w:vAlign w:val="center"/>
          </w:tcPr>
          <w:p w14:paraId="363B9320">
            <w:pPr>
              <w:jc w:val="center"/>
              <w:rPr>
                <w:rFonts w:hint="eastAsia" w:ascii="宋体" w:hAnsi="宋体" w:eastAsia="宋体" w:cs="宋体"/>
                <w:i w:val="0"/>
                <w:iCs w:val="0"/>
                <w:color w:val="000000"/>
                <w:sz w:val="22"/>
                <w:szCs w:val="22"/>
                <w:u w:val="none"/>
              </w:rPr>
            </w:pPr>
          </w:p>
        </w:tc>
        <w:tc>
          <w:tcPr>
            <w:tcW w:w="2092" w:type="pct"/>
            <w:tcBorders>
              <w:top w:val="single" w:color="auto" w:sz="4" w:space="0"/>
              <w:left w:val="single" w:color="auto" w:sz="4" w:space="0"/>
              <w:bottom w:val="single" w:color="auto" w:sz="4" w:space="0"/>
              <w:right w:val="single" w:color="auto" w:sz="4" w:space="0"/>
            </w:tcBorders>
            <w:shd w:val="clear" w:color="auto" w:fill="auto"/>
            <w:vAlign w:val="center"/>
          </w:tcPr>
          <w:p w14:paraId="68EC8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①少数民族、宗教团体矛盾调解成功率≥95%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②港澳台侨交流活动举办次数≥10次，及参与人数50人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③涉及统战对象的信访案件办结率≥98%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④统战领域负面舆情及时处置率≥98%</w:t>
            </w:r>
          </w:p>
        </w:tc>
      </w:tr>
      <w:tr w14:paraId="449ED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B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效益（30分）</w:t>
            </w:r>
          </w:p>
        </w:tc>
        <w:tc>
          <w:tcPr>
            <w:tcW w:w="418" w:type="pct"/>
            <w:tcBorders>
              <w:top w:val="single" w:color="000000" w:sz="4" w:space="0"/>
              <w:left w:val="single" w:color="000000" w:sz="4" w:space="0"/>
              <w:bottom w:val="nil"/>
              <w:right w:val="single" w:color="000000" w:sz="4" w:space="0"/>
            </w:tcBorders>
            <w:shd w:val="clear" w:color="auto" w:fill="auto"/>
            <w:vAlign w:val="center"/>
          </w:tcPr>
          <w:p w14:paraId="23E16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社会效益（15分）</w:t>
            </w:r>
          </w:p>
        </w:tc>
        <w:tc>
          <w:tcPr>
            <w:tcW w:w="603" w:type="pct"/>
            <w:tcBorders>
              <w:top w:val="single" w:color="auto" w:sz="4" w:space="0"/>
              <w:left w:val="single" w:color="000000" w:sz="4" w:space="0"/>
              <w:bottom w:val="nil"/>
              <w:right w:val="single" w:color="000000" w:sz="4" w:space="0"/>
            </w:tcBorders>
            <w:shd w:val="clear" w:color="auto" w:fill="auto"/>
            <w:vAlign w:val="center"/>
          </w:tcPr>
          <w:p w14:paraId="390B4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①群众积极参加统活动，参与到文旅兴城活动次数。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②统战对象引进投资项目金额或者数量。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③非公企业就业岗位增长率。④统战成员参与社会公益捐赠金额/志愿服务人次。</w:t>
            </w:r>
          </w:p>
        </w:tc>
        <w:tc>
          <w:tcPr>
            <w:tcW w:w="264" w:type="pct"/>
            <w:tcBorders>
              <w:top w:val="single" w:color="auto" w:sz="4" w:space="0"/>
              <w:left w:val="single" w:color="000000" w:sz="4" w:space="0"/>
              <w:bottom w:val="nil"/>
              <w:right w:val="nil"/>
            </w:tcBorders>
            <w:shd w:val="clear" w:color="auto" w:fill="auto"/>
            <w:vAlign w:val="center"/>
          </w:tcPr>
          <w:p w14:paraId="0D3D7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59" w:type="pct"/>
            <w:tcBorders>
              <w:top w:val="single" w:color="auto" w:sz="4" w:space="0"/>
              <w:left w:val="single" w:color="000000" w:sz="4" w:space="0"/>
              <w:bottom w:val="nil"/>
              <w:right w:val="nil"/>
            </w:tcBorders>
            <w:shd w:val="clear" w:color="auto" w:fill="auto"/>
            <w:vAlign w:val="center"/>
          </w:tcPr>
          <w:p w14:paraId="791412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12</w:t>
            </w:r>
          </w:p>
        </w:tc>
        <w:tc>
          <w:tcPr>
            <w:tcW w:w="269" w:type="pct"/>
            <w:tcBorders>
              <w:top w:val="single" w:color="auto" w:sz="4" w:space="0"/>
              <w:left w:val="single" w:color="000000" w:sz="4" w:space="0"/>
              <w:bottom w:val="nil"/>
              <w:right w:val="nil"/>
            </w:tcBorders>
            <w:shd w:val="clear" w:color="auto" w:fill="auto"/>
            <w:vAlign w:val="center"/>
          </w:tcPr>
          <w:p w14:paraId="1C0367D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819" w:type="pct"/>
            <w:tcBorders>
              <w:top w:val="single" w:color="auto" w:sz="4" w:space="0"/>
              <w:left w:val="single" w:color="000000" w:sz="4" w:space="0"/>
              <w:bottom w:val="nil"/>
              <w:right w:val="nil"/>
            </w:tcBorders>
            <w:shd w:val="clear" w:color="auto" w:fill="auto"/>
            <w:vAlign w:val="center"/>
          </w:tcPr>
          <w:p w14:paraId="09A7E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未引入投资项目</w:t>
            </w:r>
          </w:p>
        </w:tc>
        <w:tc>
          <w:tcPr>
            <w:tcW w:w="2092" w:type="pct"/>
            <w:tcBorders>
              <w:top w:val="single" w:color="auto" w:sz="4" w:space="0"/>
              <w:left w:val="single" w:color="000000" w:sz="4" w:space="0"/>
              <w:bottom w:val="nil"/>
              <w:right w:val="single" w:color="000000" w:sz="4" w:space="0"/>
            </w:tcBorders>
            <w:shd w:val="clear" w:color="auto" w:fill="auto"/>
            <w:vAlign w:val="center"/>
          </w:tcPr>
          <w:p w14:paraId="6853BB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①群众积极参加统活动，参与到文旅兴城活动次数。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②统战对象引进投资项目金额或者数量。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③非公企业就业岗位增长率≥5%④统战成员参与社会公益捐赠金额/志愿服务人次。</w:t>
            </w:r>
          </w:p>
        </w:tc>
      </w:tr>
      <w:tr w14:paraId="02D43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1E2B">
            <w:pPr>
              <w:jc w:val="center"/>
              <w:rPr>
                <w:rFonts w:hint="eastAsia" w:ascii="宋体" w:hAnsi="宋体" w:eastAsia="宋体" w:cs="宋体"/>
                <w:i w:val="0"/>
                <w:iCs w:val="0"/>
                <w:color w:val="000000"/>
                <w:sz w:val="22"/>
                <w:szCs w:val="22"/>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A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相关人员满意度（15分）</w:t>
            </w: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0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①获得上级部门表彰或典型经验推广次数。</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D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0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CE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AF583">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259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①获得上级部门表彰或典型经验推广次数。</w:t>
            </w:r>
          </w:p>
        </w:tc>
      </w:tr>
      <w:tr w14:paraId="3DA93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29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B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9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D9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D3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8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F825">
            <w:pPr>
              <w:jc w:val="center"/>
              <w:rPr>
                <w:rFonts w:hint="eastAsia" w:ascii="宋体" w:hAnsi="宋体" w:eastAsia="宋体" w:cs="宋体"/>
                <w:i w:val="0"/>
                <w:iCs w:val="0"/>
                <w:color w:val="000000"/>
                <w:sz w:val="22"/>
                <w:szCs w:val="22"/>
                <w:u w:val="none"/>
              </w:rPr>
            </w:pPr>
          </w:p>
        </w:tc>
        <w:tc>
          <w:tcPr>
            <w:tcW w:w="20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EECE">
            <w:pPr>
              <w:rPr>
                <w:rFonts w:hint="eastAsia" w:ascii="宋体" w:hAnsi="宋体" w:eastAsia="宋体" w:cs="宋体"/>
                <w:i w:val="0"/>
                <w:iCs w:val="0"/>
                <w:color w:val="000000"/>
                <w:sz w:val="22"/>
                <w:szCs w:val="22"/>
                <w:u w:val="none"/>
              </w:rPr>
            </w:pPr>
          </w:p>
        </w:tc>
      </w:tr>
    </w:tbl>
    <w:p w14:paraId="53259870">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jc w:val="left"/>
        <w:rPr>
          <w:rFonts w:hint="eastAsia" w:ascii="仿宋" w:hAnsi="仿宋" w:eastAsia="仿宋" w:cs="仿宋"/>
          <w:b w:val="0"/>
          <w:bCs w:val="0"/>
          <w:i w:val="0"/>
          <w:iCs w:val="0"/>
          <w:caps w:val="0"/>
          <w:color w:val="000000"/>
          <w:spacing w:val="0"/>
          <w:sz w:val="32"/>
          <w:szCs w:val="32"/>
          <w:u w:val="none"/>
          <w:shd w:val="clear" w:fill="FFFFFF"/>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0" w:num="1"/>
          <w:rtlGutter w:val="0"/>
          <w:docGrid w:type="lines" w:linePitch="332" w:charSpace="0"/>
        </w:sectPr>
      </w:pPr>
    </w:p>
    <w:p w14:paraId="49EEA4F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1"/>
        <w:rPr>
          <w:rFonts w:hint="eastAsia" w:ascii="楷体" w:hAnsi="楷体" w:eastAsia="楷体" w:cs="楷体"/>
          <w:b/>
          <w:bCs/>
          <w:sz w:val="32"/>
          <w:szCs w:val="32"/>
          <w:lang w:val="en-US" w:eastAsia="zh-CN"/>
        </w:rPr>
      </w:pPr>
      <w:bookmarkStart w:id="49" w:name="_Toc26985"/>
      <w:bookmarkStart w:id="50" w:name="_Toc31438"/>
      <w:bookmarkStart w:id="51" w:name="_Toc26554"/>
      <w:r>
        <w:rPr>
          <w:rFonts w:hint="eastAsia" w:ascii="楷体" w:hAnsi="楷体" w:eastAsia="楷体" w:cs="楷体"/>
          <w:b/>
          <w:bCs/>
          <w:sz w:val="32"/>
          <w:szCs w:val="32"/>
          <w:lang w:val="en-US" w:eastAsia="zh-CN"/>
        </w:rPr>
        <w:t>（三）评价结果</w:t>
      </w:r>
      <w:bookmarkEnd w:id="49"/>
      <w:bookmarkEnd w:id="50"/>
      <w:bookmarkEnd w:id="51"/>
    </w:p>
    <w:p w14:paraId="59C16C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1.绩效评价结果定级</w:t>
      </w:r>
    </w:p>
    <w:p w14:paraId="27D5FB03">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i w:val="0"/>
          <w:iCs w:val="0"/>
          <w:caps w:val="0"/>
          <w:color w:val="000000"/>
          <w:spacing w:val="0"/>
          <w:sz w:val="32"/>
          <w:szCs w:val="32"/>
          <w:u w:val="none"/>
          <w:shd w:val="clear" w:fill="FFFFFF"/>
        </w:rPr>
        <w:t>本次绩效评价结果采用综合评分定级的方法，根据项目收集相关资料、项目访谈以及相关的规定与标准，总分值为100分，评价等级分优</w:t>
      </w:r>
      <w:r>
        <w:rPr>
          <w:rFonts w:hint="eastAsia" w:ascii="仿宋" w:hAnsi="仿宋" w:eastAsia="仿宋" w:cs="仿宋"/>
          <w:i w:val="0"/>
          <w:iCs w:val="0"/>
          <w:caps w:val="0"/>
          <w:color w:val="000000"/>
          <w:spacing w:val="0"/>
          <w:sz w:val="32"/>
          <w:szCs w:val="32"/>
          <w:u w:val="none"/>
          <w:shd w:val="clear" w:fill="FFFFFF"/>
          <w:lang w:val="en-US" w:eastAsia="zh-CN"/>
        </w:rPr>
        <w:t>秀</w:t>
      </w:r>
      <w:r>
        <w:rPr>
          <w:rFonts w:hint="eastAsia" w:ascii="仿宋" w:hAnsi="仿宋" w:eastAsia="仿宋" w:cs="仿宋"/>
          <w:i w:val="0"/>
          <w:iCs w:val="0"/>
          <w:caps w:val="0"/>
          <w:color w:val="000000"/>
          <w:spacing w:val="0"/>
          <w:sz w:val="32"/>
          <w:szCs w:val="32"/>
          <w:u w:val="none"/>
          <w:shd w:val="clear" w:fill="FFFFFF"/>
        </w:rPr>
        <w:t>、良</w:t>
      </w:r>
      <w:r>
        <w:rPr>
          <w:rFonts w:hint="eastAsia" w:ascii="仿宋" w:hAnsi="仿宋" w:eastAsia="仿宋" w:cs="仿宋"/>
          <w:i w:val="0"/>
          <w:iCs w:val="0"/>
          <w:caps w:val="0"/>
          <w:color w:val="000000"/>
          <w:spacing w:val="0"/>
          <w:sz w:val="32"/>
          <w:szCs w:val="32"/>
          <w:u w:val="none"/>
          <w:shd w:val="clear" w:fill="FFFFFF"/>
          <w:lang w:val="en-US" w:eastAsia="zh-CN"/>
        </w:rPr>
        <w:t>好</w:t>
      </w:r>
      <w:r>
        <w:rPr>
          <w:rFonts w:hint="eastAsia" w:ascii="仿宋" w:hAnsi="仿宋" w:eastAsia="仿宋" w:cs="仿宋"/>
          <w:i w:val="0"/>
          <w:iCs w:val="0"/>
          <w:caps w:val="0"/>
          <w:color w:val="000000"/>
          <w:spacing w:val="0"/>
          <w:sz w:val="32"/>
          <w:szCs w:val="32"/>
          <w:u w:val="none"/>
          <w:shd w:val="clear" w:fill="FFFFFF"/>
        </w:rPr>
        <w:t>、</w:t>
      </w:r>
      <w:r>
        <w:rPr>
          <w:rFonts w:hint="eastAsia" w:ascii="仿宋" w:hAnsi="仿宋" w:eastAsia="仿宋" w:cs="仿宋"/>
          <w:i w:val="0"/>
          <w:iCs w:val="0"/>
          <w:caps w:val="0"/>
          <w:color w:val="000000"/>
          <w:spacing w:val="0"/>
          <w:sz w:val="32"/>
          <w:szCs w:val="32"/>
          <w:u w:val="none"/>
          <w:shd w:val="clear" w:fill="FFFFFF"/>
          <w:lang w:val="en-US" w:eastAsia="zh-CN"/>
        </w:rPr>
        <w:t>中等</w:t>
      </w:r>
      <w:r>
        <w:rPr>
          <w:rFonts w:hint="eastAsia" w:ascii="仿宋" w:hAnsi="仿宋" w:eastAsia="仿宋" w:cs="仿宋"/>
          <w:i w:val="0"/>
          <w:iCs w:val="0"/>
          <w:caps w:val="0"/>
          <w:color w:val="000000"/>
          <w:spacing w:val="0"/>
          <w:sz w:val="32"/>
          <w:szCs w:val="32"/>
          <w:u w:val="none"/>
          <w:shd w:val="clear" w:fill="FFFFFF"/>
        </w:rPr>
        <w:t>、</w:t>
      </w:r>
      <w:r>
        <w:rPr>
          <w:rFonts w:hint="eastAsia" w:ascii="仿宋" w:hAnsi="仿宋" w:eastAsia="仿宋" w:cs="仿宋"/>
          <w:i w:val="0"/>
          <w:iCs w:val="0"/>
          <w:caps w:val="0"/>
          <w:color w:val="000000"/>
          <w:spacing w:val="0"/>
          <w:sz w:val="32"/>
          <w:szCs w:val="32"/>
          <w:u w:val="none"/>
          <w:shd w:val="clear" w:fill="FFFFFF"/>
          <w:lang w:val="en-US" w:eastAsia="zh-CN"/>
        </w:rPr>
        <w:t>较</w:t>
      </w:r>
      <w:r>
        <w:rPr>
          <w:rFonts w:hint="eastAsia" w:ascii="仿宋" w:hAnsi="仿宋" w:eastAsia="仿宋" w:cs="仿宋"/>
          <w:i w:val="0"/>
          <w:iCs w:val="0"/>
          <w:caps w:val="0"/>
          <w:color w:val="000000"/>
          <w:spacing w:val="0"/>
          <w:sz w:val="32"/>
          <w:szCs w:val="32"/>
          <w:u w:val="none"/>
          <w:shd w:val="clear" w:fill="FFFFFF"/>
          <w:lang w:eastAsia="zh-CN"/>
        </w:rPr>
        <w:t>差</w:t>
      </w:r>
      <w:r>
        <w:rPr>
          <w:rFonts w:hint="eastAsia" w:ascii="仿宋" w:hAnsi="仿宋" w:eastAsia="仿宋" w:cs="仿宋"/>
          <w:i w:val="0"/>
          <w:iCs w:val="0"/>
          <w:caps w:val="0"/>
          <w:color w:val="000000"/>
          <w:spacing w:val="0"/>
          <w:sz w:val="32"/>
          <w:szCs w:val="32"/>
          <w:u w:val="none"/>
          <w:shd w:val="clear" w:fill="FFFFFF"/>
        </w:rPr>
        <w:t>四档。评价得分高于</w:t>
      </w:r>
      <w:r>
        <w:rPr>
          <w:rFonts w:hint="eastAsia" w:ascii="仿宋" w:hAnsi="仿宋" w:eastAsia="仿宋" w:cs="仿宋"/>
          <w:i w:val="0"/>
          <w:iCs w:val="0"/>
          <w:caps w:val="0"/>
          <w:color w:val="000000"/>
          <w:spacing w:val="0"/>
          <w:sz w:val="32"/>
          <w:szCs w:val="32"/>
          <w:u w:val="none"/>
          <w:shd w:val="clear" w:fill="FFFFFF"/>
          <w:lang w:val="en-US" w:eastAsia="zh-CN"/>
        </w:rPr>
        <w:t>或等于</w:t>
      </w:r>
      <w:r>
        <w:rPr>
          <w:rFonts w:hint="eastAsia" w:ascii="仿宋" w:hAnsi="仿宋" w:eastAsia="仿宋" w:cs="仿宋"/>
          <w:i w:val="0"/>
          <w:iCs w:val="0"/>
          <w:caps w:val="0"/>
          <w:color w:val="000000"/>
          <w:spacing w:val="0"/>
          <w:sz w:val="32"/>
          <w:szCs w:val="32"/>
          <w:u w:val="none"/>
          <w:shd w:val="clear" w:fill="FFFFFF"/>
        </w:rPr>
        <w:t>90分</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为优</w:t>
      </w:r>
      <w:r>
        <w:rPr>
          <w:rFonts w:hint="eastAsia" w:ascii="仿宋" w:hAnsi="仿宋" w:eastAsia="仿宋" w:cs="仿宋"/>
          <w:i w:val="0"/>
          <w:iCs w:val="0"/>
          <w:caps w:val="0"/>
          <w:color w:val="000000"/>
          <w:spacing w:val="0"/>
          <w:sz w:val="32"/>
          <w:szCs w:val="32"/>
          <w:u w:val="none"/>
          <w:shd w:val="clear" w:fill="FFFFFF"/>
          <w:lang w:val="en-US" w:eastAsia="zh-CN"/>
        </w:rPr>
        <w:t>秀</w:t>
      </w:r>
      <w:r>
        <w:rPr>
          <w:rFonts w:hint="eastAsia" w:ascii="仿宋" w:hAnsi="仿宋" w:eastAsia="仿宋" w:cs="仿宋"/>
          <w:i w:val="0"/>
          <w:iCs w:val="0"/>
          <w:caps w:val="0"/>
          <w:color w:val="000000"/>
          <w:spacing w:val="0"/>
          <w:sz w:val="32"/>
          <w:szCs w:val="32"/>
          <w:u w:val="none"/>
          <w:shd w:val="clear" w:fill="FFFFFF"/>
        </w:rPr>
        <w:t>；得分在</w:t>
      </w:r>
      <w:r>
        <w:rPr>
          <w:rFonts w:hint="eastAsia" w:ascii="仿宋" w:hAnsi="仿宋" w:eastAsia="仿宋" w:cs="仿宋"/>
          <w:i w:val="0"/>
          <w:iCs w:val="0"/>
          <w:caps w:val="0"/>
          <w:color w:val="000000"/>
          <w:spacing w:val="0"/>
          <w:sz w:val="32"/>
          <w:szCs w:val="32"/>
          <w:u w:val="none"/>
          <w:shd w:val="clear" w:fill="FFFFFF"/>
          <w:lang w:val="en-US" w:eastAsia="zh-CN"/>
        </w:rPr>
        <w:t>高于或等于80</w:t>
      </w:r>
      <w:r>
        <w:rPr>
          <w:rFonts w:hint="eastAsia" w:ascii="仿宋" w:hAnsi="仿宋" w:eastAsia="仿宋" w:cs="仿宋"/>
          <w:i w:val="0"/>
          <w:iCs w:val="0"/>
          <w:caps w:val="0"/>
          <w:color w:val="000000"/>
          <w:spacing w:val="0"/>
          <w:sz w:val="32"/>
          <w:szCs w:val="32"/>
          <w:u w:val="none"/>
          <w:shd w:val="clear" w:fill="FFFFFF"/>
        </w:rPr>
        <w:t>分</w:t>
      </w:r>
      <w:r>
        <w:rPr>
          <w:rFonts w:hint="eastAsia" w:ascii="仿宋" w:hAnsi="仿宋" w:eastAsia="仿宋" w:cs="仿宋"/>
          <w:i w:val="0"/>
          <w:iCs w:val="0"/>
          <w:caps w:val="0"/>
          <w:color w:val="000000"/>
          <w:spacing w:val="0"/>
          <w:sz w:val="32"/>
          <w:szCs w:val="32"/>
          <w:u w:val="none"/>
          <w:shd w:val="clear" w:fill="FFFFFF"/>
          <w:lang w:val="en-US" w:eastAsia="zh-CN"/>
        </w:rPr>
        <w:t>小于</w:t>
      </w:r>
      <w:r>
        <w:rPr>
          <w:rFonts w:hint="eastAsia" w:ascii="仿宋" w:hAnsi="仿宋" w:eastAsia="仿宋" w:cs="仿宋"/>
          <w:i w:val="0"/>
          <w:iCs w:val="0"/>
          <w:caps w:val="0"/>
          <w:color w:val="000000"/>
          <w:spacing w:val="0"/>
          <w:sz w:val="32"/>
          <w:szCs w:val="32"/>
          <w:u w:val="none"/>
          <w:shd w:val="clear" w:fill="FFFFFF"/>
        </w:rPr>
        <w:t>90分</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为良</w:t>
      </w:r>
      <w:r>
        <w:rPr>
          <w:rFonts w:hint="eastAsia" w:ascii="仿宋" w:hAnsi="仿宋" w:eastAsia="仿宋" w:cs="仿宋"/>
          <w:i w:val="0"/>
          <w:iCs w:val="0"/>
          <w:caps w:val="0"/>
          <w:color w:val="000000"/>
          <w:spacing w:val="0"/>
          <w:sz w:val="32"/>
          <w:szCs w:val="32"/>
          <w:u w:val="none"/>
          <w:shd w:val="clear" w:fill="FFFFFF"/>
          <w:lang w:val="en-US" w:eastAsia="zh-CN"/>
        </w:rPr>
        <w:t>好</w:t>
      </w:r>
      <w:r>
        <w:rPr>
          <w:rFonts w:hint="eastAsia" w:ascii="仿宋" w:hAnsi="仿宋" w:eastAsia="仿宋" w:cs="仿宋"/>
          <w:i w:val="0"/>
          <w:iCs w:val="0"/>
          <w:caps w:val="0"/>
          <w:color w:val="000000"/>
          <w:spacing w:val="0"/>
          <w:sz w:val="32"/>
          <w:szCs w:val="32"/>
          <w:u w:val="none"/>
          <w:shd w:val="clear" w:fill="FFFFFF"/>
        </w:rPr>
        <w:t>；得分</w:t>
      </w:r>
      <w:r>
        <w:rPr>
          <w:rFonts w:hint="eastAsia" w:ascii="仿宋" w:hAnsi="仿宋" w:eastAsia="仿宋" w:cs="仿宋"/>
          <w:i w:val="0"/>
          <w:iCs w:val="0"/>
          <w:caps w:val="0"/>
          <w:color w:val="000000"/>
          <w:spacing w:val="0"/>
          <w:sz w:val="32"/>
          <w:szCs w:val="32"/>
          <w:u w:val="none"/>
          <w:shd w:val="clear" w:fill="FFFFFF"/>
          <w:lang w:val="en-US" w:eastAsia="zh-CN"/>
        </w:rPr>
        <w:t>高于或等于</w:t>
      </w:r>
      <w:r>
        <w:rPr>
          <w:rFonts w:hint="eastAsia" w:ascii="仿宋" w:hAnsi="仿宋" w:eastAsia="仿宋" w:cs="仿宋"/>
          <w:i w:val="0"/>
          <w:iCs w:val="0"/>
          <w:caps w:val="0"/>
          <w:color w:val="000000"/>
          <w:spacing w:val="0"/>
          <w:sz w:val="32"/>
          <w:szCs w:val="32"/>
          <w:u w:val="none"/>
          <w:shd w:val="clear" w:fill="FFFFFF"/>
        </w:rPr>
        <w:t>60分</w:t>
      </w:r>
      <w:r>
        <w:rPr>
          <w:rFonts w:hint="eastAsia" w:ascii="仿宋" w:hAnsi="仿宋" w:eastAsia="仿宋" w:cs="仿宋"/>
          <w:i w:val="0"/>
          <w:iCs w:val="0"/>
          <w:caps w:val="0"/>
          <w:color w:val="000000"/>
          <w:spacing w:val="0"/>
          <w:sz w:val="32"/>
          <w:szCs w:val="32"/>
          <w:u w:val="none"/>
          <w:shd w:val="clear" w:fill="FFFFFF"/>
          <w:lang w:val="en-US" w:eastAsia="zh-CN"/>
        </w:rPr>
        <w:t>低于80</w:t>
      </w:r>
      <w:r>
        <w:rPr>
          <w:rFonts w:hint="eastAsia" w:ascii="仿宋" w:hAnsi="仿宋" w:eastAsia="仿宋" w:cs="仿宋"/>
          <w:i w:val="0"/>
          <w:iCs w:val="0"/>
          <w:caps w:val="0"/>
          <w:color w:val="000000"/>
          <w:spacing w:val="0"/>
          <w:sz w:val="32"/>
          <w:szCs w:val="32"/>
          <w:u w:val="none"/>
          <w:shd w:val="clear" w:fill="FFFFFF"/>
        </w:rPr>
        <w:t>分</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w:t>
      </w:r>
      <w:r>
        <w:rPr>
          <w:rFonts w:hint="eastAsia" w:ascii="仿宋" w:hAnsi="仿宋" w:eastAsia="仿宋" w:cs="仿宋"/>
          <w:i w:val="0"/>
          <w:iCs w:val="0"/>
          <w:caps w:val="0"/>
          <w:color w:val="000000"/>
          <w:spacing w:val="0"/>
          <w:sz w:val="32"/>
          <w:szCs w:val="32"/>
          <w:u w:val="none"/>
          <w:shd w:val="clear" w:fill="FFFFFF"/>
          <w:lang w:val="en-US" w:eastAsia="zh-CN"/>
        </w:rPr>
        <w:t>中等</w:t>
      </w:r>
      <w:r>
        <w:rPr>
          <w:rFonts w:hint="eastAsia" w:ascii="仿宋" w:hAnsi="仿宋" w:eastAsia="仿宋" w:cs="仿宋"/>
          <w:i w:val="0"/>
          <w:iCs w:val="0"/>
          <w:caps w:val="0"/>
          <w:color w:val="000000"/>
          <w:spacing w:val="0"/>
          <w:sz w:val="32"/>
          <w:szCs w:val="32"/>
          <w:u w:val="none"/>
          <w:shd w:val="clear" w:fill="FFFFFF"/>
        </w:rPr>
        <w:t>；得分在60分以下</w:t>
      </w:r>
      <w:r>
        <w:rPr>
          <w:rFonts w:hint="eastAsia" w:ascii="仿宋" w:hAnsi="仿宋" w:eastAsia="仿宋" w:cs="仿宋"/>
          <w:i w:val="0"/>
          <w:iCs w:val="0"/>
          <w:caps w:val="0"/>
          <w:color w:val="000000"/>
          <w:spacing w:val="0"/>
          <w:sz w:val="32"/>
          <w:szCs w:val="32"/>
          <w:u w:val="none"/>
          <w:shd w:val="clear" w:fill="FFFFFF"/>
          <w:lang w:val="en-US" w:eastAsia="zh-CN"/>
        </w:rPr>
        <w:t>评价</w:t>
      </w:r>
      <w:r>
        <w:rPr>
          <w:rFonts w:hint="eastAsia" w:ascii="仿宋" w:hAnsi="仿宋" w:eastAsia="仿宋" w:cs="仿宋"/>
          <w:i w:val="0"/>
          <w:iCs w:val="0"/>
          <w:caps w:val="0"/>
          <w:color w:val="000000"/>
          <w:spacing w:val="0"/>
          <w:sz w:val="32"/>
          <w:szCs w:val="32"/>
          <w:u w:val="none"/>
          <w:shd w:val="clear" w:fill="FFFFFF"/>
        </w:rPr>
        <w:t>为</w:t>
      </w:r>
      <w:r>
        <w:rPr>
          <w:rFonts w:hint="eastAsia" w:ascii="仿宋" w:hAnsi="仿宋" w:eastAsia="仿宋" w:cs="仿宋"/>
          <w:i w:val="0"/>
          <w:iCs w:val="0"/>
          <w:caps w:val="0"/>
          <w:color w:val="000000"/>
          <w:spacing w:val="0"/>
          <w:sz w:val="32"/>
          <w:szCs w:val="32"/>
          <w:u w:val="none"/>
          <w:shd w:val="clear" w:fill="FFFFFF"/>
          <w:lang w:val="en-US" w:eastAsia="zh-CN"/>
        </w:rPr>
        <w:t>较</w:t>
      </w:r>
      <w:r>
        <w:rPr>
          <w:rFonts w:hint="eastAsia" w:ascii="仿宋" w:hAnsi="仿宋" w:eastAsia="仿宋" w:cs="仿宋"/>
          <w:i w:val="0"/>
          <w:iCs w:val="0"/>
          <w:caps w:val="0"/>
          <w:color w:val="000000"/>
          <w:spacing w:val="0"/>
          <w:sz w:val="32"/>
          <w:szCs w:val="32"/>
          <w:u w:val="none"/>
          <w:shd w:val="clear" w:fill="FFFFFF"/>
          <w:lang w:eastAsia="zh-CN"/>
        </w:rPr>
        <w:t>差</w:t>
      </w:r>
      <w:r>
        <w:rPr>
          <w:rFonts w:hint="eastAsia" w:ascii="仿宋" w:hAnsi="仿宋" w:eastAsia="仿宋" w:cs="仿宋"/>
          <w:i w:val="0"/>
          <w:iCs w:val="0"/>
          <w:caps w:val="0"/>
          <w:color w:val="000000"/>
          <w:spacing w:val="0"/>
          <w:sz w:val="32"/>
          <w:szCs w:val="32"/>
          <w:u w:val="none"/>
          <w:shd w:val="clear" w:fill="FFFFFF"/>
        </w:rPr>
        <w:t>。</w:t>
      </w:r>
    </w:p>
    <w:p w14:paraId="66B46D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2.绩效评价结论</w:t>
      </w:r>
    </w:p>
    <w:p w14:paraId="1E4EB2CF">
      <w:pPr>
        <w:pStyle w:val="5"/>
        <w:keepNext w:val="0"/>
        <w:keepLines w:val="0"/>
        <w:pageBreakBefore w:val="0"/>
        <w:widowControl/>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bCs/>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自评得分90.50分，部门整体支出绩效评价综合得分83分，等级为“良好”。2024年区委统战部</w:t>
      </w:r>
      <w:r>
        <w:rPr>
          <w:rFonts w:hint="eastAsia" w:ascii="仿宋" w:hAnsi="仿宋" w:eastAsia="仿宋" w:cs="仿宋"/>
          <w:b/>
          <w:bCs/>
          <w:i w:val="0"/>
          <w:iCs w:val="0"/>
          <w:caps w:val="0"/>
          <w:color w:val="000000"/>
          <w:spacing w:val="0"/>
          <w:sz w:val="32"/>
          <w:szCs w:val="32"/>
          <w:u w:val="none"/>
          <w:shd w:val="clear" w:fill="FFFFFF"/>
          <w:lang w:val="en-US" w:eastAsia="zh-CN"/>
        </w:rPr>
        <w:t>预算调整率为28.63%，预算整体执行率为100.00</w:t>
      </w:r>
      <w:r>
        <w:rPr>
          <w:rFonts w:hint="eastAsia" w:ascii="仿宋" w:hAnsi="仿宋" w:eastAsia="仿宋" w:cs="仿宋"/>
          <w:b/>
          <w:bCs/>
          <w:sz w:val="32"/>
          <w:szCs w:val="32"/>
          <w:highlight w:val="none"/>
          <w:lang w:val="en-US" w:eastAsia="zh-CN"/>
        </w:rPr>
        <w:t>%</w:t>
      </w:r>
      <w:r>
        <w:rPr>
          <w:rFonts w:hint="eastAsia" w:ascii="仿宋" w:hAnsi="仿宋" w:eastAsia="仿宋" w:cs="仿宋"/>
          <w:b/>
          <w:bCs/>
          <w:i w:val="0"/>
          <w:iCs w:val="0"/>
          <w:caps w:val="0"/>
          <w:color w:val="000000"/>
          <w:spacing w:val="0"/>
          <w:sz w:val="32"/>
          <w:szCs w:val="32"/>
          <w:u w:val="none"/>
          <w:shd w:val="clear" w:fill="FFFFFF"/>
          <w:lang w:val="en-US" w:eastAsia="zh-CN"/>
        </w:rPr>
        <w:t>，人员控制率为</w:t>
      </w:r>
      <w:r>
        <w:rPr>
          <w:rFonts w:hint="eastAsia" w:ascii="仿宋" w:hAnsi="仿宋" w:eastAsia="仿宋" w:cs="仿宋"/>
          <w:b/>
          <w:bCs/>
          <w:sz w:val="32"/>
          <w:szCs w:val="32"/>
          <w:lang w:val="en-US" w:eastAsia="zh-CN"/>
        </w:rPr>
        <w:t>84.62%</w:t>
      </w:r>
      <w:r>
        <w:rPr>
          <w:rFonts w:hint="eastAsia" w:ascii="仿宋" w:hAnsi="仿宋" w:eastAsia="仿宋" w:cs="仿宋"/>
          <w:b/>
          <w:bCs/>
          <w:i w:val="0"/>
          <w:iCs w:val="0"/>
          <w:caps w:val="0"/>
          <w:color w:val="000000"/>
          <w:spacing w:val="0"/>
          <w:sz w:val="32"/>
          <w:szCs w:val="32"/>
          <w:u w:val="none"/>
          <w:shd w:val="clear" w:fill="FFFFFF"/>
          <w:lang w:val="en-US" w:eastAsia="zh-CN"/>
        </w:rPr>
        <w:t>。2024年区委统战部以思想引领凝聚共识，</w:t>
      </w:r>
      <w:r>
        <w:rPr>
          <w:rFonts w:hint="eastAsia" w:ascii="仿宋" w:hAnsi="仿宋" w:eastAsia="仿宋" w:cs="仿宋"/>
          <w:b w:val="0"/>
          <w:bCs w:val="0"/>
          <w:i w:val="0"/>
          <w:iCs w:val="0"/>
          <w:caps w:val="0"/>
          <w:color w:val="000000"/>
          <w:spacing w:val="0"/>
          <w:sz w:val="32"/>
          <w:szCs w:val="32"/>
          <w:u w:val="none"/>
          <w:shd w:val="clear" w:fill="FFFFFF"/>
          <w:lang w:val="en-US" w:eastAsia="zh-CN"/>
        </w:rPr>
        <w:t>以风险防控筑牢底线，以基层实践激发活力。以多党合作汇集智慧，以队伍建设夯实基础，以“两个健康”护航发展。以责任贯通提升效能，以民族团结促进和谐，以志愿服务温暖人心。以团结新阶汇聚合力，以联络侨胞增进认同，全面展现统战担当与作为</w:t>
      </w:r>
      <w:r>
        <w:rPr>
          <w:rFonts w:hint="eastAsia" w:ascii="仿宋" w:hAnsi="仿宋" w:eastAsia="仿宋" w:cs="仿宋"/>
          <w:b/>
          <w:bCs/>
          <w:i w:val="0"/>
          <w:iCs w:val="0"/>
          <w:caps w:val="0"/>
          <w:color w:val="000000"/>
          <w:spacing w:val="0"/>
          <w:sz w:val="32"/>
          <w:szCs w:val="32"/>
          <w:u w:val="none"/>
          <w:shd w:val="clear" w:fill="FFFFFF"/>
          <w:lang w:val="en-US" w:eastAsia="zh-CN"/>
        </w:rPr>
        <w:t>。</w:t>
      </w:r>
    </w:p>
    <w:p w14:paraId="68D651C3">
      <w:pPr>
        <w:pStyle w:val="5"/>
        <w:keepNext w:val="0"/>
        <w:keepLines w:val="0"/>
        <w:pageBreakBefore w:val="0"/>
        <w:widowControl/>
        <w:kinsoku/>
        <w:wordWrap/>
        <w:overflowPunct/>
        <w:topLinePunct w:val="0"/>
        <w:autoSpaceDE/>
        <w:autoSpaceDN/>
        <w:bidi w:val="0"/>
        <w:adjustRightInd/>
        <w:snapToGrid/>
        <w:spacing w:after="0" w:line="560" w:lineRule="exact"/>
        <w:ind w:left="0" w:leftChars="0" w:firstLine="0" w:firstLineChars="0"/>
        <w:jc w:val="both"/>
        <w:textAlignment w:val="auto"/>
        <w:rPr>
          <w:rFonts w:hint="eastAsia" w:ascii="黑体" w:hAnsi="黑体" w:eastAsia="黑体" w:cs="黑体"/>
          <w:sz w:val="32"/>
          <w:szCs w:val="32"/>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但在预算配置与执行方面、管理程序方面及人员经费管理方面存在不足，在预算精准化、程序规范化、管理精细化和效益长效化方面仍有提升空间。建议补短板、强弱项，推动区政府研究中心工作绩效管理水平再上新台阶。</w:t>
      </w:r>
    </w:p>
    <w:p w14:paraId="5F9D58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outlineLvl w:val="0"/>
        <w:rPr>
          <w:rFonts w:hint="eastAsia" w:ascii="黑体" w:hAnsi="黑体" w:eastAsia="黑体" w:cs="黑体"/>
          <w:sz w:val="32"/>
          <w:szCs w:val="32"/>
          <w:lang w:eastAsia="zh-CN"/>
        </w:rPr>
      </w:pPr>
      <w:bookmarkStart w:id="52" w:name="_Toc13209"/>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、存在问题与改进建议</w:t>
      </w:r>
      <w:bookmarkEnd w:id="52"/>
    </w:p>
    <w:p w14:paraId="7BB230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 w:hAnsi="楷体" w:eastAsia="楷体" w:cs="楷体"/>
          <w:b/>
          <w:bCs/>
          <w:sz w:val="32"/>
          <w:szCs w:val="32"/>
          <w:lang w:val="en-US" w:eastAsia="zh-CN"/>
        </w:rPr>
      </w:pPr>
      <w:bookmarkStart w:id="53" w:name="_Toc32242"/>
      <w:bookmarkStart w:id="54" w:name="_Toc8251"/>
      <w:bookmarkStart w:id="55" w:name="_Toc7373"/>
      <w:r>
        <w:rPr>
          <w:rFonts w:hint="eastAsia" w:ascii="楷体" w:hAnsi="楷体" w:eastAsia="楷体" w:cs="楷体"/>
          <w:b/>
          <w:bCs/>
          <w:sz w:val="32"/>
          <w:szCs w:val="32"/>
          <w:lang w:val="en-US" w:eastAsia="zh-CN"/>
        </w:rPr>
        <w:t>（一）预算配置与执行方面存在的问题及建议</w:t>
      </w:r>
      <w:bookmarkEnd w:id="53"/>
      <w:bookmarkEnd w:id="54"/>
      <w:bookmarkEnd w:id="55"/>
    </w:p>
    <w:p w14:paraId="1B5D0D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lang w:val="en-US" w:eastAsia="zh-CN"/>
        </w:rPr>
      </w:pPr>
      <w:bookmarkStart w:id="56" w:name="_Toc25933"/>
      <w:r>
        <w:rPr>
          <w:rFonts w:hint="eastAsia" w:ascii="仿宋" w:hAnsi="仿宋" w:eastAsia="仿宋" w:cs="仿宋"/>
          <w:b/>
          <w:bCs/>
          <w:sz w:val="32"/>
          <w:szCs w:val="32"/>
          <w:lang w:val="en-US" w:eastAsia="zh-CN"/>
        </w:rPr>
        <w:t>1.存在基本支出挤占项目支出的情况。</w:t>
      </w:r>
    </w:p>
    <w:p w14:paraId="439C9F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第十三条。各级政府、各部门、各单位的支出必须以经批准的预算为依据，未列入预算的不得支出。核心解读：预算一经人大批准，即具有法律效力。基本支出和项目支出是法定的、不同用途的预算科目，相互之间不能随意流用。将项目资金用于基本支出，相当于篡改了经法律程序批准的预算案，违反了预算的刚性约束原则。</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上述违反了《预算法实施条例》进一步细化了预算执行的要求，强调要严格按预算用途使用资金。</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上述违反了《项目支出绩效管理办法》、《专项资金管理办法》。项目资金必须“专款专用”。将项目资金用于发放人员工资、支付运转费用等基本开支，直接违反了“专款专用”规定。</w:t>
      </w:r>
      <w:r>
        <w:rPr>
          <w:rFonts w:hint="eastAsia" w:ascii="仿宋" w:hAnsi="仿宋" w:eastAsia="仿宋" w:cs="仿宋"/>
          <w:b/>
          <w:bCs/>
          <w:sz w:val="32"/>
          <w:szCs w:val="32"/>
          <w:lang w:val="en-US" w:eastAsia="zh-CN"/>
        </w:rPr>
        <w:t>原因分析如下：一是基本支出保障不足。</w:t>
      </w:r>
      <w:r>
        <w:rPr>
          <w:rFonts w:hint="eastAsia" w:ascii="仿宋" w:hAnsi="仿宋" w:eastAsia="仿宋" w:cs="仿宋"/>
          <w:b w:val="0"/>
          <w:bCs w:val="0"/>
          <w:sz w:val="32"/>
          <w:szCs w:val="32"/>
          <w:lang w:val="en-US" w:eastAsia="zh-CN"/>
        </w:rPr>
        <w:t>最常见的根源。编制内人员经费和公用经费定额标准偏低，无法覆盖实际运行成本，</w:t>
      </w:r>
      <w:r>
        <w:rPr>
          <w:rFonts w:hint="eastAsia" w:ascii="仿宋" w:hAnsi="仿宋" w:eastAsia="仿宋" w:cs="仿宋"/>
          <w:b/>
          <w:bCs/>
          <w:sz w:val="32"/>
          <w:szCs w:val="32"/>
          <w:lang w:val="en-US" w:eastAsia="zh-CN"/>
        </w:rPr>
        <w:t>“钱不够花”</w:t>
      </w:r>
      <w:r>
        <w:rPr>
          <w:rFonts w:hint="eastAsia" w:ascii="仿宋" w:hAnsi="仿宋" w:eastAsia="仿宋" w:cs="仿宋"/>
          <w:b w:val="0"/>
          <w:bCs w:val="0"/>
          <w:sz w:val="32"/>
          <w:szCs w:val="32"/>
          <w:lang w:val="en-US" w:eastAsia="zh-CN"/>
        </w:rPr>
        <w:t>。</w:t>
      </w:r>
      <w:r>
        <w:rPr>
          <w:rFonts w:hint="eastAsia" w:ascii="仿宋" w:hAnsi="仿宋" w:eastAsia="仿宋" w:cs="仿宋"/>
          <w:b/>
          <w:bCs/>
          <w:sz w:val="32"/>
          <w:szCs w:val="32"/>
          <w:lang w:val="en-US" w:eastAsia="zh-CN"/>
        </w:rPr>
        <w:t>二是预算编制不科学。</w:t>
      </w:r>
      <w:r>
        <w:rPr>
          <w:rFonts w:hint="eastAsia" w:ascii="仿宋" w:hAnsi="仿宋" w:eastAsia="仿宋" w:cs="仿宋"/>
          <w:b w:val="0"/>
          <w:bCs w:val="0"/>
          <w:sz w:val="32"/>
          <w:szCs w:val="32"/>
          <w:lang w:val="en-US" w:eastAsia="zh-CN"/>
        </w:rPr>
        <w:t>项目支出预算相比基本支出更容易获批，且预算额度可能更宽松。</w:t>
      </w:r>
      <w:r>
        <w:rPr>
          <w:rFonts w:hint="eastAsia" w:ascii="仿宋" w:hAnsi="仿宋" w:eastAsia="仿宋" w:cs="仿宋"/>
          <w:b/>
          <w:bCs/>
          <w:sz w:val="32"/>
          <w:szCs w:val="32"/>
          <w:lang w:val="en-US" w:eastAsia="zh-CN"/>
        </w:rPr>
        <w:t>三是内部控制薄弱。</w:t>
      </w:r>
      <w:r>
        <w:rPr>
          <w:rFonts w:hint="eastAsia" w:ascii="仿宋" w:hAnsi="仿宋" w:eastAsia="仿宋" w:cs="仿宋"/>
          <w:b w:val="0"/>
          <w:bCs w:val="0"/>
          <w:sz w:val="32"/>
          <w:szCs w:val="32"/>
          <w:lang w:val="en-US" w:eastAsia="zh-CN"/>
        </w:rPr>
        <w:t>单位内部财务管理制度不健全，审批流程形同虚设，财务人员监督乏力。</w:t>
      </w:r>
    </w:p>
    <w:p w14:paraId="076895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w:t>
      </w:r>
      <w:r>
        <w:rPr>
          <w:rFonts w:hint="eastAsia" w:ascii="仿宋" w:hAnsi="仿宋" w:eastAsia="仿宋" w:cs="仿宋"/>
          <w:b w:val="0"/>
          <w:bCs w:val="0"/>
          <w:sz w:val="32"/>
          <w:szCs w:val="32"/>
          <w:lang w:val="en-US" w:eastAsia="zh-CN"/>
        </w:rPr>
        <w:t>解决基本支出挤占项目支出现象需要</w:t>
      </w:r>
      <w:r>
        <w:rPr>
          <w:rFonts w:hint="eastAsia" w:ascii="仿宋" w:hAnsi="仿宋" w:eastAsia="仿宋" w:cs="仿宋"/>
          <w:b/>
          <w:bCs/>
          <w:sz w:val="32"/>
          <w:szCs w:val="32"/>
          <w:lang w:val="en-US" w:eastAsia="zh-CN"/>
        </w:rPr>
        <w:t>顶层设计（财政保障）、过程监管（技术+人工）和单位自律（内控+观念）三</w:t>
      </w:r>
      <w:r>
        <w:rPr>
          <w:rFonts w:hint="eastAsia" w:ascii="仿宋" w:hAnsi="仿宋" w:eastAsia="仿宋" w:cs="仿宋"/>
          <w:b w:val="0"/>
          <w:bCs w:val="0"/>
          <w:sz w:val="32"/>
          <w:szCs w:val="32"/>
          <w:lang w:val="en-US" w:eastAsia="zh-CN"/>
        </w:rPr>
        <w:t>管齐下，从“堵后门”和“开前门”两个方向入手，既要</w:t>
      </w:r>
      <w:r>
        <w:rPr>
          <w:rFonts w:hint="eastAsia" w:ascii="仿宋" w:hAnsi="仿宋" w:eastAsia="仿宋" w:cs="仿宋"/>
          <w:b/>
          <w:bCs/>
          <w:sz w:val="32"/>
          <w:szCs w:val="32"/>
          <w:lang w:val="en-US" w:eastAsia="zh-CN"/>
        </w:rPr>
        <w:t>严厉禁止</w:t>
      </w:r>
      <w:r>
        <w:rPr>
          <w:rFonts w:hint="eastAsia" w:ascii="仿宋" w:hAnsi="仿宋" w:eastAsia="仿宋" w:cs="仿宋"/>
          <w:b w:val="0"/>
          <w:bCs w:val="0"/>
          <w:sz w:val="32"/>
          <w:szCs w:val="32"/>
          <w:lang w:val="en-US" w:eastAsia="zh-CN"/>
        </w:rPr>
        <w:t>，也要</w:t>
      </w:r>
      <w:r>
        <w:rPr>
          <w:rFonts w:hint="eastAsia" w:ascii="仿宋" w:hAnsi="仿宋" w:eastAsia="仿宋" w:cs="仿宋"/>
          <w:b/>
          <w:bCs/>
          <w:sz w:val="32"/>
          <w:szCs w:val="32"/>
          <w:lang w:val="en-US" w:eastAsia="zh-CN"/>
        </w:rPr>
        <w:t>疏导根源，</w:t>
      </w:r>
      <w:r>
        <w:rPr>
          <w:rFonts w:hint="eastAsia" w:ascii="仿宋" w:hAnsi="仿宋" w:eastAsia="仿宋" w:cs="仿宋"/>
          <w:b w:val="0"/>
          <w:bCs w:val="0"/>
          <w:sz w:val="32"/>
          <w:szCs w:val="32"/>
          <w:lang w:val="en-US" w:eastAsia="zh-CN"/>
        </w:rPr>
        <w:t>从根本上遏制这一现象，确保财政资金的安全、规范和有效使用。</w:t>
      </w:r>
      <w:r>
        <w:rPr>
          <w:rFonts w:hint="eastAsia" w:ascii="仿宋" w:hAnsi="仿宋" w:eastAsia="仿宋" w:cs="仿宋"/>
          <w:b/>
          <w:bCs/>
          <w:sz w:val="32"/>
          <w:szCs w:val="32"/>
          <w:lang w:val="en-US" w:eastAsia="zh-CN"/>
        </w:rPr>
        <w:t>一是强化预算编制与审核，从源头杜绝“可能性”。A科学核定基本支出。</w:t>
      </w:r>
      <w:r>
        <w:rPr>
          <w:rFonts w:hint="eastAsia" w:ascii="仿宋" w:hAnsi="仿宋" w:eastAsia="仿宋" w:cs="仿宋"/>
          <w:b w:val="0"/>
          <w:bCs w:val="0"/>
          <w:sz w:val="32"/>
          <w:szCs w:val="32"/>
          <w:lang w:val="en-US" w:eastAsia="zh-CN"/>
        </w:rPr>
        <w:t>建立动态调整机制，使人员经费和公用经费定额标准更加贴合实际，确保机构正常运转的合理需求。</w:t>
      </w:r>
      <w:r>
        <w:rPr>
          <w:rFonts w:hint="eastAsia" w:ascii="仿宋" w:hAnsi="仿宋" w:eastAsia="仿宋" w:cs="仿宋"/>
          <w:b/>
          <w:bCs/>
          <w:sz w:val="32"/>
          <w:szCs w:val="32"/>
          <w:lang w:val="en-US" w:eastAsia="zh-CN"/>
        </w:rPr>
        <w:t>B严格项目库管理。</w:t>
      </w:r>
      <w:r>
        <w:rPr>
          <w:rFonts w:hint="eastAsia" w:ascii="仿宋" w:hAnsi="仿宋" w:eastAsia="仿宋" w:cs="仿宋"/>
          <w:b w:val="0"/>
          <w:bCs w:val="0"/>
          <w:sz w:val="32"/>
          <w:szCs w:val="32"/>
          <w:lang w:val="en-US" w:eastAsia="zh-CN"/>
        </w:rPr>
        <w:t>推行“项目入库、预算编细、滚动管理”。在预算编制阶段，组织专家对项目的必要性、可行性、预算合理性进行严格评审，剔除项目中隐含的“人员费”、“运转费”等不属于项目开支范围的内容。</w:t>
      </w:r>
      <w:r>
        <w:rPr>
          <w:rFonts w:hint="eastAsia" w:ascii="仿宋" w:hAnsi="仿宋" w:eastAsia="仿宋" w:cs="仿宋"/>
          <w:b/>
          <w:bCs/>
          <w:sz w:val="32"/>
          <w:szCs w:val="32"/>
          <w:lang w:val="en-US" w:eastAsia="zh-CN"/>
        </w:rPr>
        <w:t>C推广“零基预算”理念。</w:t>
      </w:r>
      <w:r>
        <w:rPr>
          <w:rFonts w:hint="eastAsia" w:ascii="仿宋" w:hAnsi="仿宋" w:eastAsia="仿宋" w:cs="仿宋"/>
          <w:b w:val="0"/>
          <w:bCs w:val="0"/>
          <w:sz w:val="32"/>
          <w:szCs w:val="32"/>
          <w:lang w:val="en-US" w:eastAsia="zh-CN"/>
        </w:rPr>
        <w:t>打破“基数+增长”的预算模式，每年根据实际需求和绩效目标重新审核所有支出，避免不合理支出的固化。</w:t>
      </w:r>
      <w:r>
        <w:rPr>
          <w:rFonts w:hint="eastAsia" w:ascii="仿宋" w:hAnsi="仿宋" w:eastAsia="仿宋" w:cs="仿宋"/>
          <w:b/>
          <w:bCs/>
          <w:sz w:val="32"/>
          <w:szCs w:val="32"/>
          <w:lang w:val="en-US" w:eastAsia="zh-CN"/>
        </w:rPr>
        <w:t>二是加强执行监控与预警，从事中“早发现”。A利用技术手段。</w:t>
      </w:r>
      <w:r>
        <w:rPr>
          <w:rFonts w:hint="eastAsia" w:ascii="仿宋" w:hAnsi="仿宋" w:eastAsia="仿宋" w:cs="仿宋"/>
          <w:b w:val="0"/>
          <w:bCs w:val="0"/>
          <w:sz w:val="32"/>
          <w:szCs w:val="32"/>
          <w:lang w:val="en-US" w:eastAsia="zh-CN"/>
        </w:rPr>
        <w:t>在预算管理一体化系统中设置预警规则。当单位账务中出现“项目支出-人员经费”等敏感科目时，系统自动报警并推送至财政和主管部门。</w:t>
      </w:r>
      <w:r>
        <w:rPr>
          <w:rFonts w:hint="eastAsia" w:ascii="仿宋" w:hAnsi="仿宋" w:eastAsia="仿宋" w:cs="仿宋"/>
          <w:b/>
          <w:bCs/>
          <w:sz w:val="32"/>
          <w:szCs w:val="32"/>
          <w:lang w:val="en-US" w:eastAsia="zh-CN"/>
        </w:rPr>
        <w:t>B实施重点监控。</w:t>
      </w:r>
      <w:r>
        <w:rPr>
          <w:rFonts w:hint="eastAsia" w:ascii="仿宋" w:hAnsi="仿宋" w:eastAsia="仿宋" w:cs="仿宋"/>
          <w:b w:val="0"/>
          <w:bCs w:val="0"/>
          <w:sz w:val="32"/>
          <w:szCs w:val="32"/>
          <w:lang w:val="en-US" w:eastAsia="zh-CN"/>
        </w:rPr>
        <w:t>对曾有违规记录或风险较高的单位以及金额重大的项目进行重点监控和动态跟踪。</w:t>
      </w:r>
      <w:r>
        <w:rPr>
          <w:rFonts w:hint="eastAsia" w:ascii="仿宋" w:hAnsi="仿宋" w:eastAsia="仿宋" w:cs="仿宋"/>
          <w:b/>
          <w:bCs/>
          <w:sz w:val="32"/>
          <w:szCs w:val="32"/>
          <w:lang w:val="en-US" w:eastAsia="zh-CN"/>
        </w:rPr>
        <w:t>三是树立正确的预算绩效观念。</w:t>
      </w:r>
      <w:r>
        <w:rPr>
          <w:rFonts w:hint="eastAsia" w:ascii="仿宋" w:hAnsi="仿宋" w:eastAsia="仿宋" w:cs="仿宋"/>
          <w:b w:val="0"/>
          <w:bCs w:val="0"/>
          <w:sz w:val="32"/>
          <w:szCs w:val="32"/>
          <w:lang w:val="en-US" w:eastAsia="zh-CN"/>
        </w:rPr>
        <w:t>单位领导应带头学习《中华人民共和国预算法》等法律法规，牢固树立“预算是法、专款专用”的意识，明确挤占项目资金是“红线”、“高压线”。</w:t>
      </w:r>
      <w:r>
        <w:rPr>
          <w:rFonts w:hint="eastAsia" w:ascii="仿宋" w:hAnsi="仿宋" w:eastAsia="仿宋" w:cs="仿宋"/>
          <w:b/>
          <w:bCs/>
          <w:sz w:val="32"/>
          <w:szCs w:val="32"/>
          <w:lang w:val="en-US" w:eastAsia="zh-CN"/>
        </w:rPr>
        <w:t>四是健全内部控制系统。</w:t>
      </w:r>
      <w:r>
        <w:rPr>
          <w:rFonts w:hint="eastAsia" w:ascii="仿宋" w:hAnsi="仿宋" w:eastAsia="仿宋" w:cs="仿宋"/>
          <w:b w:val="0"/>
          <w:bCs w:val="0"/>
          <w:sz w:val="32"/>
          <w:szCs w:val="32"/>
          <w:lang w:val="en-US" w:eastAsia="zh-CN"/>
        </w:rPr>
        <w:t>明确岗位职责，确保财务岗位的独立性和监督职能。规范审批流程，所有项目资金支付必须经过严格审核，确保支出内容与项目预算完全一致。定期内部审计，单位内部应定期开展自查自纠，及时发现和纠正问题。</w:t>
      </w:r>
      <w:r>
        <w:rPr>
          <w:rFonts w:hint="eastAsia" w:ascii="仿宋" w:hAnsi="仿宋" w:eastAsia="仿宋" w:cs="仿宋"/>
          <w:b/>
          <w:bCs/>
          <w:sz w:val="32"/>
          <w:szCs w:val="32"/>
          <w:lang w:val="en-US" w:eastAsia="zh-CN"/>
        </w:rPr>
        <w:t>五是提高预算编制科学性。</w:t>
      </w:r>
      <w:r>
        <w:rPr>
          <w:rFonts w:hint="eastAsia" w:ascii="仿宋" w:hAnsi="仿宋" w:eastAsia="仿宋" w:cs="仿宋"/>
          <w:b w:val="0"/>
          <w:bCs w:val="0"/>
          <w:sz w:val="32"/>
          <w:szCs w:val="32"/>
          <w:lang w:val="en-US" w:eastAsia="zh-CN"/>
        </w:rPr>
        <w:t>实事求是地编制基本支出预算，充分反映运行需求。精准编制项目支出预算，确保每一项开支都直接服务于项目目标，避免“小项目、大预算”。</w:t>
      </w:r>
      <w:r>
        <w:rPr>
          <w:rFonts w:hint="eastAsia" w:ascii="仿宋" w:hAnsi="仿宋" w:eastAsia="仿宋" w:cs="仿宋"/>
          <w:b/>
          <w:bCs/>
          <w:sz w:val="32"/>
          <w:szCs w:val="32"/>
          <w:lang w:val="en-US" w:eastAsia="zh-CN"/>
        </w:rPr>
        <w:t>六是主动报告与沟通。</w:t>
      </w:r>
      <w:r>
        <w:rPr>
          <w:rFonts w:hint="eastAsia" w:ascii="仿宋" w:hAnsi="仿宋" w:eastAsia="仿宋" w:cs="仿宋"/>
          <w:b w:val="0"/>
          <w:bCs w:val="0"/>
          <w:sz w:val="32"/>
          <w:szCs w:val="32"/>
          <w:lang w:val="en-US" w:eastAsia="zh-CN"/>
        </w:rPr>
        <w:t>如果确实因政策性因素等导致基本支出出现巨大缺口，应通过正式渠道向财政和主管部门申请调整预算或追加经费。</w:t>
      </w:r>
    </w:p>
    <w:p w14:paraId="677190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未提供以下管理制度。如预算管理制度，内部控制制度，政府采购管理制度，国有资产管理制度，合同管理制度，专项资金管理办法，绩效管理制度，信息化管理制度，决算与财务报告制度，监督与审计制度，工会管理制度等。</w:t>
      </w:r>
    </w:p>
    <w:p w14:paraId="0AF387C4">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及其实施条例。预算法要求各级政府、各部门、各单位必须编制预算，并严格执行预算。预算管理制度、决算与财务报告制度的缺失，直接导致预算编制无章可循、执行过程失控、决算信息失真，无法满足预算法对预算管理全流程的法定要求。</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行政事业性国有资产管理条例》（国务院令第738号）。该条例明确规定行政事业单位应当建立健全资产管理制度。国有资产管理制度的缺失，导致资产从配置、使用到处置等环节缺乏规范，极易造成国有资产流失或使用效率低下。</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财政部《行政事业单位内部控制规范（试行）》（财会〔2012〕21号）。这是最直接、最全面的违规依据。该规范强制要求单位建立并实施内部控制制度，以防范经济业务风险。上述清单中的绝大多数制度（如预算、采购、资产、合同、专项资金等管理制度）正是内部控制体系的核心组成部分。内部控制制度本身的缺失，更是直接违反了该规范的强制性要求。</w:t>
      </w:r>
      <w:r>
        <w:rPr>
          <w:rFonts w:hint="eastAsia" w:ascii="仿宋" w:hAnsi="仿宋" w:eastAsia="仿宋" w:cs="仿宋"/>
          <w:b/>
          <w:bCs/>
          <w:sz w:val="32"/>
          <w:szCs w:val="32"/>
          <w:lang w:val="en-US" w:eastAsia="zh-CN"/>
        </w:rPr>
        <w:t>相关政策4：</w:t>
      </w:r>
      <w:r>
        <w:rPr>
          <w:rFonts w:hint="eastAsia" w:ascii="仿宋" w:hAnsi="仿宋" w:eastAsia="仿宋" w:cs="仿宋"/>
          <w:b w:val="0"/>
          <w:bCs w:val="0"/>
          <w:sz w:val="32"/>
          <w:szCs w:val="32"/>
          <w:lang w:val="en-US" w:eastAsia="zh-CN"/>
        </w:rPr>
        <w:t>上述违反了中华人民共和国政府采购法》及其实施条例。</w:t>
      </w:r>
      <w:r>
        <w:rPr>
          <w:rFonts w:hint="eastAsia" w:ascii="仿宋" w:hAnsi="仿宋" w:eastAsia="仿宋" w:cs="仿宋"/>
          <w:b/>
          <w:bCs/>
          <w:sz w:val="32"/>
          <w:szCs w:val="32"/>
          <w:lang w:val="en-US" w:eastAsia="zh-CN"/>
        </w:rPr>
        <w:t>相关政策5：</w:t>
      </w:r>
      <w:r>
        <w:rPr>
          <w:rFonts w:hint="eastAsia" w:ascii="仿宋" w:hAnsi="仿宋" w:eastAsia="仿宋" w:cs="仿宋"/>
          <w:b w:val="0"/>
          <w:bCs w:val="0"/>
          <w:sz w:val="32"/>
          <w:szCs w:val="32"/>
          <w:lang w:val="en-US" w:eastAsia="zh-CN"/>
        </w:rPr>
        <w:t>上述违反了《中华人民共和国民法典》关于合同订立、履行、管理的基本原则，使单位面临巨大的法律和财务风险。</w:t>
      </w:r>
      <w:r>
        <w:rPr>
          <w:rFonts w:hint="eastAsia" w:ascii="仿宋" w:hAnsi="仿宋" w:eastAsia="仿宋" w:cs="仿宋"/>
          <w:b/>
          <w:bCs/>
          <w:sz w:val="32"/>
          <w:szCs w:val="32"/>
          <w:lang w:val="en-US" w:eastAsia="zh-CN"/>
        </w:rPr>
        <w:t>相关政策6：</w:t>
      </w:r>
      <w:r>
        <w:rPr>
          <w:rFonts w:hint="eastAsia" w:ascii="仿宋" w:hAnsi="仿宋" w:eastAsia="仿宋" w:cs="仿宋"/>
          <w:b w:val="0"/>
          <w:bCs w:val="0"/>
          <w:sz w:val="32"/>
          <w:szCs w:val="32"/>
          <w:lang w:val="en-US" w:eastAsia="zh-CN"/>
        </w:rPr>
        <w:t>上述违反了《关于全面实施预算绩效管理的意见》。该意见要求将绩效管理融入预算编制、执行、监督全过程。绩效管理制度的缺失，直接与“全面实施预算绩效管理”的国策相悖，导致资金使用不计效果、不讲效益。</w:t>
      </w:r>
      <w:r>
        <w:rPr>
          <w:rFonts w:hint="eastAsia" w:ascii="仿宋" w:hAnsi="仿宋" w:eastAsia="仿宋" w:cs="仿宋"/>
          <w:b/>
          <w:bCs/>
          <w:sz w:val="32"/>
          <w:szCs w:val="32"/>
          <w:lang w:val="en-US" w:eastAsia="zh-CN"/>
        </w:rPr>
        <w:t>相关政策7：</w:t>
      </w:r>
      <w:r>
        <w:rPr>
          <w:rFonts w:hint="eastAsia" w:ascii="仿宋" w:hAnsi="仿宋" w:eastAsia="仿宋" w:cs="仿宋"/>
          <w:b w:val="0"/>
          <w:bCs w:val="0"/>
          <w:sz w:val="32"/>
          <w:szCs w:val="32"/>
          <w:lang w:val="en-US" w:eastAsia="zh-CN"/>
        </w:rPr>
        <w:t>上述违反了《中华人民共和国审计法》。监督与审计制度的缺失，使得单位内部缺乏自我监督和问题预警机制，无法主动发现问题、纠正偏差，无法满足审计机关对单位建立健全内部审计制度的要求。</w:t>
      </w:r>
    </w:p>
    <w:p w14:paraId="3B87CD73">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建议：一是提高认识，明确责任。</w:t>
      </w:r>
      <w:r>
        <w:rPr>
          <w:rFonts w:hint="eastAsia" w:ascii="仿宋" w:hAnsi="仿宋" w:eastAsia="仿宋" w:cs="仿宋"/>
          <w:b w:val="0"/>
          <w:bCs w:val="0"/>
          <w:sz w:val="32"/>
          <w:szCs w:val="32"/>
          <w:lang w:val="en-US" w:eastAsia="zh-CN"/>
        </w:rPr>
        <w:t>单位主要负责人（“一把手”）必须高度重视，认识到建立健全管理制度是履行法定职责、保护干部、提高资金效益的根本要求。应成立由单位主要领导牵头，财务、资产、办公室、业务部门等共同参与的制度建设工作专班，明确分工和时限。</w:t>
      </w:r>
      <w:r>
        <w:rPr>
          <w:rFonts w:hint="eastAsia" w:ascii="仿宋" w:hAnsi="仿宋" w:eastAsia="仿宋" w:cs="仿宋"/>
          <w:b/>
          <w:bCs/>
          <w:sz w:val="32"/>
          <w:szCs w:val="32"/>
          <w:lang w:val="en-US" w:eastAsia="zh-CN"/>
        </w:rPr>
        <w:t>二是系统规划，分批建立。</w:t>
      </w:r>
      <w:r>
        <w:rPr>
          <w:rFonts w:hint="eastAsia" w:ascii="仿宋" w:hAnsi="仿宋" w:eastAsia="仿宋" w:cs="仿宋"/>
          <w:b w:val="0"/>
          <w:bCs w:val="0"/>
          <w:sz w:val="32"/>
          <w:szCs w:val="32"/>
          <w:lang w:val="en-US" w:eastAsia="zh-CN"/>
        </w:rPr>
        <w:t>优先级1（立即建立）：内部控制制度（总纲性文件）、预算管理制度、国有资产管理制度、财务报销与审批制度。这些是保障资金安全和资产安全的底线。优先级2（快速跟进）：政府采购管理制度、合同管理制度、专项资金管理办法。这些是规范具体经济业务的关键。优先级3（完善提升）：绩效管理制度、信息化管理制度、决算与财务报告制度、监督与审计制度。这些是提升管理现代化水平的重要工具。</w:t>
      </w:r>
      <w:r>
        <w:rPr>
          <w:rFonts w:hint="eastAsia" w:ascii="仿宋" w:hAnsi="仿宋" w:eastAsia="仿宋" w:cs="仿宋"/>
          <w:b/>
          <w:bCs/>
          <w:sz w:val="32"/>
          <w:szCs w:val="32"/>
          <w:lang w:val="en-US" w:eastAsia="zh-CN"/>
        </w:rPr>
        <w:t>三是结合实际，注重实效。</w:t>
      </w:r>
      <w:r>
        <w:rPr>
          <w:rFonts w:hint="eastAsia" w:ascii="仿宋" w:hAnsi="仿宋" w:eastAsia="仿宋" w:cs="仿宋"/>
          <w:b w:val="0"/>
          <w:bCs w:val="0"/>
          <w:sz w:val="32"/>
          <w:szCs w:val="32"/>
          <w:lang w:val="en-US" w:eastAsia="zh-CN"/>
        </w:rPr>
        <w:t>制度的制定不能简单照搬照抄，必须结合单位的业务特点、规模大小和管理现状。条款要具体、清晰、具有可操作性，明确各项业务的流程、审批权限和责任部门。例如，合同管理制度应明确不同金额合同的审批流程。</w:t>
      </w:r>
      <w:r>
        <w:rPr>
          <w:rFonts w:hint="eastAsia" w:ascii="仿宋" w:hAnsi="仿宋" w:eastAsia="仿宋" w:cs="仿宋"/>
          <w:b/>
          <w:bCs/>
          <w:sz w:val="32"/>
          <w:szCs w:val="32"/>
          <w:lang w:val="en-US" w:eastAsia="zh-CN"/>
        </w:rPr>
        <w:t>四是加强培训，严格执行。五是动态优化，持续改进。</w:t>
      </w:r>
      <w:r>
        <w:rPr>
          <w:rFonts w:hint="eastAsia" w:ascii="仿宋" w:hAnsi="仿宋" w:eastAsia="仿宋" w:cs="仿宋"/>
          <w:b w:val="0"/>
          <w:bCs w:val="0"/>
          <w:sz w:val="32"/>
          <w:szCs w:val="32"/>
          <w:lang w:val="en-US" w:eastAsia="zh-CN"/>
        </w:rPr>
        <w:t>管理制度不是一成不变的。应建立制度的定期评估和修订机制（例如每2-3年一次），根据国家新出台的政策、审计检查发现的问题以及单位内部管理需求的变化，及时对制度进行更新和完善。</w:t>
      </w:r>
    </w:p>
    <w:p w14:paraId="7C71554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3.验收标准未具象化。</w:t>
      </w:r>
    </w:p>
    <w:p w14:paraId="5A54A8BD">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及其实施条例核心精神。强调“讲求绩效”，要求各级预算应当根据年度经济社会发展目标、国家宏观调控总体要求和跨年度预算平衡的需要，参考上一年预算执行情况、有关支出绩效评价结果和本年度收支预测，按照规定程序进行编制。未具象化的验收标准导致无法产生真实、可靠、可验证的“支出绩效评价结果”，使得预算编制和审查失去了科学的依据，违反了预算法对绩效管理的基本要求。</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上述违反了《项目支出绩效评价管理办法》（财预〔2020〕10号）第八条（绩效评价指标） 明确指出：“绩效评价指标是指衡量绩效目标实现程度的考核工具。（二）具体量化。绩效评价指标应当清晰、可衡量，不与评价对象总体目标无关。”第十条（绩效评价标准） 明确指出：“绩效评价标准通常包括计划标准、行业标准、历史标准等，用于对绩效指标完成情况进行比较。”文件通篇强调绩效评价的客观、公正、科学。没有具象化的标准，就谈不上客观和公正。</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上述违反了《中共中央 国务院关于全面实施预算绩效管理的意见》（中发〔2018〕34号）。建立“预算决策有评估、预算编制有目标、预算执行有监控、预算完成有评价、评价结果有应用”的全过程预算绩效管理链条。在“预算编制有目标”和“预算完成有评价”环节，都要求设置清晰、量化、可考核的绩效指标和标准。未具象化的标准使得“目标”形同虚设，“评价”无法有效开展。</w:t>
      </w:r>
      <w:r>
        <w:rPr>
          <w:rFonts w:hint="eastAsia" w:ascii="仿宋" w:hAnsi="仿宋" w:eastAsia="仿宋" w:cs="仿宋"/>
          <w:b/>
          <w:bCs/>
          <w:sz w:val="32"/>
          <w:szCs w:val="32"/>
          <w:lang w:val="en-US" w:eastAsia="zh-CN"/>
        </w:rPr>
        <w:t>存在四类风险：一是评价主观随意：</w:t>
      </w:r>
      <w:r>
        <w:rPr>
          <w:rFonts w:hint="eastAsia" w:ascii="仿宋" w:hAnsi="仿宋" w:eastAsia="仿宋" w:cs="仿宋"/>
          <w:b w:val="0"/>
          <w:bCs w:val="0"/>
          <w:sz w:val="32"/>
          <w:szCs w:val="32"/>
          <w:lang w:val="en-US" w:eastAsia="zh-CN"/>
        </w:rPr>
        <w:t>评价结果严重依赖评价者的个人经验和主观判断，缺乏公信力。</w:t>
      </w:r>
      <w:r>
        <w:rPr>
          <w:rFonts w:hint="eastAsia" w:ascii="仿宋" w:hAnsi="仿宋" w:eastAsia="仿宋" w:cs="仿宋"/>
          <w:b/>
          <w:bCs/>
          <w:sz w:val="32"/>
          <w:szCs w:val="32"/>
          <w:lang w:val="en-US" w:eastAsia="zh-CN"/>
        </w:rPr>
        <w:t>二是资金效益低下：</w:t>
      </w:r>
      <w:r>
        <w:rPr>
          <w:rFonts w:hint="eastAsia" w:ascii="仿宋" w:hAnsi="仿宋" w:eastAsia="仿宋" w:cs="仿宋"/>
          <w:b w:val="0"/>
          <w:bCs w:val="0"/>
          <w:sz w:val="32"/>
          <w:szCs w:val="32"/>
          <w:lang w:val="en-US" w:eastAsia="zh-CN"/>
        </w:rPr>
        <w:t>由于目标模糊，项目执行容易偏离方向，无法确保财政资金“花在刀刃上”。</w:t>
      </w:r>
      <w:r>
        <w:rPr>
          <w:rFonts w:hint="eastAsia" w:ascii="仿宋" w:hAnsi="仿宋" w:eastAsia="仿宋" w:cs="仿宋"/>
          <w:b/>
          <w:bCs/>
          <w:sz w:val="32"/>
          <w:szCs w:val="32"/>
          <w:lang w:val="en-US" w:eastAsia="zh-CN"/>
        </w:rPr>
        <w:t>三是监督问责缺位：</w:t>
      </w:r>
      <w:r>
        <w:rPr>
          <w:rFonts w:hint="eastAsia" w:ascii="仿宋" w:hAnsi="仿宋" w:eastAsia="仿宋" w:cs="仿宋"/>
          <w:b w:val="0"/>
          <w:bCs w:val="0"/>
          <w:sz w:val="32"/>
          <w:szCs w:val="32"/>
          <w:lang w:val="en-US" w:eastAsia="zh-CN"/>
        </w:rPr>
        <w:t>因为缺乏明确的成败标准，导致“干好干坏一个样”，难以对项目执行单位和个人进行有效激励和约束。</w:t>
      </w:r>
      <w:r>
        <w:rPr>
          <w:rFonts w:hint="eastAsia" w:ascii="仿宋" w:hAnsi="仿宋" w:eastAsia="仿宋" w:cs="仿宋"/>
          <w:b/>
          <w:bCs/>
          <w:sz w:val="32"/>
          <w:szCs w:val="32"/>
          <w:lang w:val="en-US" w:eastAsia="zh-CN"/>
        </w:rPr>
        <w:t>四是滋生腐败风险：</w:t>
      </w:r>
      <w:r>
        <w:rPr>
          <w:rFonts w:hint="eastAsia" w:ascii="仿宋" w:hAnsi="仿宋" w:eastAsia="仿宋" w:cs="仿宋"/>
          <w:b w:val="0"/>
          <w:bCs w:val="0"/>
          <w:sz w:val="32"/>
          <w:szCs w:val="32"/>
          <w:lang w:val="en-US" w:eastAsia="zh-CN"/>
        </w:rPr>
        <w:t>为不达标的项目“蒙混过关”提供了空间，可能成为利益输送的温床。</w:t>
      </w:r>
    </w:p>
    <w:p w14:paraId="2AD1A1CC">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lang w:val="en-US" w:eastAsia="zh-CN"/>
        </w:rPr>
      </w:pPr>
    </w:p>
    <w:p w14:paraId="79F16310">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建议：从制度设计、过程管理和能力建设等多个层面入手。一是制度设计与指标设定阶段。强制推行SMART原则：S（具体的）：</w:t>
      </w:r>
      <w:r>
        <w:rPr>
          <w:rFonts w:hint="eastAsia" w:ascii="仿宋" w:hAnsi="仿宋" w:eastAsia="仿宋" w:cs="仿宋"/>
          <w:b w:val="0"/>
          <w:bCs w:val="0"/>
          <w:sz w:val="32"/>
          <w:szCs w:val="32"/>
          <w:lang w:val="en-US" w:eastAsia="zh-CN"/>
        </w:rPr>
        <w:t>目标必须明确具体，回答“要做什么、做到什么程度”的问题。例如，不能只说“改善环境”，而要说“新建日处理能力1000吨的污水处理站一座”。</w:t>
      </w:r>
      <w:r>
        <w:rPr>
          <w:rFonts w:hint="eastAsia" w:ascii="仿宋" w:hAnsi="仿宋" w:eastAsia="仿宋" w:cs="仿宋"/>
          <w:b/>
          <w:bCs/>
          <w:sz w:val="32"/>
          <w:szCs w:val="32"/>
          <w:lang w:val="en-US" w:eastAsia="zh-CN"/>
        </w:rPr>
        <w:t>M（可衡量的）：</w:t>
      </w:r>
      <w:r>
        <w:rPr>
          <w:rFonts w:hint="eastAsia" w:ascii="仿宋" w:hAnsi="仿宋" w:eastAsia="仿宋" w:cs="仿宋"/>
          <w:b w:val="0"/>
          <w:bCs w:val="0"/>
          <w:sz w:val="32"/>
          <w:szCs w:val="32"/>
          <w:lang w:val="en-US" w:eastAsia="zh-CN"/>
        </w:rPr>
        <w:t>指标必须是可量化的。例如，不能只说“提高群众满意度”，而要说“项目完成后，通过问卷调查，居民满意度达到90%以上”。</w:t>
      </w:r>
      <w:r>
        <w:rPr>
          <w:rFonts w:hint="eastAsia" w:ascii="仿宋" w:hAnsi="仿宋" w:eastAsia="仿宋" w:cs="仿宋"/>
          <w:b/>
          <w:bCs/>
          <w:sz w:val="32"/>
          <w:szCs w:val="32"/>
          <w:lang w:val="en-US" w:eastAsia="zh-CN"/>
        </w:rPr>
        <w:t>A（可实现的）：</w:t>
      </w:r>
      <w:r>
        <w:rPr>
          <w:rFonts w:hint="eastAsia" w:ascii="仿宋" w:hAnsi="仿宋" w:eastAsia="仿宋" w:cs="仿宋"/>
          <w:b w:val="0"/>
          <w:bCs w:val="0"/>
          <w:sz w:val="32"/>
          <w:szCs w:val="32"/>
          <w:lang w:val="en-US" w:eastAsia="zh-CN"/>
        </w:rPr>
        <w:t>目标在技术和预算范围内是可行的。R（相关的）：指标与项目的战略总目标高度相关。</w:t>
      </w:r>
      <w:r>
        <w:rPr>
          <w:rFonts w:hint="eastAsia" w:ascii="仿宋" w:hAnsi="仿宋" w:eastAsia="仿宋" w:cs="仿宋"/>
          <w:b/>
          <w:bCs/>
          <w:sz w:val="32"/>
          <w:szCs w:val="32"/>
          <w:lang w:val="en-US" w:eastAsia="zh-CN"/>
        </w:rPr>
        <w:t>T（有时限的）：</w:t>
      </w:r>
      <w:r>
        <w:rPr>
          <w:rFonts w:hint="eastAsia" w:ascii="仿宋" w:hAnsi="仿宋" w:eastAsia="仿宋" w:cs="仿宋"/>
          <w:b w:val="0"/>
          <w:bCs w:val="0"/>
          <w:sz w:val="32"/>
          <w:szCs w:val="32"/>
          <w:lang w:val="en-US" w:eastAsia="zh-CN"/>
        </w:rPr>
        <w:t>明确完成目标的具体时间点。建立分级指标体系：构建“一级指标（决策/过程/产出/效益）-二级指标-三级指标”的体系，将宏观目标逐级分解为具体、可考核的末级指标。</w:t>
      </w:r>
      <w:r>
        <w:rPr>
          <w:rFonts w:hint="eastAsia" w:ascii="仿宋" w:hAnsi="仿宋" w:eastAsia="仿宋" w:cs="仿宋"/>
          <w:b/>
          <w:bCs/>
          <w:sz w:val="32"/>
          <w:szCs w:val="32"/>
          <w:lang w:val="en-US" w:eastAsia="zh-CN"/>
        </w:rPr>
        <w:t>明确评价标准与证据来源：</w:t>
      </w:r>
      <w:r>
        <w:rPr>
          <w:rFonts w:hint="eastAsia" w:ascii="仿宋" w:hAnsi="仿宋" w:eastAsia="仿宋" w:cs="仿宋"/>
          <w:b w:val="0"/>
          <w:bCs w:val="0"/>
          <w:sz w:val="32"/>
          <w:szCs w:val="32"/>
          <w:lang w:val="en-US" w:eastAsia="zh-CN"/>
        </w:rPr>
        <w:t>为每一个末级指标设定明确的评价标准（如“优秀：达成值≥100%；良好：90%≤达成值&lt;100%……”），并规定验证该指标所需的具体证据材料（如审计报告、监测数据、调查问卷统计分析报告、现场照片等）。</w:t>
      </w:r>
      <w:r>
        <w:rPr>
          <w:rFonts w:hint="eastAsia" w:ascii="仿宋" w:hAnsi="仿宋" w:eastAsia="仿宋" w:cs="仿宋"/>
          <w:b/>
          <w:bCs/>
          <w:sz w:val="32"/>
          <w:szCs w:val="32"/>
          <w:lang w:val="en-US" w:eastAsia="zh-CN"/>
        </w:rPr>
        <w:t>二是过程管理与能力提升。加强培训与指导：</w:t>
      </w:r>
      <w:r>
        <w:rPr>
          <w:rFonts w:hint="eastAsia" w:ascii="仿宋" w:hAnsi="仿宋" w:eastAsia="仿宋" w:cs="仿宋"/>
          <w:b w:val="0"/>
          <w:bCs w:val="0"/>
          <w:sz w:val="32"/>
          <w:szCs w:val="32"/>
          <w:lang w:val="en-US" w:eastAsia="zh-CN"/>
        </w:rPr>
        <w:t>对项目单位和财政管理人员进行系统性培训，使其掌握绩效目标设定和指标量化的方法与技巧。</w:t>
      </w:r>
      <w:r>
        <w:rPr>
          <w:rFonts w:hint="eastAsia" w:ascii="仿宋" w:hAnsi="仿宋" w:eastAsia="仿宋" w:cs="仿宋"/>
          <w:b/>
          <w:bCs/>
          <w:sz w:val="32"/>
          <w:szCs w:val="32"/>
          <w:lang w:val="en-US" w:eastAsia="zh-CN"/>
        </w:rPr>
        <w:t>引入专家和第三方评估：</w:t>
      </w:r>
      <w:r>
        <w:rPr>
          <w:rFonts w:hint="eastAsia" w:ascii="仿宋" w:hAnsi="仿宋" w:eastAsia="仿宋" w:cs="仿宋"/>
          <w:b w:val="0"/>
          <w:bCs w:val="0"/>
          <w:sz w:val="32"/>
          <w:szCs w:val="32"/>
          <w:lang w:val="en-US" w:eastAsia="zh-CN"/>
        </w:rPr>
        <w:t>在项目立项和绩效目标审核阶段，引入行业专家和第三方专业机构参与论证，确保指标的科学性和可衡量性。</w:t>
      </w:r>
      <w:r>
        <w:rPr>
          <w:rFonts w:hint="eastAsia" w:ascii="仿宋" w:hAnsi="仿宋" w:eastAsia="仿宋" w:cs="仿宋"/>
          <w:b/>
          <w:bCs/>
          <w:sz w:val="32"/>
          <w:szCs w:val="32"/>
          <w:lang w:val="en-US" w:eastAsia="zh-CN"/>
        </w:rPr>
        <w:t>强化事前评审：</w:t>
      </w:r>
      <w:r>
        <w:rPr>
          <w:rFonts w:hint="eastAsia" w:ascii="仿宋" w:hAnsi="仿宋" w:eastAsia="仿宋" w:cs="仿宋"/>
          <w:b w:val="0"/>
          <w:bCs w:val="0"/>
          <w:sz w:val="32"/>
          <w:szCs w:val="32"/>
          <w:lang w:val="en-US" w:eastAsia="zh-CN"/>
        </w:rPr>
        <w:t>财政部门在项目预算审批时，应将“绩效目标的明确性和指标的具象化程度”作为核心审查内容，对不合格的一律退回修改，不予安排预算。</w:t>
      </w:r>
      <w:r>
        <w:rPr>
          <w:rFonts w:hint="eastAsia" w:ascii="仿宋" w:hAnsi="仿宋" w:eastAsia="仿宋" w:cs="仿宋"/>
          <w:b/>
          <w:bCs/>
          <w:sz w:val="32"/>
          <w:szCs w:val="32"/>
          <w:lang w:val="en-US" w:eastAsia="zh-CN"/>
        </w:rPr>
        <w:t>三是结果应用与持续改进。公开透明：</w:t>
      </w:r>
      <w:r>
        <w:rPr>
          <w:rFonts w:hint="eastAsia" w:ascii="仿宋" w:hAnsi="仿宋" w:eastAsia="仿宋" w:cs="仿宋"/>
          <w:b w:val="0"/>
          <w:bCs w:val="0"/>
          <w:sz w:val="32"/>
          <w:szCs w:val="32"/>
          <w:lang w:val="en-US" w:eastAsia="zh-CN"/>
        </w:rPr>
        <w:t>将项目的绩效目标、具象化的验收标准以及最终的绩效评价结果向社会公开，接受公众和媒体的监督。</w:t>
      </w:r>
      <w:r>
        <w:rPr>
          <w:rFonts w:hint="eastAsia" w:ascii="仿宋" w:hAnsi="仿宋" w:eastAsia="仿宋" w:cs="仿宋"/>
          <w:b/>
          <w:bCs/>
          <w:sz w:val="32"/>
          <w:szCs w:val="32"/>
          <w:lang w:val="en-US" w:eastAsia="zh-CN"/>
        </w:rPr>
        <w:t>硬化激励约束：</w:t>
      </w:r>
      <w:r>
        <w:rPr>
          <w:rFonts w:hint="eastAsia" w:ascii="仿宋" w:hAnsi="仿宋" w:eastAsia="仿宋" w:cs="仿宋"/>
          <w:b w:val="0"/>
          <w:bCs w:val="0"/>
          <w:sz w:val="32"/>
          <w:szCs w:val="32"/>
          <w:lang w:val="en-US" w:eastAsia="zh-CN"/>
        </w:rPr>
        <w:t>将评价结果与下一年度的预算安排、政策调整以及干部考核问责直接挂钩，形成“谁用款、谁负责”的倒逼机制。</w:t>
      </w:r>
      <w:r>
        <w:rPr>
          <w:rFonts w:hint="eastAsia" w:ascii="仿宋" w:hAnsi="仿宋" w:eastAsia="仿宋" w:cs="仿宋"/>
          <w:b/>
          <w:bCs/>
          <w:sz w:val="32"/>
          <w:szCs w:val="32"/>
          <w:lang w:val="en-US" w:eastAsia="zh-CN"/>
        </w:rPr>
        <w:t>建立反馈闭环：</w:t>
      </w:r>
      <w:r>
        <w:rPr>
          <w:rFonts w:hint="eastAsia" w:ascii="仿宋" w:hAnsi="仿宋" w:eastAsia="仿宋" w:cs="仿宋"/>
          <w:b w:val="0"/>
          <w:bCs w:val="0"/>
          <w:sz w:val="32"/>
          <w:szCs w:val="32"/>
          <w:lang w:val="en-US" w:eastAsia="zh-CN"/>
        </w:rPr>
        <w:t>通过实践检验，不断修订和完善各类项目的共性绩效指标库和评价标准，推动绩效管理水平持续提升。牢固树立绩效理念，通过制度化、标准化、专业化的方法，将每一个绩效目标都转化为清晰、可衡量、可验证的具体标准，从而真正实现“花钱必问效、无效必问责”的改革目标。</w:t>
      </w:r>
    </w:p>
    <w:p w14:paraId="427BF47A">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4.曾退回2021-2023的三八过节物资款。询问原因为超标发放。询问单独设置了工会账套，但2024年的三八费用未通过工会单独核算，2024年3月9号凭证通过国库支付1,316.00元。相关人员未回复关于三八退款及文件依据标准。</w:t>
      </w:r>
    </w:p>
    <w:p w14:paraId="79F75590">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上述违反了《基层工会经费收支管理办法》（总工办发〔2017〕32号/工总财〔2017〕24号）“三八”妇女节不属于法定节日，不能以此为由发放慰问福利；文体活动纪念品人均不得超过*元（具体标准依地方细则）。</w:t>
      </w:r>
      <w:r>
        <w:rPr>
          <w:rFonts w:hint="eastAsia" w:ascii="仿宋" w:hAnsi="仿宋" w:eastAsia="仿宋" w:cs="仿宋"/>
          <w:b w:val="0"/>
          <w:bCs w:val="0"/>
          <w:sz w:val="32"/>
          <w:szCs w:val="32"/>
          <w:lang w:val="en-US" w:eastAsia="zh-CN"/>
        </w:rPr>
        <w:tab/>
      </w:r>
      <w:r>
        <w:rPr>
          <w:rFonts w:hint="eastAsia" w:ascii="仿宋" w:hAnsi="仿宋" w:eastAsia="仿宋" w:cs="仿宋"/>
          <w:b w:val="0"/>
          <w:bCs w:val="0"/>
          <w:sz w:val="32"/>
          <w:szCs w:val="32"/>
          <w:lang w:val="en-US" w:eastAsia="zh-CN"/>
        </w:rPr>
        <w:t>这是全国总工会对工会经费使用的基本规范，明确限制了“三八”节福利的发放形式和标准。</w:t>
      </w:r>
    </w:p>
    <w:p w14:paraId="550A3B72">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建议：一是加强政策学习。</w:t>
      </w:r>
      <w:r>
        <w:rPr>
          <w:rFonts w:hint="eastAsia" w:ascii="仿宋" w:hAnsi="仿宋" w:eastAsia="仿宋" w:cs="仿宋"/>
          <w:b w:val="0"/>
          <w:bCs w:val="0"/>
          <w:sz w:val="32"/>
          <w:szCs w:val="32"/>
          <w:lang w:val="en-US" w:eastAsia="zh-CN"/>
        </w:rPr>
        <w:t>组织工会、财务、人力资源等部门相关人员专题学习《基层工会经费收支管理办法》及地方细则，明确“三八”节仅能通过组织活动发放有限纪念品的规定。</w:t>
      </w:r>
      <w:r>
        <w:rPr>
          <w:rFonts w:hint="eastAsia" w:ascii="仿宋" w:hAnsi="仿宋" w:eastAsia="仿宋" w:cs="仿宋"/>
          <w:b/>
          <w:bCs/>
          <w:sz w:val="32"/>
          <w:szCs w:val="32"/>
          <w:lang w:val="en-US" w:eastAsia="zh-CN"/>
        </w:rPr>
        <w:t>二是规范未来操作。</w:t>
      </w:r>
      <w:r>
        <w:rPr>
          <w:rFonts w:hint="eastAsia" w:ascii="仿宋" w:hAnsi="仿宋" w:eastAsia="仿宋" w:cs="仿宋"/>
          <w:b w:val="0"/>
          <w:bCs w:val="0"/>
          <w:sz w:val="32"/>
          <w:szCs w:val="32"/>
          <w:lang w:val="en-US" w:eastAsia="zh-CN"/>
        </w:rPr>
        <w:t>今后“三八”节福利应通过组织文体活动（如讲座、竞赛等）形式发放，纪念品人均价值严格控制在*元以内，并保留活动方案、签到表、发票、签领单等全套凭证。</w:t>
      </w:r>
      <w:r>
        <w:rPr>
          <w:rFonts w:hint="eastAsia" w:ascii="仿宋" w:hAnsi="仿宋" w:eastAsia="仿宋" w:cs="仿宋"/>
          <w:b/>
          <w:bCs/>
          <w:sz w:val="32"/>
          <w:szCs w:val="32"/>
          <w:lang w:val="en-US" w:eastAsia="zh-CN"/>
        </w:rPr>
        <w:t>三是健全内控流程。</w:t>
      </w:r>
      <w:r>
        <w:rPr>
          <w:rFonts w:hint="eastAsia" w:ascii="仿宋" w:hAnsi="仿宋" w:eastAsia="仿宋" w:cs="仿宋"/>
          <w:b w:val="0"/>
          <w:bCs w:val="0"/>
          <w:sz w:val="32"/>
          <w:szCs w:val="32"/>
          <w:lang w:val="en-US" w:eastAsia="zh-CN"/>
        </w:rPr>
        <w:t>建立“先预算、后支出”的审批流程，对大额支出实行分级审批，并定期进行内部“经费健康体检”，提前规避风险。</w:t>
      </w:r>
      <w:r>
        <w:rPr>
          <w:rFonts w:hint="eastAsia" w:ascii="仿宋" w:hAnsi="仿宋" w:eastAsia="仿宋" w:cs="仿宋"/>
          <w:b/>
          <w:bCs/>
          <w:sz w:val="32"/>
          <w:szCs w:val="32"/>
          <w:lang w:val="en-US" w:eastAsia="zh-CN"/>
        </w:rPr>
        <w:t>四是咨询上级工会。</w:t>
      </w:r>
      <w:r>
        <w:rPr>
          <w:rFonts w:hint="eastAsia" w:ascii="仿宋" w:hAnsi="仿宋" w:eastAsia="仿宋" w:cs="仿宋"/>
          <w:b w:val="0"/>
          <w:bCs w:val="0"/>
          <w:sz w:val="32"/>
          <w:szCs w:val="32"/>
          <w:lang w:val="en-US" w:eastAsia="zh-CN"/>
        </w:rPr>
        <w:t>在执行中遇到不确定的问题，应及时向上级工会或审计部门咨询，确保操作符合本地最新政策。</w:t>
      </w:r>
    </w:p>
    <w:p w14:paraId="34AA7B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 w:hAnsi="仿宋" w:eastAsia="仿宋" w:cs="仿宋"/>
          <w:b/>
          <w:bCs/>
          <w:sz w:val="32"/>
          <w:szCs w:val="32"/>
          <w:lang w:val="en-US" w:eastAsia="zh-CN"/>
        </w:rPr>
      </w:pPr>
      <w:bookmarkStart w:id="57" w:name="_Toc363"/>
      <w:r>
        <w:rPr>
          <w:rFonts w:hint="eastAsia" w:ascii="楷体" w:hAnsi="楷体" w:eastAsia="楷体" w:cs="楷体"/>
          <w:b/>
          <w:bCs/>
          <w:sz w:val="32"/>
          <w:szCs w:val="32"/>
          <w:lang w:val="en-US" w:eastAsia="zh-CN"/>
        </w:rPr>
        <w:t>（二）管理程序方面存在的问题及建议</w:t>
      </w:r>
      <w:bookmarkEnd w:id="56"/>
      <w:bookmarkEnd w:id="57"/>
    </w:p>
    <w:p w14:paraId="03310DE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bookmarkStart w:id="58" w:name="_Toc26205"/>
      <w:bookmarkStart w:id="59" w:name="_Toc16466"/>
      <w:r>
        <w:rPr>
          <w:rFonts w:hint="eastAsia" w:ascii="仿宋" w:hAnsi="仿宋" w:eastAsia="仿宋" w:cs="仿宋"/>
          <w:b/>
          <w:bCs/>
          <w:sz w:val="32"/>
          <w:szCs w:val="32"/>
          <w:lang w:val="en-US" w:eastAsia="zh-CN"/>
        </w:rPr>
        <w:t>1.业务发生时间早于政府采购协议签订时间。</w:t>
      </w:r>
    </w:p>
    <w:p w14:paraId="3A42837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上述违反了《中华人民共和国政府采购法》</w:t>
      </w:r>
    </w:p>
    <w:p w14:paraId="1CC7B9B8">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第四十三条：“政府采购合同适用合同法。采购人和供应商之间的权利和义务，应当按照平等、自愿的原则以合同方式约定。”第四十四条：“</w:t>
      </w:r>
      <w:r>
        <w:rPr>
          <w:rFonts w:hint="eastAsia" w:ascii="仿宋" w:hAnsi="仿宋" w:eastAsia="仿宋" w:cs="仿宋"/>
          <w:b/>
          <w:bCs/>
          <w:sz w:val="32"/>
          <w:szCs w:val="32"/>
          <w:lang w:val="en-US" w:eastAsia="zh-CN"/>
        </w:rPr>
        <w:t>政府采购合同应当采用书面形式</w:t>
      </w:r>
      <w:r>
        <w:rPr>
          <w:rFonts w:hint="eastAsia" w:ascii="仿宋" w:hAnsi="仿宋" w:eastAsia="仿宋" w:cs="仿宋"/>
          <w:b w:val="0"/>
          <w:bCs w:val="0"/>
          <w:sz w:val="32"/>
          <w:szCs w:val="32"/>
          <w:lang w:val="en-US" w:eastAsia="zh-CN"/>
        </w:rPr>
        <w:t>。”</w:t>
      </w:r>
    </w:p>
    <w:p w14:paraId="1B2B427B">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核心解读：</w:t>
      </w:r>
      <w:r>
        <w:rPr>
          <w:rFonts w:hint="eastAsia" w:ascii="仿宋" w:hAnsi="仿宋" w:eastAsia="仿宋" w:cs="仿宋"/>
          <w:b w:val="0"/>
          <w:bCs w:val="0"/>
          <w:sz w:val="32"/>
          <w:szCs w:val="32"/>
          <w:lang w:val="en-US" w:eastAsia="zh-CN"/>
        </w:rPr>
        <w:t>法律明确规定，采购人与供应商的权利义务必须通过书面合同来约定。在合同签订之前，双方的法律关系并未正式确立。提前开展业务，意味着在没有任何法律文件约束的情况下进行了采购活动，完全违背了政府采购</w:t>
      </w:r>
      <w:r>
        <w:rPr>
          <w:rFonts w:hint="eastAsia" w:ascii="仿宋" w:hAnsi="仿宋" w:eastAsia="仿宋" w:cs="仿宋"/>
          <w:b/>
          <w:bCs/>
          <w:sz w:val="32"/>
          <w:szCs w:val="32"/>
          <w:lang w:val="en-US" w:eastAsia="zh-CN"/>
        </w:rPr>
        <w:t>“按合同办事”</w:t>
      </w:r>
      <w:r>
        <w:rPr>
          <w:rFonts w:hint="eastAsia" w:ascii="仿宋" w:hAnsi="仿宋" w:eastAsia="仿宋" w:cs="仿宋"/>
          <w:b w:val="0"/>
          <w:bCs w:val="0"/>
          <w:sz w:val="32"/>
          <w:szCs w:val="32"/>
          <w:lang w:val="en-US" w:eastAsia="zh-CN"/>
        </w:rPr>
        <w:t>的基本原则。</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上述违反了《中华人民共和国政府采购法实施条例》第六十七条。详细列举了未按照政府采购法和本条例规定执行的各种违法情形。虽然未直接提及</w:t>
      </w:r>
      <w:r>
        <w:rPr>
          <w:rFonts w:hint="eastAsia" w:ascii="仿宋" w:hAnsi="仿宋" w:eastAsia="仿宋" w:cs="仿宋"/>
          <w:b/>
          <w:bCs/>
          <w:sz w:val="32"/>
          <w:szCs w:val="32"/>
          <w:lang w:val="en-US" w:eastAsia="zh-CN"/>
        </w:rPr>
        <w:t>“合同倒签”</w:t>
      </w:r>
      <w:r>
        <w:rPr>
          <w:rFonts w:hint="eastAsia" w:ascii="仿宋" w:hAnsi="仿宋" w:eastAsia="仿宋" w:cs="仿宋"/>
          <w:b w:val="0"/>
          <w:bCs w:val="0"/>
          <w:sz w:val="32"/>
          <w:szCs w:val="32"/>
          <w:lang w:val="en-US" w:eastAsia="zh-CN"/>
        </w:rPr>
        <w:t>，但</w:t>
      </w:r>
      <w:r>
        <w:rPr>
          <w:rFonts w:hint="eastAsia" w:ascii="仿宋" w:hAnsi="仿宋" w:eastAsia="仿宋" w:cs="仿宋"/>
          <w:b/>
          <w:bCs/>
          <w:sz w:val="32"/>
          <w:szCs w:val="32"/>
          <w:lang w:val="en-US" w:eastAsia="zh-CN"/>
        </w:rPr>
        <w:t>“先干活后补合同”</w:t>
      </w:r>
      <w:r>
        <w:rPr>
          <w:rFonts w:hint="eastAsia" w:ascii="仿宋" w:hAnsi="仿宋" w:eastAsia="仿宋" w:cs="仿宋"/>
          <w:b w:val="0"/>
          <w:bCs w:val="0"/>
          <w:sz w:val="32"/>
          <w:szCs w:val="32"/>
          <w:lang w:val="en-US" w:eastAsia="zh-CN"/>
        </w:rPr>
        <w:t>本质上属于规避政府采购法定程序的行为，属于广义的违法违规行为。</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w:t>
      </w:r>
      <w:r>
        <w:rPr>
          <w:rFonts w:hint="eastAsia" w:ascii="仿宋" w:hAnsi="仿宋" w:eastAsia="仿宋" w:cs="仿宋"/>
          <w:b/>
          <w:bCs/>
          <w:sz w:val="32"/>
          <w:szCs w:val="32"/>
          <w:lang w:val="en-US" w:eastAsia="zh-CN"/>
        </w:rPr>
        <w:t>《政府采购需求管理办法》（财库〔2021〕22号）。</w:t>
      </w:r>
      <w:r>
        <w:rPr>
          <w:rFonts w:hint="eastAsia" w:ascii="仿宋" w:hAnsi="仿宋" w:eastAsia="仿宋" w:cs="仿宋"/>
          <w:b w:val="0"/>
          <w:bCs w:val="0"/>
          <w:sz w:val="32"/>
          <w:szCs w:val="32"/>
          <w:lang w:val="en-US" w:eastAsia="zh-CN"/>
        </w:rPr>
        <w:t>该办法强调，采购需求管理是政府采购管理的起点，合同是落实采购需求的终点。所有采购活动都应在确定的采购需求框架下，通过规范的采购程序，最终以合同形式固化。业务先于合同，导致整个采购流程本末倒置。</w:t>
      </w:r>
      <w:r>
        <w:rPr>
          <w:rFonts w:hint="eastAsia" w:ascii="仿宋" w:hAnsi="仿宋" w:eastAsia="仿宋" w:cs="仿宋"/>
          <w:b/>
          <w:bCs/>
          <w:sz w:val="32"/>
          <w:szCs w:val="32"/>
          <w:lang w:val="en-US" w:eastAsia="zh-CN"/>
        </w:rPr>
        <w:t>三类风险分析。</w:t>
      </w:r>
    </w:p>
    <w:p w14:paraId="5EDE8312">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一是程序违法风险。</w:t>
      </w:r>
      <w:r>
        <w:rPr>
          <w:rFonts w:hint="eastAsia" w:ascii="仿宋" w:hAnsi="仿宋" w:eastAsia="仿宋" w:cs="仿宋"/>
          <w:b w:val="0"/>
          <w:bCs w:val="0"/>
          <w:sz w:val="32"/>
          <w:szCs w:val="32"/>
          <w:lang w:val="en-US" w:eastAsia="zh-CN"/>
        </w:rPr>
        <w:t>这是最根本的风险。它使得整个政府采购程序（公开招标、竞争性谈判、询价等）形同虚设，因为实际执行已经提前发生，采购结果在程序完成前就已内定，严重损害了政府采购的公开、公平、公正原则。</w:t>
      </w:r>
      <w:r>
        <w:rPr>
          <w:rFonts w:hint="eastAsia" w:ascii="仿宋" w:hAnsi="仿宋" w:eastAsia="仿宋" w:cs="仿宋"/>
          <w:b/>
          <w:bCs/>
          <w:sz w:val="32"/>
          <w:szCs w:val="32"/>
          <w:lang w:val="en-US" w:eastAsia="zh-CN"/>
        </w:rPr>
        <w:t>二是审计风险。</w:t>
      </w:r>
      <w:r>
        <w:rPr>
          <w:rFonts w:hint="eastAsia" w:ascii="仿宋" w:hAnsi="仿宋" w:eastAsia="仿宋" w:cs="仿宋"/>
          <w:b w:val="0"/>
          <w:bCs w:val="0"/>
          <w:sz w:val="32"/>
          <w:szCs w:val="32"/>
          <w:lang w:val="en-US" w:eastAsia="zh-CN"/>
        </w:rPr>
        <w:t>在审计中，此类合同是重点审查对象。审计人员会通过比对发票日期、验收日期和合同签订日期来发现此类问题。一旦发现，该笔支出很可能被认定为不合规支出，要求整改甚至追回资金，并在审计报告中作为重大问题披露</w:t>
      </w:r>
      <w:r>
        <w:rPr>
          <w:rFonts w:hint="eastAsia" w:ascii="仿宋" w:hAnsi="仿宋" w:eastAsia="仿宋" w:cs="仿宋"/>
          <w:b/>
          <w:bCs/>
          <w:sz w:val="32"/>
          <w:szCs w:val="32"/>
          <w:lang w:val="en-US" w:eastAsia="zh-CN"/>
        </w:rPr>
        <w:t>。三是合同效力与资金安全风险。</w:t>
      </w:r>
      <w:r>
        <w:rPr>
          <w:rFonts w:hint="eastAsia" w:ascii="仿宋" w:hAnsi="仿宋" w:eastAsia="仿宋" w:cs="仿宋"/>
          <w:b w:val="0"/>
          <w:bCs w:val="0"/>
          <w:sz w:val="32"/>
          <w:szCs w:val="32"/>
          <w:lang w:val="en-US" w:eastAsia="zh-CN"/>
        </w:rPr>
        <w:t>合同效力存疑，由于合同签订前的业务行为缺乏法律依据，一旦发生纠纷（如服务质量、价格争议），合同双方的权利义务难以界定，合同本身的效力可能受到挑战。资金支付无依据，财政资金支付必须以有效的合同为依据。合同签订前的业务，其费用支付缺乏合同支持，属于无依据支付，违反了财政资金管理的规定。</w:t>
      </w:r>
    </w:p>
    <w:p w14:paraId="4B8116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lang w:val="en-US" w:eastAsia="zh-CN"/>
        </w:rPr>
        <w:t>建议：应着重于从源头和流程上杜绝此类现象，推动采购活动回归“程序优先、合同为据”的法治轨道。</w:t>
      </w:r>
      <w:r>
        <w:rPr>
          <w:rFonts w:hint="eastAsia" w:ascii="仿宋" w:hAnsi="仿宋" w:eastAsia="仿宋" w:cs="仿宋"/>
          <w:b w:val="0"/>
          <w:bCs w:val="0"/>
          <w:sz w:val="32"/>
          <w:szCs w:val="32"/>
          <w:highlight w:val="none"/>
          <w:lang w:val="en-US" w:eastAsia="zh-CN"/>
        </w:rPr>
        <w:t>若已发生2024年先使用后补合同的情况，</w:t>
      </w:r>
      <w:r>
        <w:rPr>
          <w:rFonts w:hint="eastAsia" w:ascii="仿宋" w:hAnsi="仿宋" w:eastAsia="仿宋" w:cs="仿宋"/>
          <w:b/>
          <w:bCs/>
          <w:sz w:val="32"/>
          <w:szCs w:val="32"/>
          <w:highlight w:val="none"/>
          <w:lang w:val="en-US" w:eastAsia="zh-CN"/>
        </w:rPr>
        <w:t>补充书面说明</w:t>
      </w:r>
      <w:r>
        <w:rPr>
          <w:rFonts w:hint="eastAsia" w:ascii="仿宋" w:hAnsi="仿宋" w:eastAsia="仿宋" w:cs="仿宋"/>
          <w:b w:val="0"/>
          <w:bCs w:val="0"/>
          <w:sz w:val="32"/>
          <w:szCs w:val="32"/>
          <w:highlight w:val="none"/>
          <w:lang w:val="en-US" w:eastAsia="zh-CN"/>
        </w:rPr>
        <w:t>，向上级部门说明原因，完善内部审批记录。完善制度，</w:t>
      </w:r>
      <w:r>
        <w:rPr>
          <w:rFonts w:hint="eastAsia" w:ascii="仿宋" w:hAnsi="仿宋" w:eastAsia="仿宋" w:cs="仿宋"/>
          <w:b/>
          <w:bCs/>
          <w:sz w:val="32"/>
          <w:szCs w:val="32"/>
          <w:highlight w:val="none"/>
          <w:lang w:val="en-US" w:eastAsia="zh-CN"/>
        </w:rPr>
        <w:t>建立框架协议或定点采购机制，</w:t>
      </w:r>
      <w:r>
        <w:rPr>
          <w:rFonts w:hint="eastAsia" w:ascii="仿宋" w:hAnsi="仿宋" w:eastAsia="仿宋" w:cs="仿宋"/>
          <w:b w:val="0"/>
          <w:bCs w:val="0"/>
          <w:sz w:val="32"/>
          <w:szCs w:val="32"/>
          <w:highlight w:val="none"/>
          <w:lang w:val="en-US" w:eastAsia="zh-CN"/>
        </w:rPr>
        <w:t>避免再次出现程序倒置，既能满足零星采购灵活性，又能确保程序合规。具体操作需结合当地财政部门实施细则。</w:t>
      </w:r>
      <w:r>
        <w:rPr>
          <w:rFonts w:hint="eastAsia" w:ascii="仿宋" w:hAnsi="仿宋" w:eastAsia="仿宋" w:cs="仿宋"/>
          <w:b/>
          <w:bCs/>
          <w:sz w:val="32"/>
          <w:szCs w:val="32"/>
          <w:highlight w:val="none"/>
          <w:lang w:val="en-US" w:eastAsia="zh-CN"/>
        </w:rPr>
        <w:t>方案1：采用“框架协议+订单”模式。适用场景：</w:t>
      </w:r>
      <w:r>
        <w:rPr>
          <w:rFonts w:hint="eastAsia" w:ascii="仿宋" w:hAnsi="仿宋" w:eastAsia="仿宋" w:cs="仿宋"/>
          <w:b w:val="0"/>
          <w:bCs w:val="0"/>
          <w:sz w:val="32"/>
          <w:szCs w:val="32"/>
          <w:highlight w:val="none"/>
          <w:lang w:val="en-US" w:eastAsia="zh-CN"/>
        </w:rPr>
        <w:t>需求数量不确定，但采购频次较高。</w:t>
      </w:r>
      <w:r>
        <w:rPr>
          <w:rFonts w:hint="eastAsia" w:ascii="仿宋" w:hAnsi="仿宋" w:eastAsia="仿宋" w:cs="仿宋"/>
          <w:b/>
          <w:bCs/>
          <w:sz w:val="32"/>
          <w:szCs w:val="32"/>
          <w:highlight w:val="none"/>
          <w:lang w:val="en-US" w:eastAsia="zh-CN"/>
        </w:rPr>
        <w:t>操作步骤：</w:t>
      </w:r>
      <w:r>
        <w:rPr>
          <w:rFonts w:hint="eastAsia" w:ascii="仿宋" w:hAnsi="仿宋" w:eastAsia="仿宋" w:cs="仿宋"/>
          <w:b w:val="0"/>
          <w:bCs w:val="0"/>
          <w:sz w:val="32"/>
          <w:szCs w:val="32"/>
          <w:highlight w:val="none"/>
          <w:lang w:val="en-US" w:eastAsia="zh-CN"/>
        </w:rPr>
        <w:t>提前签订框架协议（2024年初），通过公开竞争程序确定供应商，约定商品目录、单价、服务条款等，协议有效期1年。</w:t>
      </w:r>
      <w:r>
        <w:rPr>
          <w:rFonts w:hint="eastAsia" w:ascii="仿宋" w:hAnsi="仿宋" w:eastAsia="仿宋" w:cs="仿宋"/>
          <w:b/>
          <w:bCs/>
          <w:sz w:val="32"/>
          <w:szCs w:val="32"/>
          <w:highlight w:val="none"/>
          <w:lang w:val="en-US" w:eastAsia="zh-CN"/>
        </w:rPr>
        <w:t>法律依据：</w:t>
      </w:r>
      <w:r>
        <w:rPr>
          <w:rFonts w:hint="eastAsia" w:ascii="仿宋" w:hAnsi="仿宋" w:eastAsia="仿宋" w:cs="仿宋"/>
          <w:b w:val="0"/>
          <w:bCs w:val="0"/>
          <w:sz w:val="32"/>
          <w:szCs w:val="32"/>
          <w:highlight w:val="none"/>
          <w:lang w:val="en-US" w:eastAsia="zh-CN"/>
        </w:rPr>
        <w:t>《政府采购框架协议采购方式管理暂行办法》（财政部令第110号）。</w:t>
      </w:r>
      <w:r>
        <w:rPr>
          <w:rFonts w:hint="eastAsia" w:ascii="仿宋" w:hAnsi="仿宋" w:eastAsia="仿宋" w:cs="仿宋"/>
          <w:b/>
          <w:bCs/>
          <w:sz w:val="32"/>
          <w:szCs w:val="32"/>
          <w:highlight w:val="none"/>
          <w:lang w:val="en-US" w:eastAsia="zh-CN"/>
        </w:rPr>
        <w:t>按需下发订单：</w:t>
      </w:r>
      <w:r>
        <w:rPr>
          <w:rFonts w:hint="eastAsia" w:ascii="仿宋" w:hAnsi="仿宋" w:eastAsia="仿宋" w:cs="仿宋"/>
          <w:b w:val="0"/>
          <w:bCs w:val="0"/>
          <w:sz w:val="32"/>
          <w:szCs w:val="32"/>
          <w:highlight w:val="none"/>
          <w:lang w:val="en-US" w:eastAsia="zh-CN"/>
        </w:rPr>
        <w:t>在实际需要时，根据框架协议下达订单，无需重复签订合同。</w:t>
      </w:r>
      <w:r>
        <w:rPr>
          <w:rFonts w:hint="eastAsia" w:ascii="仿宋" w:hAnsi="仿宋" w:eastAsia="仿宋" w:cs="仿宋"/>
          <w:b/>
          <w:bCs/>
          <w:sz w:val="32"/>
          <w:szCs w:val="32"/>
          <w:highlight w:val="none"/>
          <w:lang w:val="en-US" w:eastAsia="zh-CN"/>
        </w:rPr>
        <w:t>验收与付款：</w:t>
      </w:r>
      <w:r>
        <w:rPr>
          <w:rFonts w:hint="eastAsia" w:ascii="仿宋" w:hAnsi="仿宋" w:eastAsia="仿宋" w:cs="仿宋"/>
          <w:b w:val="0"/>
          <w:bCs w:val="0"/>
          <w:sz w:val="32"/>
          <w:szCs w:val="32"/>
          <w:highlight w:val="none"/>
          <w:lang w:val="en-US" w:eastAsia="zh-CN"/>
        </w:rPr>
        <w:t>每笔订单单独验收，按协议约定周期（如季度）集中付款。</w:t>
      </w:r>
      <w:r>
        <w:rPr>
          <w:rFonts w:hint="eastAsia" w:ascii="仿宋" w:hAnsi="仿宋" w:eastAsia="仿宋" w:cs="仿宋"/>
          <w:b/>
          <w:bCs/>
          <w:sz w:val="32"/>
          <w:szCs w:val="32"/>
          <w:highlight w:val="none"/>
          <w:lang w:val="en-US" w:eastAsia="zh-CN"/>
        </w:rPr>
        <w:t>方案2：小额零星采购简化程序。适用场景：</w:t>
      </w:r>
      <w:r>
        <w:rPr>
          <w:rFonts w:hint="eastAsia" w:ascii="仿宋" w:hAnsi="仿宋" w:eastAsia="仿宋" w:cs="仿宋"/>
          <w:b w:val="0"/>
          <w:bCs w:val="0"/>
          <w:sz w:val="32"/>
          <w:szCs w:val="32"/>
          <w:highlight w:val="none"/>
          <w:lang w:val="en-US" w:eastAsia="zh-CN"/>
        </w:rPr>
        <w:t>单次采购金额极低（如低于当地分散采购限额，通常为30万元以下）。</w:t>
      </w:r>
      <w:r>
        <w:rPr>
          <w:rFonts w:hint="eastAsia" w:ascii="仿宋" w:hAnsi="仿宋" w:eastAsia="仿宋" w:cs="仿宋"/>
          <w:b/>
          <w:bCs/>
          <w:sz w:val="32"/>
          <w:szCs w:val="32"/>
          <w:highlight w:val="none"/>
          <w:lang w:val="en-US" w:eastAsia="zh-CN"/>
        </w:rPr>
        <w:t>操作步骤：提前备案采购计划，</w:t>
      </w:r>
      <w:r>
        <w:rPr>
          <w:rFonts w:hint="eastAsia" w:ascii="仿宋" w:hAnsi="仿宋" w:eastAsia="仿宋" w:cs="仿宋"/>
          <w:b w:val="0"/>
          <w:bCs w:val="0"/>
          <w:sz w:val="32"/>
          <w:szCs w:val="32"/>
          <w:highlight w:val="none"/>
          <w:lang w:val="en-US" w:eastAsia="zh-CN"/>
        </w:rPr>
        <w:t>在财政部门备案年度零星采购预算及标准。</w:t>
      </w:r>
    </w:p>
    <w:p w14:paraId="539B94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highlight w:val="none"/>
          <w:lang w:val="en-US" w:eastAsia="zh-CN"/>
        </w:rPr>
        <w:t>通过定点供应商采购，</w:t>
      </w:r>
      <w:r>
        <w:rPr>
          <w:rFonts w:hint="eastAsia" w:ascii="仿宋" w:hAnsi="仿宋" w:eastAsia="仿宋" w:cs="仿宋"/>
          <w:b w:val="0"/>
          <w:bCs w:val="0"/>
          <w:sz w:val="32"/>
          <w:szCs w:val="32"/>
          <w:highlight w:val="none"/>
          <w:lang w:val="en-US" w:eastAsia="zh-CN"/>
        </w:rPr>
        <w:t>选择政府采购定点供应商，直接按定点价格采购。</w:t>
      </w:r>
      <w:r>
        <w:rPr>
          <w:rFonts w:hint="eastAsia" w:ascii="仿宋" w:hAnsi="仿宋" w:eastAsia="仿宋" w:cs="仿宋"/>
          <w:b/>
          <w:bCs/>
          <w:sz w:val="32"/>
          <w:szCs w:val="32"/>
          <w:highlight w:val="none"/>
          <w:lang w:val="en-US" w:eastAsia="zh-CN"/>
        </w:rPr>
        <w:t>即时验收并留存记录，</w:t>
      </w:r>
      <w:r>
        <w:rPr>
          <w:rFonts w:hint="eastAsia" w:ascii="仿宋" w:hAnsi="仿宋" w:eastAsia="仿宋" w:cs="仿宋"/>
          <w:b w:val="0"/>
          <w:bCs w:val="0"/>
          <w:sz w:val="32"/>
          <w:szCs w:val="32"/>
          <w:highlight w:val="none"/>
          <w:lang w:val="en-US" w:eastAsia="zh-CN"/>
        </w:rPr>
        <w:t>每笔采购需有验收单，定期（如按月）汇总签订结算合同并付款。</w:t>
      </w:r>
      <w:r>
        <w:rPr>
          <w:rFonts w:hint="eastAsia" w:ascii="仿宋" w:hAnsi="仿宋" w:eastAsia="仿宋" w:cs="仿宋"/>
          <w:b/>
          <w:bCs/>
          <w:sz w:val="32"/>
          <w:szCs w:val="32"/>
          <w:highlight w:val="none"/>
          <w:lang w:val="en-US" w:eastAsia="zh-CN"/>
        </w:rPr>
        <w:t>方案3：预估需求+分批履行。</w:t>
      </w:r>
      <w:r>
        <w:rPr>
          <w:rFonts w:hint="eastAsia" w:ascii="仿宋" w:hAnsi="仿宋" w:eastAsia="仿宋" w:cs="仿宋"/>
          <w:b w:val="0"/>
          <w:bCs w:val="0"/>
          <w:sz w:val="32"/>
          <w:szCs w:val="32"/>
          <w:highlight w:val="none"/>
          <w:lang w:val="en-US" w:eastAsia="zh-CN"/>
        </w:rPr>
        <w:t>若需求可部分预估，签订合同时明确“预估总量+允许浮动比例”（如±20%），实际采购量按需分批下达，但总额不超过合同上限。</w:t>
      </w:r>
    </w:p>
    <w:p w14:paraId="350475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2.未进行会议集体决策，有些项目支出无会议纪要，民主生活会进行了整改。</w:t>
      </w:r>
    </w:p>
    <w:p w14:paraId="007CCAD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w:t>
      </w:r>
      <w:r>
        <w:rPr>
          <w:rFonts w:hint="eastAsia" w:ascii="仿宋" w:hAnsi="仿宋" w:eastAsia="仿宋" w:cs="仿宋"/>
          <w:b/>
          <w:bCs/>
          <w:sz w:val="32"/>
          <w:szCs w:val="32"/>
          <w:lang w:val="en-US" w:eastAsia="zh-CN"/>
        </w:rPr>
        <w:t>“三重一大”集体决策制度，相关政策2：</w:t>
      </w:r>
      <w:r>
        <w:rPr>
          <w:rFonts w:hint="eastAsia" w:ascii="仿宋" w:hAnsi="仿宋" w:eastAsia="仿宋" w:cs="仿宋"/>
          <w:b w:val="0"/>
          <w:bCs w:val="0"/>
          <w:sz w:val="32"/>
          <w:szCs w:val="32"/>
          <w:lang w:val="en-US" w:eastAsia="zh-CN"/>
        </w:rPr>
        <w:t>上述违反了</w:t>
      </w:r>
      <w:r>
        <w:rPr>
          <w:rFonts w:hint="eastAsia" w:ascii="仿宋" w:hAnsi="仿宋" w:eastAsia="仿宋" w:cs="仿宋"/>
          <w:b/>
          <w:bCs/>
          <w:sz w:val="32"/>
          <w:szCs w:val="32"/>
          <w:lang w:val="en-US" w:eastAsia="zh-CN"/>
        </w:rPr>
        <w:t>财政与财务管理的内控要求。</w:t>
      </w:r>
      <w:r>
        <w:rPr>
          <w:rFonts w:hint="eastAsia" w:ascii="仿宋" w:hAnsi="仿宋" w:eastAsia="仿宋" w:cs="仿宋"/>
          <w:b w:val="0"/>
          <w:bCs w:val="0"/>
          <w:sz w:val="32"/>
          <w:szCs w:val="32"/>
          <w:lang w:val="en-US" w:eastAsia="zh-CN"/>
        </w:rPr>
        <w:t>项目支出无会议纪要，决策过程无痕。重大事项决策必须有完整、规范的会议记录或纪要，作为执行和审计的依据。规范要求会议记录需</w:t>
      </w:r>
      <w:r>
        <w:rPr>
          <w:rFonts w:hint="eastAsia" w:ascii="仿宋" w:hAnsi="仿宋" w:eastAsia="仿宋" w:cs="仿宋"/>
          <w:b/>
          <w:bCs/>
          <w:sz w:val="32"/>
          <w:szCs w:val="32"/>
          <w:lang w:val="en-US" w:eastAsia="zh-CN"/>
        </w:rPr>
        <w:t>“要素齐全，要点清晰，要旨不漏”</w:t>
      </w:r>
      <w:r>
        <w:rPr>
          <w:rFonts w:hint="eastAsia" w:ascii="仿宋" w:hAnsi="仿宋" w:eastAsia="仿宋" w:cs="仿宋"/>
          <w:b w:val="0"/>
          <w:bCs w:val="0"/>
          <w:sz w:val="32"/>
          <w:szCs w:val="32"/>
          <w:lang w:val="en-US" w:eastAsia="zh-CN"/>
        </w:rPr>
        <w:t>，纪要是“</w:t>
      </w:r>
      <w:r>
        <w:rPr>
          <w:rFonts w:hint="eastAsia" w:ascii="仿宋" w:hAnsi="仿宋" w:eastAsia="仿宋" w:cs="仿宋"/>
          <w:b/>
          <w:bCs/>
          <w:sz w:val="32"/>
          <w:szCs w:val="32"/>
          <w:lang w:val="en-US" w:eastAsia="zh-CN"/>
        </w:rPr>
        <w:t>反映会议基本情况和精神的纪实性公文”</w:t>
      </w:r>
      <w:r>
        <w:rPr>
          <w:rFonts w:hint="eastAsia" w:ascii="仿宋" w:hAnsi="仿宋" w:eastAsia="仿宋" w:cs="仿宋"/>
          <w:b w:val="0"/>
          <w:bCs w:val="0"/>
          <w:sz w:val="32"/>
          <w:szCs w:val="32"/>
          <w:lang w:val="en-US" w:eastAsia="zh-CN"/>
        </w:rPr>
        <w:t>。无纪要导致决策过程无法追溯，是严重的管理漏洞。</w:t>
      </w:r>
    </w:p>
    <w:p w14:paraId="2CD48AD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建议：一是及时规范决策程序，杜绝“体外循环”。明确议事范围：</w:t>
      </w:r>
      <w:r>
        <w:rPr>
          <w:rFonts w:hint="eastAsia" w:ascii="仿宋" w:hAnsi="仿宋" w:eastAsia="仿宋" w:cs="仿宋"/>
          <w:b w:val="0"/>
          <w:bCs w:val="0"/>
          <w:sz w:val="32"/>
          <w:szCs w:val="32"/>
          <w:lang w:val="en-US" w:eastAsia="zh-CN"/>
        </w:rPr>
        <w:t>参照其他单位做法，尽快细化并公开本单位的“三重一大”事项具体清单和金额标准。</w:t>
      </w:r>
      <w:r>
        <w:rPr>
          <w:rFonts w:hint="eastAsia" w:ascii="仿宋" w:hAnsi="仿宋" w:eastAsia="仿宋" w:cs="仿宋"/>
          <w:b/>
          <w:bCs/>
          <w:sz w:val="32"/>
          <w:szCs w:val="32"/>
          <w:lang w:val="en-US" w:eastAsia="zh-CN"/>
        </w:rPr>
        <w:t>严格分类决策：</w:t>
      </w:r>
      <w:r>
        <w:rPr>
          <w:rFonts w:hint="eastAsia" w:ascii="仿宋" w:hAnsi="仿宋" w:eastAsia="仿宋" w:cs="仿宋"/>
          <w:b w:val="0"/>
          <w:bCs w:val="0"/>
          <w:sz w:val="32"/>
          <w:szCs w:val="32"/>
          <w:lang w:val="en-US" w:eastAsia="zh-CN"/>
        </w:rPr>
        <w:t>建立议题审核机制，确保“三重一大”事项必须提交党组（党委）会或相应决策会议研究，防止用局长办公会等其他会议替代。</w:t>
      </w:r>
      <w:r>
        <w:rPr>
          <w:rFonts w:hint="eastAsia" w:ascii="仿宋" w:hAnsi="仿宋" w:eastAsia="仿宋" w:cs="仿宋"/>
          <w:b/>
          <w:bCs/>
          <w:sz w:val="32"/>
          <w:szCs w:val="32"/>
          <w:lang w:val="en-US" w:eastAsia="zh-CN"/>
        </w:rPr>
        <w:t>规范会议文书：</w:t>
      </w:r>
      <w:r>
        <w:rPr>
          <w:rFonts w:hint="eastAsia" w:ascii="仿宋" w:hAnsi="仿宋" w:eastAsia="仿宋" w:cs="仿宋"/>
          <w:b w:val="0"/>
          <w:bCs w:val="0"/>
          <w:sz w:val="32"/>
          <w:szCs w:val="32"/>
          <w:lang w:val="en-US" w:eastAsia="zh-CN"/>
        </w:rPr>
        <w:t>指定专人按规范要求做好会议记录，确保要素齐全、内容真实。需要形成会议纪要的，应及时、规范地起草、审核和印发。</w:t>
      </w:r>
      <w:r>
        <w:rPr>
          <w:rFonts w:hint="eastAsia" w:ascii="仿宋" w:hAnsi="仿宋" w:eastAsia="仿宋" w:cs="仿宋"/>
          <w:b/>
          <w:bCs/>
          <w:sz w:val="32"/>
          <w:szCs w:val="32"/>
          <w:lang w:val="en-US" w:eastAsia="zh-CN"/>
        </w:rPr>
        <w:t>二是健全内控机制，加强财务审核监督。建立支出联审机制：</w:t>
      </w:r>
      <w:r>
        <w:rPr>
          <w:rFonts w:hint="eastAsia" w:ascii="仿宋" w:hAnsi="仿宋" w:eastAsia="仿宋" w:cs="仿宋"/>
          <w:b w:val="0"/>
          <w:bCs w:val="0"/>
          <w:sz w:val="32"/>
          <w:szCs w:val="32"/>
          <w:lang w:val="en-US" w:eastAsia="zh-CN"/>
        </w:rPr>
        <w:t>财务部门在报销或支付任何项目支出时，必须将合规的会议纪要（或决议文件）作为关键附件，实行“无纪要、不报销”的硬性规定。</w:t>
      </w:r>
      <w:r>
        <w:rPr>
          <w:rFonts w:hint="eastAsia" w:ascii="仿宋" w:hAnsi="仿宋" w:eastAsia="仿宋" w:cs="仿宋"/>
          <w:b/>
          <w:bCs/>
          <w:sz w:val="32"/>
          <w:szCs w:val="32"/>
          <w:lang w:val="en-US" w:eastAsia="zh-CN"/>
        </w:rPr>
        <w:t>强化内部审计：</w:t>
      </w:r>
      <w:r>
        <w:rPr>
          <w:rFonts w:hint="eastAsia" w:ascii="仿宋" w:hAnsi="仿宋" w:eastAsia="仿宋" w:cs="仿宋"/>
          <w:b w:val="0"/>
          <w:bCs w:val="0"/>
          <w:sz w:val="32"/>
          <w:szCs w:val="32"/>
          <w:lang w:val="en-US" w:eastAsia="zh-CN"/>
        </w:rPr>
        <w:t>定期对重大项目支出进行内部审计，重点检查决策程序的完备性和资料的完整性。</w:t>
      </w:r>
      <w:r>
        <w:rPr>
          <w:rFonts w:hint="eastAsia" w:ascii="仿宋" w:hAnsi="仿宋" w:eastAsia="仿宋" w:cs="仿宋"/>
          <w:b/>
          <w:bCs/>
          <w:sz w:val="32"/>
          <w:szCs w:val="32"/>
          <w:lang w:val="en-US" w:eastAsia="zh-CN"/>
        </w:rPr>
        <w:t>三是深化民主生活会成果，推动真改实改。</w:t>
      </w:r>
      <w:r>
        <w:rPr>
          <w:rFonts w:hint="eastAsia" w:ascii="仿宋" w:hAnsi="仿宋" w:eastAsia="仿宋" w:cs="仿宋"/>
          <w:b w:val="0"/>
          <w:bCs w:val="0"/>
          <w:sz w:val="32"/>
          <w:szCs w:val="32"/>
          <w:lang w:val="en-US" w:eastAsia="zh-CN"/>
        </w:rPr>
        <w:t>民主生活会上查摆出的“决策程序缺失”问题，必须对应制定具体的、可核查的整改措施，如修订议事规则、组织专题培训等。整改情况要在下一次民主生活会上进行通报，形成闭环，上级党组织或纪检监察部门也可能对整改情况进行跟踪问效。</w:t>
      </w:r>
      <w:r>
        <w:rPr>
          <w:rFonts w:hint="eastAsia" w:ascii="仿宋" w:hAnsi="仿宋" w:eastAsia="仿宋" w:cs="仿宋"/>
          <w:b/>
          <w:bCs/>
          <w:sz w:val="32"/>
          <w:szCs w:val="32"/>
          <w:lang w:val="en-US" w:eastAsia="zh-CN"/>
        </w:rPr>
        <w:t>通过建章立制来堵住漏洞，通过刚性执行来确保“三重一大”制度落地，并利用民主生活会等机制进行常态化监督，才能实现长效治理。</w:t>
      </w:r>
    </w:p>
    <w:p w14:paraId="07303B5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3.无政府采购询价竞价过程记录。</w:t>
      </w:r>
    </w:p>
    <w:p w14:paraId="0E407F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上述违反了《中华人民共和国政府采购法》及其实施条例要求，政府采购活动应当严格遵循法定程序，并</w:t>
      </w:r>
      <w:r>
        <w:rPr>
          <w:rFonts w:hint="eastAsia" w:ascii="仿宋" w:hAnsi="仿宋" w:eastAsia="仿宋" w:cs="仿宋"/>
          <w:b/>
          <w:bCs/>
          <w:sz w:val="32"/>
          <w:szCs w:val="32"/>
          <w:lang w:val="en-US" w:eastAsia="zh-CN"/>
        </w:rPr>
        <w:t>保存完整的采购文件</w:t>
      </w:r>
      <w:r>
        <w:rPr>
          <w:rFonts w:hint="eastAsia" w:ascii="仿宋" w:hAnsi="仿宋" w:eastAsia="仿宋" w:cs="仿宋"/>
          <w:b w:val="0"/>
          <w:bCs w:val="0"/>
          <w:sz w:val="32"/>
          <w:szCs w:val="32"/>
          <w:lang w:val="en-US" w:eastAsia="zh-CN"/>
        </w:rPr>
        <w:t>。这些文件是证明采购过程合法、公平、公正的直接证据。没有过程记录，意味着关键采购环节（如供应商邀请、报价、评审比较等）</w:t>
      </w:r>
      <w:r>
        <w:rPr>
          <w:rFonts w:hint="eastAsia" w:ascii="仿宋" w:hAnsi="仿宋" w:eastAsia="仿宋" w:cs="仿宋"/>
          <w:b/>
          <w:bCs/>
          <w:sz w:val="32"/>
          <w:szCs w:val="32"/>
          <w:lang w:val="en-US" w:eastAsia="zh-CN"/>
        </w:rPr>
        <w:t>无据可查，无法证明程序合规。相关政策2：</w:t>
      </w:r>
      <w:r>
        <w:rPr>
          <w:rFonts w:hint="eastAsia" w:ascii="仿宋" w:hAnsi="仿宋" w:eastAsia="仿宋" w:cs="仿宋"/>
          <w:b w:val="0"/>
          <w:bCs w:val="0"/>
          <w:sz w:val="32"/>
          <w:szCs w:val="32"/>
          <w:lang w:val="en-US" w:eastAsia="zh-CN"/>
        </w:rPr>
        <w:t>上述违反了《政府采购非招标采购方式管理办法》（财政部令第74号）等法规明确规定，采购人、采购代理机构应当妥善保存采购文件，不得伪造、变造、隐匿或者销毁。档案保存期限通常为15年。</w:t>
      </w:r>
      <w:r>
        <w:rPr>
          <w:rFonts w:hint="eastAsia" w:ascii="仿宋" w:hAnsi="仿宋" w:eastAsia="仿宋" w:cs="仿宋"/>
          <w:b/>
          <w:bCs/>
          <w:sz w:val="32"/>
          <w:szCs w:val="32"/>
          <w:lang w:val="en-US" w:eastAsia="zh-CN"/>
        </w:rPr>
        <w:t>“过程记录”</w:t>
      </w:r>
      <w:r>
        <w:rPr>
          <w:rFonts w:hint="eastAsia" w:ascii="仿宋" w:hAnsi="仿宋" w:eastAsia="仿宋" w:cs="仿宋"/>
          <w:b w:val="0"/>
          <w:bCs w:val="0"/>
          <w:sz w:val="32"/>
          <w:szCs w:val="32"/>
          <w:lang w:val="en-US" w:eastAsia="zh-CN"/>
        </w:rPr>
        <w:t>是采购档案的核心组成部分。缺乏这些记录，档案就不完整，违反了档案管理规定。从财政、审计监管角度看，过程记录缺失是严重的</w:t>
      </w:r>
      <w:r>
        <w:rPr>
          <w:rFonts w:hint="eastAsia" w:ascii="仿宋" w:hAnsi="仿宋" w:eastAsia="仿宋" w:cs="仿宋"/>
          <w:b/>
          <w:bCs/>
          <w:sz w:val="32"/>
          <w:szCs w:val="32"/>
          <w:lang w:val="en-US" w:eastAsia="zh-CN"/>
        </w:rPr>
        <w:t>内部控制缺陷</w:t>
      </w:r>
      <w:r>
        <w:rPr>
          <w:rFonts w:hint="eastAsia" w:ascii="仿宋" w:hAnsi="仿宋" w:eastAsia="仿宋" w:cs="仿宋"/>
          <w:b w:val="0"/>
          <w:bCs w:val="0"/>
          <w:sz w:val="32"/>
          <w:szCs w:val="32"/>
          <w:lang w:val="en-US" w:eastAsia="zh-CN"/>
        </w:rPr>
        <w:t>。它使得采购活动</w:t>
      </w:r>
      <w:r>
        <w:rPr>
          <w:rFonts w:hint="eastAsia" w:ascii="仿宋" w:hAnsi="仿宋" w:eastAsia="仿宋" w:cs="仿宋"/>
          <w:b/>
          <w:bCs/>
          <w:sz w:val="32"/>
          <w:szCs w:val="32"/>
          <w:lang w:val="en-US" w:eastAsia="zh-CN"/>
        </w:rPr>
        <w:t>缺乏有效监督，</w:t>
      </w:r>
      <w:r>
        <w:rPr>
          <w:rFonts w:hint="eastAsia" w:ascii="仿宋" w:hAnsi="仿宋" w:eastAsia="仿宋" w:cs="仿宋"/>
          <w:b w:val="0"/>
          <w:bCs w:val="0"/>
          <w:sz w:val="32"/>
          <w:szCs w:val="32"/>
          <w:lang w:val="en-US" w:eastAsia="zh-CN"/>
        </w:rPr>
        <w:t>极易引发串通、利益输送等违规风险，也是审计检查的重点问题。这会使单位面临被财政、审计部门追责、处罚的风险。</w:t>
      </w:r>
    </w:p>
    <w:p w14:paraId="7794C8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楷体" w:hAnsi="楷体" w:eastAsia="楷体" w:cs="楷体"/>
          <w:b/>
          <w:bCs/>
          <w:sz w:val="32"/>
          <w:szCs w:val="32"/>
          <w:lang w:val="en-US" w:eastAsia="zh-CN"/>
        </w:rPr>
      </w:pPr>
      <w:r>
        <w:rPr>
          <w:rFonts w:hint="eastAsia" w:ascii="仿宋" w:hAnsi="仿宋" w:eastAsia="仿宋" w:cs="仿宋"/>
          <w:b/>
          <w:bCs/>
          <w:sz w:val="32"/>
          <w:szCs w:val="32"/>
          <w:lang w:val="en-US" w:eastAsia="zh-CN"/>
        </w:rPr>
        <w:t>建议：一是及时自查与补充。</w:t>
      </w:r>
      <w:r>
        <w:rPr>
          <w:rFonts w:hint="eastAsia" w:ascii="仿宋" w:hAnsi="仿宋" w:eastAsia="仿宋" w:cs="仿宋"/>
          <w:b w:val="0"/>
          <w:bCs w:val="0"/>
          <w:sz w:val="32"/>
          <w:szCs w:val="32"/>
          <w:lang w:val="en-US" w:eastAsia="zh-CN"/>
        </w:rPr>
        <w:t>对所有无过程记录的采购项目进行全面排查，尽可能追溯和补充相关佐证材料，如供应商沟通记录、报价单、内部评审意见等，并书面说明情况，存档备查。</w:t>
      </w:r>
      <w:r>
        <w:rPr>
          <w:rFonts w:hint="eastAsia" w:ascii="仿宋" w:hAnsi="仿宋" w:eastAsia="仿宋" w:cs="仿宋"/>
          <w:b/>
          <w:bCs/>
          <w:sz w:val="32"/>
          <w:szCs w:val="32"/>
          <w:lang w:val="en-US" w:eastAsia="zh-CN"/>
        </w:rPr>
        <w:t>二是严格执行法定程序。</w:t>
      </w:r>
      <w:r>
        <w:rPr>
          <w:rFonts w:hint="eastAsia" w:ascii="仿宋" w:hAnsi="仿宋" w:eastAsia="仿宋" w:cs="仿宋"/>
          <w:b w:val="0"/>
          <w:bCs w:val="0"/>
          <w:sz w:val="32"/>
          <w:szCs w:val="32"/>
          <w:lang w:val="en-US" w:eastAsia="zh-CN"/>
        </w:rPr>
        <w:t>未来所有达到政府采购限额标准的项目，必须严格按照法定方式（如询价、竞争性谈判等）执行。</w:t>
      </w:r>
      <w:r>
        <w:rPr>
          <w:rFonts w:hint="eastAsia" w:ascii="仿宋" w:hAnsi="仿宋" w:eastAsia="仿宋" w:cs="仿宋"/>
          <w:b/>
          <w:bCs/>
          <w:sz w:val="32"/>
          <w:szCs w:val="32"/>
          <w:lang w:val="en-US" w:eastAsia="zh-CN"/>
        </w:rPr>
        <w:t>关键步骤须完整记录：</w:t>
      </w:r>
      <w:r>
        <w:rPr>
          <w:rFonts w:hint="eastAsia" w:ascii="仿宋" w:hAnsi="仿宋" w:eastAsia="仿宋" w:cs="仿宋"/>
          <w:b w:val="0"/>
          <w:bCs w:val="0"/>
          <w:sz w:val="32"/>
          <w:szCs w:val="32"/>
          <w:lang w:val="en-US" w:eastAsia="zh-CN"/>
        </w:rPr>
        <w:t>包括但不限于采购需求形成、供应商邀请名单及理由、所有供应商的响应文件、评审小组的评审过程与比较记录、确定成交供应商的依据及审批单等。</w:t>
      </w:r>
      <w:r>
        <w:rPr>
          <w:rFonts w:hint="eastAsia" w:ascii="仿宋" w:hAnsi="仿宋" w:eastAsia="仿宋" w:cs="仿宋"/>
          <w:b/>
          <w:bCs/>
          <w:sz w:val="32"/>
          <w:szCs w:val="32"/>
          <w:lang w:val="en-US" w:eastAsia="zh-CN"/>
        </w:rPr>
        <w:t>三是健全内控制度并强化留痕。</w:t>
      </w:r>
      <w:r>
        <w:rPr>
          <w:rFonts w:hint="eastAsia" w:ascii="仿宋" w:hAnsi="仿宋" w:eastAsia="仿宋" w:cs="仿宋"/>
          <w:b w:val="0"/>
          <w:bCs w:val="0"/>
          <w:sz w:val="32"/>
          <w:szCs w:val="32"/>
          <w:lang w:val="en-US" w:eastAsia="zh-CN"/>
        </w:rPr>
        <w:t>在单位内部采购管理办法中，明确要求所有采购环节必须保留书面或系统记录，并规定归档责任人和保管期限。推行采购活动</w:t>
      </w:r>
      <w:r>
        <w:rPr>
          <w:rFonts w:hint="eastAsia" w:ascii="仿宋" w:hAnsi="仿宋" w:eastAsia="仿宋" w:cs="仿宋"/>
          <w:b/>
          <w:bCs/>
          <w:sz w:val="32"/>
          <w:szCs w:val="32"/>
          <w:lang w:val="en-US" w:eastAsia="zh-CN"/>
        </w:rPr>
        <w:t>“全程可追溯”，</w:t>
      </w:r>
      <w:r>
        <w:rPr>
          <w:rFonts w:hint="eastAsia" w:ascii="仿宋" w:hAnsi="仿宋" w:eastAsia="仿宋" w:cs="仿宋"/>
          <w:b w:val="0"/>
          <w:bCs w:val="0"/>
          <w:sz w:val="32"/>
          <w:szCs w:val="32"/>
          <w:lang w:val="en-US" w:eastAsia="zh-CN"/>
        </w:rPr>
        <w:t>确保每一步操作都有迹可循。</w:t>
      </w:r>
      <w:r>
        <w:rPr>
          <w:rFonts w:hint="eastAsia" w:ascii="仿宋" w:hAnsi="仿宋" w:eastAsia="仿宋" w:cs="仿宋"/>
          <w:b/>
          <w:bCs/>
          <w:sz w:val="32"/>
          <w:szCs w:val="32"/>
          <w:lang w:val="en-US" w:eastAsia="zh-CN"/>
        </w:rPr>
        <w:t>四是加强人员培训。</w:t>
      </w:r>
      <w:r>
        <w:rPr>
          <w:rFonts w:hint="eastAsia" w:ascii="仿宋" w:hAnsi="仿宋" w:eastAsia="仿宋" w:cs="仿宋"/>
          <w:b w:val="0"/>
          <w:bCs w:val="0"/>
          <w:sz w:val="32"/>
          <w:szCs w:val="32"/>
          <w:lang w:val="en-US" w:eastAsia="zh-CN"/>
        </w:rPr>
        <w:t>对采购、财务及相关业务人员进行培训，明确采购程序、留痕要求和违规责任。</w:t>
      </w:r>
    </w:p>
    <w:p w14:paraId="7C2F03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 w:hAnsi="仿宋" w:eastAsia="仿宋" w:cs="仿宋"/>
          <w:b/>
          <w:bCs/>
          <w:sz w:val="32"/>
          <w:szCs w:val="32"/>
          <w:highlight w:val="none"/>
          <w:lang w:val="en-US" w:eastAsia="zh-CN"/>
        </w:rPr>
      </w:pPr>
      <w:bookmarkStart w:id="60" w:name="_Toc7889"/>
      <w:r>
        <w:rPr>
          <w:rFonts w:hint="eastAsia" w:ascii="楷体" w:hAnsi="楷体" w:eastAsia="楷体" w:cs="楷体"/>
          <w:b/>
          <w:bCs/>
          <w:sz w:val="32"/>
          <w:szCs w:val="32"/>
          <w:lang w:val="en-US" w:eastAsia="zh-CN"/>
        </w:rPr>
        <w:t>（三）人员经费方面存在的问题及建议</w:t>
      </w:r>
      <w:bookmarkEnd w:id="58"/>
      <w:bookmarkEnd w:id="59"/>
      <w:bookmarkEnd w:id="60"/>
    </w:p>
    <w:p w14:paraId="6E8021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楷体" w:hAnsi="楷体" w:eastAsia="楷体" w:cs="楷体"/>
          <w:b/>
          <w:bCs/>
          <w:sz w:val="32"/>
          <w:szCs w:val="32"/>
          <w:lang w:val="en-US" w:eastAsia="zh-CN"/>
        </w:rPr>
      </w:pPr>
      <w:bookmarkStart w:id="61" w:name="_Toc31528"/>
      <w:bookmarkStart w:id="62" w:name="_Toc21877"/>
      <w:r>
        <w:rPr>
          <w:rFonts w:hint="eastAsia" w:ascii="仿宋" w:hAnsi="仿宋" w:eastAsia="仿宋" w:cs="仿宋"/>
          <w:b/>
          <w:bCs/>
          <w:sz w:val="32"/>
          <w:szCs w:val="32"/>
          <w:lang w:val="en-US" w:eastAsia="zh-CN"/>
        </w:rPr>
        <w:t>1.存在缴费主体与编制单位不一致，可能违反《中华人民共和国社会保险法》《住房公积金管理条例》中“用人单位应为其职工缴纳社保”的规定（用人单位应为编制所在单位），存在社保缴纳主体不合规风险，资金管理风险。</w:t>
      </w:r>
      <w:r>
        <w:rPr>
          <w:rFonts w:hint="eastAsia" w:ascii="仿宋" w:hAnsi="仿宋" w:eastAsia="仿宋" w:cs="仿宋"/>
          <w:b w:val="0"/>
          <w:bCs w:val="0"/>
          <w:sz w:val="32"/>
          <w:szCs w:val="32"/>
          <w:lang w:val="en-US" w:eastAsia="zh-CN"/>
        </w:rPr>
        <w:t>区党外知识分子服务中心干事李羽芹、邓鹏，编制在区委统战部党外知识分子服务中心，财政预算已将其年度人员经费已拨付到区委统战部（人员经费拨付至编制所在单位），雁峰区工商业联合会、民宗局先行支付养老保险、医保与住房公积金，再由区委统战部支付给工商业联合会、民宗局养老保险、医保与住房公积金及工作经费。申请支付凭证附件未见缴纳社保医保住房公积金凭证。</w:t>
      </w:r>
    </w:p>
    <w:p w14:paraId="0BD0FF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社会保险法》第五十七条、第五十八条：明确规定“用人单位应当自成立之日起三十日内凭营业执照、登记证书或者单位印章，向当地社会保险经办机构申请办理社会保险登记。”“用人单位应当自用工之日起三十日内为其职工向社会保险经办机构申请办理社会保险登记。”李羽芹、邓鹏的法定用人单位是其编制所在单位“区委统战部党外知识分子服务中心”。只有该中心才有法律资格和义务为二人缴纳社保。雁峰区工商联、民宗局作为法律上无关的第三方，为其他单位的职工缴纳社保，其缴费主体资格不成立，社保经办机构本不应受理。此操作导致劳动关系、社保关系、编制关系三者混乱。</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住房公积金管理条例》第十三条、第十四条、第二十条：规定单位应当为职工办理住房公积金账户设立、转移、封存手续，并按时足额缴存。与社保同理，公积金也必须由用人单位缴纳。由工商联、民宗局缴纳，会导致职工公积金账户挂在错误的单位名下，影响其公积金贷款的申请和权益的确认。</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中华人民共和国预算法》第五十七条、第六十三条：强调各级政府、各部门、各单位的支出必须按照预算执行。财政预算已将李、邓二人的人员经费拨付至其编制单位（区委统战部）。但区委统战部并未将这笔钱直接用于为二人缴纳社保，而是通过支付“工作经费”等形式给工商联、民宗局，再由后者去缴费，严重偏离了预算规定的用途，属于典型的“改变预算资金用途”或“套取预算资金”行为。</w:t>
      </w:r>
      <w:r>
        <w:rPr>
          <w:rFonts w:hint="eastAsia" w:ascii="仿宋" w:hAnsi="仿宋" w:eastAsia="仿宋" w:cs="仿宋"/>
          <w:b/>
          <w:bCs/>
          <w:sz w:val="32"/>
          <w:szCs w:val="32"/>
          <w:lang w:val="en-US" w:eastAsia="zh-CN"/>
        </w:rPr>
        <w:t>相关政策4：</w:t>
      </w:r>
      <w:r>
        <w:rPr>
          <w:rFonts w:hint="eastAsia" w:ascii="仿宋" w:hAnsi="仿宋" w:eastAsia="仿宋" w:cs="仿宋"/>
          <w:b w:val="0"/>
          <w:bCs w:val="0"/>
          <w:sz w:val="32"/>
          <w:szCs w:val="32"/>
          <w:lang w:val="en-US" w:eastAsia="zh-CN"/>
        </w:rPr>
        <w:t>上述违反了《行政事业单位内部控制规范（试行）》的要求，确保经济活动合法合规、资产安全和使用有效、财务信息真实完整。</w:t>
      </w:r>
      <w:r>
        <w:rPr>
          <w:rFonts w:hint="eastAsia" w:ascii="仿宋" w:hAnsi="仿宋" w:eastAsia="仿宋" w:cs="仿宋"/>
          <w:b/>
          <w:bCs/>
          <w:sz w:val="32"/>
          <w:szCs w:val="32"/>
          <w:lang w:val="en-US" w:eastAsia="zh-CN"/>
        </w:rPr>
        <w:t>支付申请与真实业务不符，</w:t>
      </w:r>
      <w:r>
        <w:rPr>
          <w:rFonts w:hint="eastAsia" w:ascii="仿宋" w:hAnsi="仿宋" w:eastAsia="仿宋" w:cs="仿宋"/>
          <w:b w:val="0"/>
          <w:bCs w:val="0"/>
          <w:sz w:val="32"/>
          <w:szCs w:val="32"/>
          <w:lang w:val="en-US" w:eastAsia="zh-CN"/>
        </w:rPr>
        <w:t>工商联、民宗局申请支付的是“养老保险、医保与住房公积金”，但这笔支出的真实受益对象并非本单位职工，属于虚假业务事项。</w:t>
      </w:r>
      <w:r>
        <w:rPr>
          <w:rFonts w:hint="eastAsia" w:ascii="仿宋" w:hAnsi="仿宋" w:eastAsia="仿宋" w:cs="仿宋"/>
          <w:b/>
          <w:bCs/>
          <w:sz w:val="32"/>
          <w:szCs w:val="32"/>
          <w:lang w:val="en-US" w:eastAsia="zh-CN"/>
        </w:rPr>
        <w:t>资金循环缺乏经济实质，</w:t>
      </w:r>
      <w:r>
        <w:rPr>
          <w:rFonts w:hint="eastAsia" w:ascii="仿宋" w:hAnsi="仿宋" w:eastAsia="仿宋" w:cs="仿宋"/>
          <w:b w:val="0"/>
          <w:bCs w:val="0"/>
          <w:sz w:val="32"/>
          <w:szCs w:val="32"/>
          <w:lang w:val="en-US" w:eastAsia="zh-CN"/>
        </w:rPr>
        <w:t>区委统战部支付给工商联、民宗局的资金，名义上是“归还”代垫款，但由于最初的代垫行为本身不合法，导致整个资金流向形成了一个为了掩盖实质违规而设计的“空转”回路，内控完全失效。</w:t>
      </w:r>
      <w:r>
        <w:rPr>
          <w:rFonts w:hint="eastAsia" w:ascii="仿宋" w:hAnsi="仿宋" w:eastAsia="仿宋" w:cs="仿宋"/>
          <w:b/>
          <w:bCs/>
          <w:sz w:val="32"/>
          <w:szCs w:val="32"/>
          <w:lang w:val="en-US" w:eastAsia="zh-CN"/>
        </w:rPr>
        <w:t>关键凭证缺失，</w:t>
      </w:r>
      <w:r>
        <w:rPr>
          <w:rFonts w:hint="eastAsia" w:ascii="仿宋" w:hAnsi="仿宋" w:eastAsia="仿宋" w:cs="仿宋"/>
          <w:b w:val="0"/>
          <w:bCs w:val="0"/>
          <w:sz w:val="32"/>
          <w:szCs w:val="32"/>
          <w:lang w:val="en-US" w:eastAsia="zh-CN"/>
        </w:rPr>
        <w:t>申请支付时未见缴费凭证，使得整个资金链条在最关键的环节（钱是否最终缴入国库/专户）失去了证据支撑，财务信息严重不完整、不真实。</w:t>
      </w:r>
    </w:p>
    <w:p w14:paraId="2BB385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存在四类风险。一是对职工个人的风险，</w:t>
      </w:r>
      <w:r>
        <w:rPr>
          <w:rFonts w:hint="eastAsia" w:ascii="仿宋" w:hAnsi="仿宋" w:eastAsia="仿宋" w:cs="仿宋"/>
          <w:b w:val="0"/>
          <w:bCs w:val="0"/>
          <w:sz w:val="32"/>
          <w:szCs w:val="32"/>
          <w:lang w:val="en-US" w:eastAsia="zh-CN"/>
        </w:rPr>
        <w:t>李羽芹、邓鹏的社保、公积金权益记录在错误的单位名下，长期来看，可能在办理退休、医保报销、公积金贷款时因单位信息不符而遇到阻碍，甚至被认定为“挂靠社保”，合法权益受到严重侵害。</w:t>
      </w:r>
      <w:r>
        <w:rPr>
          <w:rFonts w:hint="eastAsia" w:ascii="仿宋" w:hAnsi="仿宋" w:eastAsia="仿宋" w:cs="仿宋"/>
          <w:b/>
          <w:bCs/>
          <w:sz w:val="32"/>
          <w:szCs w:val="32"/>
          <w:lang w:val="en-US" w:eastAsia="zh-CN"/>
        </w:rPr>
        <w:t>二是审计风险。</w:t>
      </w:r>
      <w:r>
        <w:rPr>
          <w:rFonts w:hint="eastAsia" w:ascii="仿宋" w:hAnsi="仿宋" w:eastAsia="仿宋" w:cs="仿宋"/>
          <w:b w:val="0"/>
          <w:bCs w:val="0"/>
          <w:sz w:val="32"/>
          <w:szCs w:val="32"/>
          <w:lang w:val="en-US" w:eastAsia="zh-CN"/>
        </w:rPr>
        <w:t>在审计（特别是经济责任审计）中，此问题属于性质严重的硬伤，必然会被作为重大问题提出，相关单位负责人和财务人员将被问责。</w:t>
      </w:r>
      <w:r>
        <w:rPr>
          <w:rFonts w:hint="eastAsia" w:ascii="仿宋" w:hAnsi="仿宋" w:eastAsia="仿宋" w:cs="仿宋"/>
          <w:b/>
          <w:bCs/>
          <w:sz w:val="32"/>
          <w:szCs w:val="32"/>
          <w:lang w:val="en-US" w:eastAsia="zh-CN"/>
        </w:rPr>
        <w:t>三是廉政风险。</w:t>
      </w:r>
      <w:r>
        <w:rPr>
          <w:rFonts w:hint="eastAsia" w:ascii="仿宋" w:hAnsi="仿宋" w:eastAsia="仿宋" w:cs="仿宋"/>
          <w:b w:val="0"/>
          <w:bCs w:val="0"/>
          <w:sz w:val="32"/>
          <w:szCs w:val="32"/>
          <w:lang w:val="en-US" w:eastAsia="zh-CN"/>
        </w:rPr>
        <w:t>这种混乱的资金流向为挪用资金、设立“小金库”提供了极佳的掩护。例如，区委统战部支付给工商联、民宗局的金额，是否恰好等于李、邓二人的社保缴费额？还是包含了其他不便明说的“工作经费”？资金极易被滥用。</w:t>
      </w:r>
      <w:r>
        <w:rPr>
          <w:rFonts w:hint="eastAsia" w:ascii="仿宋" w:hAnsi="仿宋" w:eastAsia="仿宋" w:cs="仿宋"/>
          <w:b/>
          <w:bCs/>
          <w:sz w:val="32"/>
          <w:szCs w:val="32"/>
          <w:lang w:val="en-US" w:eastAsia="zh-CN"/>
        </w:rPr>
        <w:t>四是法律风险。</w:t>
      </w:r>
      <w:r>
        <w:rPr>
          <w:rFonts w:hint="eastAsia" w:ascii="仿宋" w:hAnsi="仿宋" w:eastAsia="仿宋" w:cs="仿宋"/>
          <w:b w:val="0"/>
          <w:bCs w:val="0"/>
          <w:sz w:val="32"/>
          <w:szCs w:val="32"/>
          <w:lang w:val="en-US" w:eastAsia="zh-CN"/>
        </w:rPr>
        <w:t>社保和公积金管理部门有权对未依法缴费的单位进行处罚。虽然本案中是“错位缴纳”，但依然属于未依法履责，相关单位面临被稽查和处罚的风险。</w:t>
      </w:r>
    </w:p>
    <w:p w14:paraId="645EFE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楷体" w:hAnsi="楷体" w:eastAsia="楷体" w:cs="楷体"/>
          <w:b/>
          <w:bCs/>
          <w:sz w:val="32"/>
          <w:szCs w:val="32"/>
          <w:lang w:val="en-US" w:eastAsia="zh-CN"/>
        </w:rPr>
      </w:pPr>
      <w:r>
        <w:rPr>
          <w:rFonts w:hint="eastAsia" w:ascii="仿宋" w:hAnsi="仿宋" w:eastAsia="仿宋" w:cs="仿宋"/>
          <w:b/>
          <w:bCs/>
          <w:sz w:val="32"/>
          <w:szCs w:val="32"/>
          <w:lang w:val="en-US" w:eastAsia="zh-CN"/>
        </w:rPr>
        <w:t>建议：</w:t>
      </w:r>
      <w:r>
        <w:rPr>
          <w:rFonts w:hint="eastAsia" w:ascii="仿宋" w:hAnsi="仿宋" w:eastAsia="仿宋" w:cs="仿宋"/>
          <w:b w:val="0"/>
          <w:bCs w:val="0"/>
          <w:sz w:val="32"/>
          <w:szCs w:val="32"/>
          <w:lang w:val="en-US" w:eastAsia="zh-CN"/>
        </w:rPr>
        <w:t>这是触及</w:t>
      </w:r>
      <w:r>
        <w:rPr>
          <w:rFonts w:hint="eastAsia" w:ascii="仿宋" w:hAnsi="仿宋" w:eastAsia="仿宋" w:cs="仿宋"/>
          <w:b/>
          <w:bCs/>
          <w:sz w:val="32"/>
          <w:szCs w:val="32"/>
          <w:lang w:val="en-US" w:eastAsia="zh-CN"/>
        </w:rPr>
        <w:t>预算管理、人事制度、社保法规和财务内控</w:t>
      </w:r>
      <w:r>
        <w:rPr>
          <w:rFonts w:hint="eastAsia" w:ascii="仿宋" w:hAnsi="仿宋" w:eastAsia="仿宋" w:cs="仿宋"/>
          <w:b w:val="0"/>
          <w:bCs w:val="0"/>
          <w:sz w:val="32"/>
          <w:szCs w:val="32"/>
          <w:lang w:val="en-US" w:eastAsia="zh-CN"/>
        </w:rPr>
        <w:t>核心原则的典型案例，必须采取</w:t>
      </w:r>
      <w:r>
        <w:rPr>
          <w:rFonts w:hint="eastAsia" w:ascii="仿宋" w:hAnsi="仿宋" w:eastAsia="仿宋" w:cs="仿宋"/>
          <w:b/>
          <w:bCs/>
          <w:sz w:val="32"/>
          <w:szCs w:val="32"/>
          <w:lang w:val="en-US" w:eastAsia="zh-CN"/>
        </w:rPr>
        <w:t>“停止违规、主体回归、资金直达、凭证齐全”</w:t>
      </w:r>
      <w:r>
        <w:rPr>
          <w:rFonts w:hint="eastAsia" w:ascii="仿宋" w:hAnsi="仿宋" w:eastAsia="仿宋" w:cs="仿宋"/>
          <w:b w:val="0"/>
          <w:bCs w:val="0"/>
          <w:sz w:val="32"/>
          <w:szCs w:val="32"/>
          <w:lang w:val="en-US" w:eastAsia="zh-CN"/>
        </w:rPr>
        <w:t>的十六字方针进行彻底整改，确保每一位财政供养人员的权益得到合法保障，确保每一笔财政资金的使用都合法、合规、透明、可追溯。</w:t>
      </w:r>
      <w:r>
        <w:rPr>
          <w:rFonts w:hint="eastAsia" w:ascii="仿宋" w:hAnsi="仿宋" w:eastAsia="仿宋" w:cs="仿宋"/>
          <w:b/>
          <w:bCs/>
          <w:sz w:val="32"/>
          <w:szCs w:val="32"/>
          <w:lang w:val="en-US" w:eastAsia="zh-CN"/>
        </w:rPr>
        <w:t>一是及时停止违规操作，厘清并还原法律关系。停止代缴。</w:t>
      </w:r>
      <w:r>
        <w:rPr>
          <w:rFonts w:hint="eastAsia" w:ascii="仿宋" w:hAnsi="仿宋" w:eastAsia="仿宋" w:cs="仿宋"/>
          <w:b w:val="0"/>
          <w:bCs w:val="0"/>
          <w:sz w:val="32"/>
          <w:szCs w:val="32"/>
          <w:lang w:val="en-US" w:eastAsia="zh-CN"/>
        </w:rPr>
        <w:t>立即停止由雁峰区工商联、民宗局为李羽芹、邓鹏缴纳社保和公积金的一切行为。</w:t>
      </w:r>
      <w:r>
        <w:rPr>
          <w:rFonts w:hint="eastAsia" w:ascii="仿宋" w:hAnsi="仿宋" w:eastAsia="仿宋" w:cs="仿宋"/>
          <w:b/>
          <w:bCs/>
          <w:sz w:val="32"/>
          <w:szCs w:val="32"/>
          <w:lang w:val="en-US" w:eastAsia="zh-CN"/>
        </w:rPr>
        <w:t>主体回归。</w:t>
      </w:r>
      <w:r>
        <w:rPr>
          <w:rFonts w:hint="eastAsia" w:ascii="仿宋" w:hAnsi="仿宋" w:eastAsia="仿宋" w:cs="仿宋"/>
          <w:b w:val="0"/>
          <w:bCs w:val="0"/>
          <w:sz w:val="32"/>
          <w:szCs w:val="32"/>
          <w:lang w:val="en-US" w:eastAsia="zh-CN"/>
        </w:rPr>
        <w:t>严格遵循“编随事走、人编一致、费随人走”的原则。李羽芹、邓鹏的一切工资福利、社保公积金，必须由其法定的用人单位——“区委统战部党外知识分子服务中心”作为唯一主体进行申报和缴纳。</w:t>
      </w:r>
      <w:r>
        <w:rPr>
          <w:rFonts w:hint="eastAsia" w:ascii="仿宋" w:hAnsi="仿宋" w:eastAsia="仿宋" w:cs="仿宋"/>
          <w:b/>
          <w:bCs/>
          <w:sz w:val="32"/>
          <w:szCs w:val="32"/>
          <w:lang w:val="en-US" w:eastAsia="zh-CN"/>
        </w:rPr>
        <w:t>账户与关系转移。</w:t>
      </w:r>
      <w:r>
        <w:rPr>
          <w:rFonts w:hint="eastAsia" w:ascii="仿宋" w:hAnsi="仿宋" w:eastAsia="仿宋" w:cs="仿宋"/>
          <w:b w:val="0"/>
          <w:bCs w:val="0"/>
          <w:sz w:val="32"/>
          <w:szCs w:val="32"/>
          <w:lang w:val="en-US" w:eastAsia="zh-CN"/>
        </w:rPr>
        <w:t>如果二人实际在工商联、民宗局工作，应依法办理正式的借调或调动手续。最规范的解决方式是，将二人的编制和人事关系正式划转至其实际工作的单位（或一个统一的综合管理机构），从而实现用人单位、编制单位、缴费主体的“三统一”。如果无法划转，则必须明确借调关系，但工资社保仍由编制单位负责。</w:t>
      </w:r>
      <w:r>
        <w:rPr>
          <w:rFonts w:hint="eastAsia" w:ascii="仿宋" w:hAnsi="仿宋" w:eastAsia="仿宋" w:cs="仿宋"/>
          <w:b/>
          <w:bCs/>
          <w:sz w:val="32"/>
          <w:szCs w:val="32"/>
          <w:lang w:val="en-US" w:eastAsia="zh-CN"/>
        </w:rPr>
        <w:t>二是规范资金流向，强化财务内部控制。资金直达。</w:t>
      </w:r>
      <w:r>
        <w:rPr>
          <w:rFonts w:hint="eastAsia" w:ascii="仿宋" w:hAnsi="仿宋" w:eastAsia="仿宋" w:cs="仿宋"/>
          <w:b w:val="0"/>
          <w:bCs w:val="0"/>
          <w:sz w:val="32"/>
          <w:szCs w:val="32"/>
          <w:lang w:val="en-US" w:eastAsia="zh-CN"/>
        </w:rPr>
        <w:t>财政预算安排的人员经费，必须直接拨付至职工的编制所在单位。该单位财务人员应依据社保、公积金经办机构出具的核定单，直接向财政国库支付中心申请支付，将款项直接缴入指定的社保基金财政专户和公积金账户。</w:t>
      </w:r>
      <w:r>
        <w:rPr>
          <w:rFonts w:hint="eastAsia" w:ascii="仿宋" w:hAnsi="仿宋" w:eastAsia="仿宋" w:cs="仿宋"/>
          <w:b/>
          <w:bCs/>
          <w:sz w:val="32"/>
          <w:szCs w:val="32"/>
          <w:lang w:val="en-US" w:eastAsia="zh-CN"/>
        </w:rPr>
        <w:t>杜绝“空转”。</w:t>
      </w:r>
      <w:r>
        <w:rPr>
          <w:rFonts w:hint="eastAsia" w:ascii="仿宋" w:hAnsi="仿宋" w:eastAsia="仿宋" w:cs="仿宋"/>
          <w:b w:val="0"/>
          <w:bCs w:val="0"/>
          <w:sz w:val="32"/>
          <w:szCs w:val="32"/>
          <w:lang w:val="en-US" w:eastAsia="zh-CN"/>
        </w:rPr>
        <w:t>彻底取消“区委统战部 → 工商联/民宗局 → 社保中心”这种不合规的资金流转链条。严禁单位之间以“归还代垫款”等名义相互划转涉及人员经费的资金。</w:t>
      </w:r>
      <w:r>
        <w:rPr>
          <w:rFonts w:hint="eastAsia" w:ascii="仿宋" w:hAnsi="仿宋" w:eastAsia="仿宋" w:cs="仿宋"/>
          <w:b/>
          <w:bCs/>
          <w:sz w:val="32"/>
          <w:szCs w:val="32"/>
          <w:lang w:val="en-US" w:eastAsia="zh-CN"/>
        </w:rPr>
        <w:t>凭证管理。</w:t>
      </w:r>
      <w:r>
        <w:rPr>
          <w:rFonts w:hint="eastAsia" w:ascii="仿宋" w:hAnsi="仿宋" w:eastAsia="仿宋" w:cs="仿宋"/>
          <w:b w:val="0"/>
          <w:bCs w:val="0"/>
          <w:sz w:val="32"/>
          <w:szCs w:val="32"/>
          <w:lang w:val="en-US" w:eastAsia="zh-CN"/>
        </w:rPr>
        <w:t>所有缴纳社保、公积金的支出，必须将银行付款回单、社保/公积金中心出具的专用收据或电子缴费凭证作为唯一的、必备的原始凭证附件。财务审核人员必须严格把关，凭证不齐绝不报销。</w:t>
      </w:r>
      <w:r>
        <w:rPr>
          <w:rFonts w:hint="eastAsia" w:ascii="仿宋" w:hAnsi="仿宋" w:eastAsia="仿宋" w:cs="仿宋"/>
          <w:b/>
          <w:bCs/>
          <w:sz w:val="32"/>
          <w:szCs w:val="32"/>
          <w:lang w:val="en-US" w:eastAsia="zh-CN"/>
        </w:rPr>
        <w:t>三是完善制度建设与责任追究。明确责任主体。</w:t>
      </w:r>
      <w:r>
        <w:rPr>
          <w:rFonts w:hint="eastAsia" w:ascii="仿宋" w:hAnsi="仿宋" w:eastAsia="仿宋" w:cs="仿宋"/>
          <w:b w:val="0"/>
          <w:bCs w:val="0"/>
          <w:sz w:val="32"/>
          <w:szCs w:val="32"/>
          <w:lang w:val="en-US" w:eastAsia="zh-CN"/>
        </w:rPr>
        <w:t>由区委编办、财政局、人社局、审计局联合发文，进一步明确和强调机关事业单位人员社保、公积金缴纳的法定主体责任和规范流程。</w:t>
      </w:r>
      <w:r>
        <w:rPr>
          <w:rFonts w:hint="eastAsia" w:ascii="仿宋" w:hAnsi="仿宋" w:eastAsia="仿宋" w:cs="仿宋"/>
          <w:b/>
          <w:bCs/>
          <w:sz w:val="32"/>
          <w:szCs w:val="32"/>
          <w:lang w:val="en-US" w:eastAsia="zh-CN"/>
        </w:rPr>
        <w:t>开展专项清理。</w:t>
      </w:r>
      <w:r>
        <w:rPr>
          <w:rFonts w:hint="eastAsia" w:ascii="仿宋" w:hAnsi="仿宋" w:eastAsia="仿宋" w:cs="仿宋"/>
          <w:b w:val="0"/>
          <w:bCs w:val="0"/>
          <w:sz w:val="32"/>
          <w:szCs w:val="32"/>
          <w:lang w:val="en-US" w:eastAsia="zh-CN"/>
        </w:rPr>
        <w:t>建议由区审计局或财政局牵头，在全区范围内开展一次针对“混编混岗”人员社保、公积金缴纳情况的专项审计检查，发现类似问题一并整改。</w:t>
      </w:r>
    </w:p>
    <w:p w14:paraId="481F77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2.发放统发工资后附件有国库支付单，无工资发放明细表，无审批人签字及审核意见且无银行回单。</w:t>
      </w:r>
    </w:p>
    <w:p w14:paraId="3B40CC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及其实施条例。强调各级政府对财政资金的使用和管理负责，必须提高财政资金使用效益。这种粗放式的管理显然无法体现“有效管理”。仅有国库支付凭证，不符合财务管理和内部控制的规范性要求。这套资料在证据链上是残缺的，无法构成一个完整、可信的工资发放证明。工资发放表无审批人签字及审核意见，是</w:t>
      </w:r>
      <w:r>
        <w:rPr>
          <w:rFonts w:hint="eastAsia" w:ascii="仿宋" w:hAnsi="仿宋" w:eastAsia="仿宋" w:cs="仿宋"/>
          <w:b/>
          <w:bCs/>
          <w:sz w:val="32"/>
          <w:szCs w:val="32"/>
          <w:lang w:val="en-US" w:eastAsia="zh-CN"/>
        </w:rPr>
        <w:t>内部控制缺失</w:t>
      </w:r>
      <w:r>
        <w:rPr>
          <w:rFonts w:hint="eastAsia" w:ascii="仿宋" w:hAnsi="仿宋" w:eastAsia="仿宋" w:cs="仿宋"/>
          <w:b w:val="0"/>
          <w:bCs w:val="0"/>
          <w:sz w:val="32"/>
          <w:szCs w:val="32"/>
          <w:lang w:val="en-US" w:eastAsia="zh-CN"/>
        </w:rPr>
        <w:t>的核心体现。缺少审批环节，意味着无法证明工资表的数据（人员、级别、金额、扣款等）的</w:t>
      </w:r>
      <w:r>
        <w:rPr>
          <w:rFonts w:hint="eastAsia" w:ascii="仿宋" w:hAnsi="仿宋" w:eastAsia="仿宋" w:cs="仿宋"/>
          <w:b/>
          <w:bCs/>
          <w:sz w:val="32"/>
          <w:szCs w:val="32"/>
          <w:lang w:val="en-US" w:eastAsia="zh-CN"/>
        </w:rPr>
        <w:t>真实性。</w:t>
      </w:r>
      <w:r>
        <w:rPr>
          <w:rFonts w:hint="eastAsia" w:ascii="仿宋" w:hAnsi="仿宋" w:eastAsia="仿宋" w:cs="仿宋"/>
          <w:b w:val="0"/>
          <w:bCs w:val="0"/>
          <w:sz w:val="32"/>
          <w:szCs w:val="32"/>
          <w:lang w:val="en-US" w:eastAsia="zh-CN"/>
        </w:rPr>
        <w:t>无法证明经过</w:t>
      </w:r>
      <w:r>
        <w:rPr>
          <w:rFonts w:hint="eastAsia" w:ascii="仿宋" w:hAnsi="仿宋" w:eastAsia="仿宋" w:cs="仿宋"/>
          <w:b/>
          <w:bCs/>
          <w:sz w:val="32"/>
          <w:szCs w:val="32"/>
          <w:lang w:val="en-US" w:eastAsia="zh-CN"/>
        </w:rPr>
        <w:t>授权人员</w:t>
      </w:r>
      <w:r>
        <w:rPr>
          <w:rFonts w:hint="eastAsia" w:ascii="仿宋" w:hAnsi="仿宋" w:eastAsia="仿宋" w:cs="仿宋"/>
          <w:b w:val="0"/>
          <w:bCs w:val="0"/>
          <w:sz w:val="32"/>
          <w:szCs w:val="32"/>
          <w:lang w:val="en-US" w:eastAsia="zh-CN"/>
        </w:rPr>
        <w:t>确认其真实准确。无法证明工资发放标准和计算是否符合</w:t>
      </w:r>
      <w:r>
        <w:rPr>
          <w:rFonts w:hint="eastAsia" w:ascii="仿宋" w:hAnsi="仿宋" w:eastAsia="仿宋" w:cs="仿宋"/>
          <w:b/>
          <w:bCs/>
          <w:sz w:val="32"/>
          <w:szCs w:val="32"/>
          <w:lang w:val="en-US" w:eastAsia="zh-CN"/>
        </w:rPr>
        <w:t>相关政策规定</w:t>
      </w:r>
      <w:r>
        <w:rPr>
          <w:rFonts w:hint="eastAsia" w:ascii="仿宋" w:hAnsi="仿宋" w:eastAsia="仿宋" w:cs="仿宋"/>
          <w:b w:val="0"/>
          <w:bCs w:val="0"/>
          <w:sz w:val="32"/>
          <w:szCs w:val="32"/>
          <w:lang w:val="en-US" w:eastAsia="zh-CN"/>
        </w:rPr>
        <w:t>（如人事部门的批复文件）。</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行政事业单位内部控制规范（试行）》（财会〔2012〕21号）第十六条：“单位内部控制方法包括不相容岗位相互分离、内部授权审批控制、归口管理等。”工资发放没有审批签字，严重违反了“内部授权审批控制”原则。违反了“经办、审核、审批”相分离的内控基本原则，容易产生错误和舞弊风险。例如，财务人员可能擅自修改数据而无人复核。</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上述违反了《会计基础工作规范》（财会字〔1996〕19号）。强调原始凭证的完整性和真实性。未经审批的工资表不能作为合法、有效的记账原始凭证附件。要求各单位应当建立内部的稽核和审批制度。</w:t>
      </w:r>
      <w:r>
        <w:rPr>
          <w:rFonts w:hint="eastAsia" w:ascii="仿宋" w:hAnsi="仿宋" w:eastAsia="仿宋" w:cs="仿宋"/>
          <w:b/>
          <w:bCs/>
          <w:sz w:val="32"/>
          <w:szCs w:val="32"/>
          <w:lang w:val="en-US" w:eastAsia="zh-CN"/>
        </w:rPr>
        <w:t>相关政策4：</w:t>
      </w:r>
      <w:r>
        <w:rPr>
          <w:rFonts w:hint="eastAsia" w:ascii="仿宋" w:hAnsi="仿宋" w:eastAsia="仿宋" w:cs="仿宋"/>
          <w:b w:val="0"/>
          <w:bCs w:val="0"/>
          <w:sz w:val="32"/>
          <w:szCs w:val="32"/>
          <w:lang w:val="en-US" w:eastAsia="zh-CN"/>
        </w:rPr>
        <w:t>上述违反了地方政府和财政部门的具体规定。各地财政局通常会有更细化的财政资金支付管理办法、工资统发实施细则等，其中必然会明确要求工资发放必须经过单位人事、财务负责人乃至单位领导的审批，并要求附上银行回单作为做账依据。</w:t>
      </w:r>
    </w:p>
    <w:p w14:paraId="10E58A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建议：规范管理、防范风险、提升效能。短期建议，及时整改。A补全审批手续。</w:t>
      </w:r>
      <w:r>
        <w:rPr>
          <w:rFonts w:hint="eastAsia" w:ascii="仿宋" w:hAnsi="仿宋" w:eastAsia="仿宋" w:cs="仿宋"/>
          <w:b w:val="0"/>
          <w:bCs w:val="0"/>
          <w:sz w:val="32"/>
          <w:szCs w:val="32"/>
          <w:lang w:val="en-US" w:eastAsia="zh-CN"/>
        </w:rPr>
        <w:t>及时对当期的工资发放明细表进行补审批。由制表人、审核人、审批人（通常为单位分管财务的领导或财务主管）补签姓名和日期，并可根据情况补充“已核，数据无误”等简要审核意见。</w:t>
      </w:r>
      <w:r>
        <w:rPr>
          <w:rFonts w:hint="eastAsia" w:ascii="仿宋" w:hAnsi="仿宋" w:eastAsia="仿宋" w:cs="仿宋"/>
          <w:b/>
          <w:bCs/>
          <w:sz w:val="32"/>
          <w:szCs w:val="32"/>
          <w:lang w:val="en-US" w:eastAsia="zh-CN"/>
        </w:rPr>
        <w:t>B获取银行回单。</w:t>
      </w:r>
      <w:r>
        <w:rPr>
          <w:rFonts w:hint="eastAsia" w:ascii="仿宋" w:hAnsi="仿宋" w:eastAsia="仿宋" w:cs="仿宋"/>
          <w:b w:val="0"/>
          <w:bCs w:val="0"/>
          <w:sz w:val="32"/>
          <w:szCs w:val="32"/>
          <w:lang w:val="en-US" w:eastAsia="zh-CN"/>
        </w:rPr>
        <w:t>立即联系代理银行，获取历史月份的工资发放成功回单（电子版或纸质版），作为原始凭证附件装入会计档案。</w:t>
      </w:r>
      <w:r>
        <w:rPr>
          <w:rFonts w:hint="eastAsia" w:ascii="仿宋" w:hAnsi="仿宋" w:eastAsia="仿宋" w:cs="仿宋"/>
          <w:b/>
          <w:bCs/>
          <w:sz w:val="32"/>
          <w:szCs w:val="32"/>
          <w:lang w:val="en-US" w:eastAsia="zh-CN"/>
        </w:rPr>
        <w:t>长期建议，加强制度建设，完善内控制度。A制定或修订本单位《工资发放管理内部控制实施细则》。B明确以下流程。一是编制管理。</w:t>
      </w:r>
      <w:r>
        <w:rPr>
          <w:rFonts w:hint="eastAsia" w:ascii="仿宋" w:hAnsi="仿宋" w:eastAsia="仿宋" w:cs="仿宋"/>
          <w:b w:val="0"/>
          <w:bCs w:val="0"/>
          <w:sz w:val="32"/>
          <w:szCs w:val="32"/>
          <w:lang w:val="en-US" w:eastAsia="zh-CN"/>
        </w:rPr>
        <w:t>由人事部门或指定人员根据政策编制工资变动表和应发数据。</w:t>
      </w:r>
      <w:r>
        <w:rPr>
          <w:rFonts w:hint="eastAsia" w:ascii="仿宋" w:hAnsi="仿宋" w:eastAsia="仿宋" w:cs="仿宋"/>
          <w:b/>
          <w:bCs/>
          <w:sz w:val="32"/>
          <w:szCs w:val="32"/>
          <w:lang w:val="en-US" w:eastAsia="zh-CN"/>
        </w:rPr>
        <w:t>二是审核。</w:t>
      </w:r>
      <w:r>
        <w:rPr>
          <w:rFonts w:hint="eastAsia" w:ascii="仿宋" w:hAnsi="仿宋" w:eastAsia="仿宋" w:cs="仿宋"/>
          <w:b w:val="0"/>
          <w:bCs w:val="0"/>
          <w:sz w:val="32"/>
          <w:szCs w:val="32"/>
          <w:lang w:val="en-US" w:eastAsia="zh-CN"/>
        </w:rPr>
        <w:t>财务部门根据人事通知审核数据准确性。</w:t>
      </w:r>
    </w:p>
    <w:p w14:paraId="503E35D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三是审批。</w:t>
      </w:r>
      <w:r>
        <w:rPr>
          <w:rFonts w:hint="eastAsia" w:ascii="仿宋" w:hAnsi="仿宋" w:eastAsia="仿宋" w:cs="仿宋"/>
          <w:b w:val="0"/>
          <w:bCs w:val="0"/>
          <w:sz w:val="32"/>
          <w:szCs w:val="32"/>
          <w:lang w:val="en-US" w:eastAsia="zh-CN"/>
        </w:rPr>
        <w:t>规定明确的审批权限和流程，例如：财务负责人审核后，必须报单位主要领导或分管财务领导审批签字，方可进入支付程序。审批签字必须是纸质或具有同等法律效力的电子签批流程。</w:t>
      </w:r>
      <w:r>
        <w:rPr>
          <w:rFonts w:hint="eastAsia" w:ascii="仿宋" w:hAnsi="仿宋" w:eastAsia="仿宋" w:cs="仿宋"/>
          <w:b/>
          <w:bCs/>
          <w:sz w:val="32"/>
          <w:szCs w:val="32"/>
          <w:lang w:val="en-US" w:eastAsia="zh-CN"/>
        </w:rPr>
        <w:t>四是支付与归档。</w:t>
      </w:r>
      <w:r>
        <w:rPr>
          <w:rFonts w:hint="eastAsia" w:ascii="仿宋" w:hAnsi="仿宋" w:eastAsia="仿宋" w:cs="仿宋"/>
          <w:b w:val="0"/>
          <w:bCs w:val="0"/>
          <w:sz w:val="32"/>
          <w:szCs w:val="32"/>
          <w:lang w:val="en-US" w:eastAsia="zh-CN"/>
        </w:rPr>
        <w:t>财务人员凭审批完毕的工资表提交国库支付申请，支付完成后，必须及时将经审批的工资表、国库支付凭证、银行发放成功回单三者一并作为记账凭证的附件，妥善保管。</w:t>
      </w:r>
      <w:r>
        <w:rPr>
          <w:rFonts w:hint="eastAsia" w:ascii="仿宋" w:hAnsi="仿宋" w:eastAsia="仿宋" w:cs="仿宋"/>
          <w:b/>
          <w:bCs/>
          <w:sz w:val="32"/>
          <w:szCs w:val="32"/>
          <w:lang w:val="en-US" w:eastAsia="zh-CN"/>
        </w:rPr>
        <w:t>C推行电子审批。</w:t>
      </w:r>
      <w:r>
        <w:rPr>
          <w:rFonts w:hint="eastAsia" w:ascii="仿宋" w:hAnsi="仿宋" w:eastAsia="仿宋" w:cs="仿宋"/>
          <w:b w:val="0"/>
          <w:bCs w:val="0"/>
          <w:sz w:val="32"/>
          <w:szCs w:val="32"/>
          <w:lang w:val="en-US" w:eastAsia="zh-CN"/>
        </w:rPr>
        <w:t>如有条件，建议在OA系统或财政一体化平台上实现工资发放的线上审批流程，使审批环节留痕、不可篡改，提高效率和规范性。</w:t>
      </w:r>
    </w:p>
    <w:p w14:paraId="0DA6983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D加强人员培训。</w:t>
      </w:r>
      <w:r>
        <w:rPr>
          <w:rFonts w:hint="eastAsia" w:ascii="仿宋" w:hAnsi="仿宋" w:eastAsia="仿宋" w:cs="仿宋"/>
          <w:b w:val="0"/>
          <w:bCs w:val="0"/>
          <w:sz w:val="32"/>
          <w:szCs w:val="32"/>
          <w:lang w:val="en-US" w:eastAsia="zh-CN"/>
        </w:rPr>
        <w:t>对财务人员和相关审批负责人进行内控规范和财务知识的定期培训，强化其风险意识和责任意识。</w:t>
      </w:r>
    </w:p>
    <w:p w14:paraId="485FB0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3.支付医疗保险、工伤保险、职业年金后仅附国库支付单，银行端查询缴税凭证，附人员名单、缴费基数确认表、明确的计算依据、银行付款回单，但无人力资源部审批意见及盖章等。</w:t>
      </w:r>
    </w:p>
    <w:p w14:paraId="01EEA2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内部控制的基本原则即不相容岗位分离原则。社保的计提（计算）与审核（审批）属于不相容岗位。人力资源部门负责提供准确的人员、工资数据（计算），部门负责根据审核后的数据记账和支付。如果无人力资源部门的审核，就相当于部门计算与支付，失去了关键的内部监督和制约，极易导致错误和舞弊。</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审核与审批控制原则。任何重要的经济事项，必须经过适当的授权和审核。人力资源部门的盖章审批，正是这一控制环节的关键书面证据。缺少它，意味着整个业务流程缺少了至关重要的“刹车”和“校验”环节。</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上述违反了《中华人民共和国预算法》。社保支出是单位预算的重要组成部分。无人力资源部门审核，编制的社保支出预算和决算就缺乏可靠的数据来源和核对依据，影响预算编制的准确性和预算执行的严肃性。</w:t>
      </w:r>
      <w:r>
        <w:rPr>
          <w:rFonts w:hint="eastAsia" w:ascii="仿宋" w:hAnsi="仿宋" w:eastAsia="仿宋" w:cs="仿宋"/>
          <w:b/>
          <w:bCs/>
          <w:sz w:val="32"/>
          <w:szCs w:val="32"/>
          <w:lang w:val="en-US" w:eastAsia="zh-CN"/>
        </w:rPr>
        <w:t>存在三类风险。一是数据不准确风险。</w:t>
      </w:r>
      <w:r>
        <w:rPr>
          <w:rFonts w:hint="eastAsia" w:ascii="仿宋" w:hAnsi="仿宋" w:eastAsia="仿宋" w:cs="仿宋"/>
          <w:b w:val="0"/>
          <w:bCs w:val="0"/>
          <w:sz w:val="32"/>
          <w:szCs w:val="32"/>
          <w:lang w:val="en-US" w:eastAsia="zh-CN"/>
        </w:rPr>
        <w:t>人员调入、调出、离职、工资变动等信息未能及时、准确地传递给财务部门，导致多缴、少缴或为已离职人员缴费，造成财政资金损失。</w:t>
      </w:r>
      <w:r>
        <w:rPr>
          <w:rFonts w:hint="eastAsia" w:ascii="仿宋" w:hAnsi="仿宋" w:eastAsia="仿宋" w:cs="仿宋"/>
          <w:b/>
          <w:bCs/>
          <w:sz w:val="32"/>
          <w:szCs w:val="32"/>
          <w:lang w:val="en-US" w:eastAsia="zh-CN"/>
        </w:rPr>
        <w:t>二是舞弊风险。</w:t>
      </w:r>
      <w:r>
        <w:rPr>
          <w:rFonts w:hint="eastAsia" w:ascii="仿宋" w:hAnsi="仿宋" w:eastAsia="仿宋" w:cs="仿宋"/>
          <w:b w:val="0"/>
          <w:bCs w:val="0"/>
          <w:sz w:val="32"/>
          <w:szCs w:val="32"/>
          <w:lang w:val="en-US" w:eastAsia="zh-CN"/>
        </w:rPr>
        <w:t>在缺乏监督的情况下，存在虚报人数、虚增工资基数从而套取资金的风险。</w:t>
      </w:r>
      <w:r>
        <w:rPr>
          <w:rFonts w:hint="eastAsia" w:ascii="仿宋" w:hAnsi="仿宋" w:eastAsia="仿宋" w:cs="仿宋"/>
          <w:b/>
          <w:bCs/>
          <w:sz w:val="32"/>
          <w:szCs w:val="32"/>
          <w:lang w:val="en-US" w:eastAsia="zh-CN"/>
        </w:rPr>
        <w:t>三是合规性风险。</w:t>
      </w:r>
      <w:r>
        <w:rPr>
          <w:rFonts w:hint="eastAsia" w:ascii="仿宋" w:hAnsi="仿宋" w:eastAsia="仿宋" w:cs="仿宋"/>
          <w:b w:val="0"/>
          <w:bCs w:val="0"/>
          <w:sz w:val="32"/>
          <w:szCs w:val="32"/>
          <w:lang w:val="en-US" w:eastAsia="zh-CN"/>
        </w:rPr>
        <w:t>可能导致社保缴费不符合《中华人民共和国社会保险法》及相关规定，面临社保稽查部门的处罚。</w:t>
      </w:r>
    </w:p>
    <w:p w14:paraId="039E2D3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w:t>
      </w:r>
      <w:r>
        <w:rPr>
          <w:rFonts w:hint="eastAsia" w:ascii="仿宋" w:hAnsi="仿宋" w:eastAsia="仿宋" w:cs="仿宋"/>
          <w:b w:val="0"/>
          <w:bCs w:val="0"/>
          <w:sz w:val="32"/>
          <w:szCs w:val="32"/>
          <w:lang w:val="en-US" w:eastAsia="zh-CN"/>
        </w:rPr>
        <w:t>应从</w:t>
      </w:r>
      <w:r>
        <w:rPr>
          <w:rFonts w:hint="eastAsia" w:ascii="仿宋" w:hAnsi="仿宋" w:eastAsia="仿宋" w:cs="仿宋"/>
          <w:b/>
          <w:bCs/>
          <w:sz w:val="32"/>
          <w:szCs w:val="32"/>
          <w:lang w:val="en-US" w:eastAsia="zh-CN"/>
        </w:rPr>
        <w:t>“及时整改”</w:t>
      </w:r>
      <w:r>
        <w:rPr>
          <w:rFonts w:hint="eastAsia" w:ascii="仿宋" w:hAnsi="仿宋" w:eastAsia="仿宋" w:cs="仿宋"/>
          <w:b w:val="0"/>
          <w:bCs w:val="0"/>
          <w:sz w:val="32"/>
          <w:szCs w:val="32"/>
          <w:lang w:val="en-US" w:eastAsia="zh-CN"/>
        </w:rPr>
        <w:t>和</w:t>
      </w:r>
      <w:r>
        <w:rPr>
          <w:rFonts w:hint="eastAsia" w:ascii="仿宋" w:hAnsi="仿宋" w:eastAsia="仿宋" w:cs="仿宋"/>
          <w:b/>
          <w:bCs/>
          <w:sz w:val="32"/>
          <w:szCs w:val="32"/>
          <w:lang w:val="en-US" w:eastAsia="zh-CN"/>
        </w:rPr>
        <w:t>“长效机制”</w:t>
      </w:r>
      <w:r>
        <w:rPr>
          <w:rFonts w:hint="eastAsia" w:ascii="仿宋" w:hAnsi="仿宋" w:eastAsia="仿宋" w:cs="仿宋"/>
          <w:b w:val="0"/>
          <w:bCs w:val="0"/>
          <w:sz w:val="32"/>
          <w:szCs w:val="32"/>
          <w:lang w:val="en-US" w:eastAsia="zh-CN"/>
        </w:rPr>
        <w:t>两个层面提出建议。</w:t>
      </w:r>
      <w:r>
        <w:rPr>
          <w:rFonts w:hint="eastAsia" w:ascii="仿宋" w:hAnsi="仿宋" w:eastAsia="仿宋" w:cs="仿宋"/>
          <w:b/>
          <w:bCs/>
          <w:sz w:val="32"/>
          <w:szCs w:val="32"/>
          <w:lang w:val="en-US" w:eastAsia="zh-CN"/>
        </w:rPr>
        <w:t>一是及时整改措施（针对已发现的问题）。A补充审批程序，</w:t>
      </w:r>
      <w:r>
        <w:rPr>
          <w:rFonts w:hint="eastAsia" w:ascii="仿宋" w:hAnsi="仿宋" w:eastAsia="仿宋" w:cs="仿宋"/>
          <w:b w:val="0"/>
          <w:bCs w:val="0"/>
          <w:sz w:val="32"/>
          <w:szCs w:val="32"/>
          <w:lang w:val="en-US" w:eastAsia="zh-CN"/>
        </w:rPr>
        <w:t>要求该预算单位立即对评价期内所有的社保计提与缴费业务，补充人力资源部门的审核确认手续。对于缺失的审批单，应限期补办，由人力资源部门负责人签字并加盖部门公章。</w:t>
      </w:r>
      <w:r>
        <w:rPr>
          <w:rFonts w:hint="eastAsia" w:ascii="仿宋" w:hAnsi="仿宋" w:eastAsia="仿宋" w:cs="仿宋"/>
          <w:b/>
          <w:bCs/>
          <w:sz w:val="32"/>
          <w:szCs w:val="32"/>
          <w:lang w:val="en-US" w:eastAsia="zh-CN"/>
        </w:rPr>
        <w:t>B书面说明情况，</w:t>
      </w:r>
      <w:r>
        <w:rPr>
          <w:rFonts w:hint="eastAsia" w:ascii="仿宋" w:hAnsi="仿宋" w:eastAsia="仿宋" w:cs="仿宋"/>
          <w:b w:val="0"/>
          <w:bCs w:val="0"/>
          <w:sz w:val="32"/>
          <w:szCs w:val="32"/>
          <w:lang w:val="en-US" w:eastAsia="zh-CN"/>
        </w:rPr>
        <w:t>要求该单位就此次内控缺失问题提交书面说明，解释原因并承诺整改，由单位主要负责人签字，以表明单位领导对此问题的重视。</w:t>
      </w:r>
      <w:r>
        <w:rPr>
          <w:rFonts w:hint="eastAsia" w:ascii="仿宋" w:hAnsi="仿宋" w:eastAsia="仿宋" w:cs="仿宋"/>
          <w:b/>
          <w:bCs/>
          <w:sz w:val="32"/>
          <w:szCs w:val="32"/>
          <w:lang w:val="en-US" w:eastAsia="zh-CN"/>
        </w:rPr>
        <w:t>二是长效机制建设建议（从根本上解决问题）。A完善制度建设，明确责任分工。</w:t>
      </w:r>
      <w:r>
        <w:rPr>
          <w:rFonts w:hint="eastAsia" w:ascii="仿宋" w:hAnsi="仿宋" w:eastAsia="仿宋" w:cs="仿宋"/>
          <w:b w:val="0"/>
          <w:bCs w:val="0"/>
          <w:sz w:val="32"/>
          <w:szCs w:val="32"/>
          <w:lang w:val="en-US" w:eastAsia="zh-CN"/>
        </w:rPr>
        <w:t>修订其内部财务管理制度和人力资源</w:t>
      </w:r>
      <w:r>
        <w:rPr>
          <w:rFonts w:hint="eastAsia" w:ascii="仿宋" w:hAnsi="仿宋" w:eastAsia="仿宋" w:cs="仿宋"/>
          <w:b/>
          <w:bCs/>
          <w:sz w:val="32"/>
          <w:szCs w:val="32"/>
          <w:lang w:val="en-US" w:eastAsia="zh-CN"/>
        </w:rPr>
        <w:t>管理流程。</w:t>
      </w:r>
      <w:r>
        <w:rPr>
          <w:rFonts w:hint="eastAsia" w:ascii="仿宋" w:hAnsi="仿宋" w:eastAsia="仿宋" w:cs="仿宋"/>
          <w:b w:val="0"/>
          <w:bCs w:val="0"/>
          <w:sz w:val="32"/>
          <w:szCs w:val="32"/>
          <w:lang w:val="en-US" w:eastAsia="zh-CN"/>
        </w:rPr>
        <w:t>明文规定，社保的计提必须以经人力资源部门审核、盖章（或负责人签字）的《人员及工资变动汇总表》或《社保缴费核定表》作为</w:t>
      </w:r>
      <w:r>
        <w:rPr>
          <w:rFonts w:hint="eastAsia" w:ascii="仿宋" w:hAnsi="仿宋" w:eastAsia="仿宋" w:cs="仿宋"/>
          <w:b/>
          <w:bCs/>
          <w:sz w:val="32"/>
          <w:szCs w:val="32"/>
          <w:lang w:val="en-US" w:eastAsia="zh-CN"/>
        </w:rPr>
        <w:t>唯一依据。</w:t>
      </w:r>
      <w:r>
        <w:rPr>
          <w:rFonts w:hint="eastAsia" w:ascii="仿宋" w:hAnsi="仿宋" w:eastAsia="仿宋" w:cs="仿宋"/>
          <w:b w:val="0"/>
          <w:bCs w:val="0"/>
          <w:sz w:val="32"/>
          <w:szCs w:val="32"/>
          <w:lang w:val="en-US" w:eastAsia="zh-CN"/>
        </w:rPr>
        <w:t>部门必须见到合规的审批单后方可进行账务处理和办理缴费。</w:t>
      </w:r>
      <w:r>
        <w:rPr>
          <w:rFonts w:hint="eastAsia" w:ascii="仿宋" w:hAnsi="仿宋" w:eastAsia="仿宋" w:cs="仿宋"/>
          <w:b/>
          <w:bCs/>
          <w:sz w:val="32"/>
          <w:szCs w:val="32"/>
          <w:lang w:val="en-US" w:eastAsia="zh-CN"/>
        </w:rPr>
        <w:t>B优化业务流程，固化审批环节。设计标准化的审批表单，</w:t>
      </w:r>
      <w:r>
        <w:rPr>
          <w:rFonts w:hint="eastAsia" w:ascii="仿宋" w:hAnsi="仿宋" w:eastAsia="仿宋" w:cs="仿宋"/>
          <w:b w:val="0"/>
          <w:bCs w:val="0"/>
          <w:sz w:val="32"/>
          <w:szCs w:val="32"/>
          <w:lang w:val="en-US" w:eastAsia="zh-CN"/>
        </w:rPr>
        <w:t>表单应包含人员姓名、身份证号、缴费基数、单位应缴额、个人应缴额、合计金额等核心信息，并设置“制表人”、“人力资源部门审核人”、“财务部门复核人”等签章栏位。</w:t>
      </w:r>
      <w:r>
        <w:rPr>
          <w:rFonts w:hint="eastAsia" w:ascii="仿宋" w:hAnsi="仿宋" w:eastAsia="仿宋" w:cs="仿宋"/>
          <w:b/>
          <w:bCs/>
          <w:sz w:val="32"/>
          <w:szCs w:val="32"/>
          <w:lang w:val="en-US" w:eastAsia="zh-CN"/>
        </w:rPr>
        <w:t>固化流程，</w:t>
      </w:r>
      <w:r>
        <w:rPr>
          <w:rFonts w:hint="eastAsia" w:ascii="仿宋" w:hAnsi="仿宋" w:eastAsia="仿宋" w:cs="仿宋"/>
          <w:b w:val="0"/>
          <w:bCs w:val="0"/>
          <w:sz w:val="32"/>
          <w:szCs w:val="32"/>
          <w:lang w:val="en-US" w:eastAsia="zh-CN"/>
        </w:rPr>
        <w:t>每月（或每季度）初，人力资源部门制作表单并审核签章-&gt;提交至财务部门-&gt;财务部门复核无误后-&gt;进行计提和缴费-&gt;将审批单作为重要原始凭证附于记账凭证之后。</w:t>
      </w:r>
      <w:r>
        <w:rPr>
          <w:rFonts w:hint="eastAsia" w:ascii="仿宋" w:hAnsi="仿宋" w:eastAsia="仿宋" w:cs="仿宋"/>
          <w:b/>
          <w:bCs/>
          <w:sz w:val="32"/>
          <w:szCs w:val="32"/>
          <w:lang w:val="en-US" w:eastAsia="zh-CN"/>
        </w:rPr>
        <w:t>加强信息化建设，实现数据联动，</w:t>
      </w:r>
      <w:r>
        <w:rPr>
          <w:rFonts w:hint="eastAsia" w:ascii="仿宋" w:hAnsi="仿宋" w:eastAsia="仿宋" w:cs="仿宋"/>
          <w:b w:val="0"/>
          <w:bCs w:val="0"/>
          <w:sz w:val="32"/>
          <w:szCs w:val="32"/>
          <w:lang w:val="en-US" w:eastAsia="zh-CN"/>
        </w:rPr>
        <w:t>长远来看，建议推动单位使用集成的财务与人力资源管理系统。通过系统设置，实现人力资源数据变动后，社保数据自动生成，并通过线上流程推送给相关负责人审批，审批完成后数据自动传递至财务系统。这样可以减少人为干预，提高效率和准确性。</w:t>
      </w:r>
    </w:p>
    <w:p w14:paraId="56679F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w:t>
      </w:r>
      <w:bookmarkStart w:id="64" w:name="_GoBack"/>
      <w:r>
        <w:rPr>
          <w:rFonts w:hint="eastAsia" w:ascii="仿宋" w:hAnsi="仿宋" w:eastAsia="仿宋" w:cs="仿宋"/>
          <w:b/>
          <w:bCs/>
          <w:sz w:val="32"/>
          <w:szCs w:val="32"/>
          <w:lang w:val="en-US" w:eastAsia="zh-CN"/>
        </w:rPr>
        <w:t>住房公积</w:t>
      </w:r>
      <w:bookmarkEnd w:id="64"/>
      <w:r>
        <w:rPr>
          <w:rFonts w:hint="eastAsia" w:ascii="仿宋" w:hAnsi="仿宋" w:eastAsia="仿宋" w:cs="仿宋"/>
          <w:b/>
          <w:bCs/>
          <w:sz w:val="32"/>
          <w:szCs w:val="32"/>
          <w:lang w:val="en-US" w:eastAsia="zh-CN"/>
        </w:rPr>
        <w:t>金交通补贴津贴的计提缺乏人力资源或组织部门的审核盖章。</w:t>
      </w:r>
    </w:p>
    <w:p w14:paraId="33EA3F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上述违反了《中华人民共和国预算法》关于“支出必须以经批准的预算为依据</w:t>
      </w:r>
      <w:r>
        <w:rPr>
          <w:rFonts w:hint="default"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的规定。如果人力资源部门未审核盖章，预算部门发放补贴，可能构成无预算、超预算支出，或向不符合预算规定的人员发放补贴。人力资源或组织部门的盖章，核心目的在于审核确认补贴发放人员的名单、资格及标准是否准确合规。缺少这一环节，就缺失了重要的内部监督。</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中华人民共和国发票管理办法》。不符合规定的发票不得作为财务报销凭证。类推到补贴发放，表单不全同样会影响财务核算的合规性。缺少必要的签章，会使交通补贴发放表作为财务报销凭证的完整性、合规性存在瑕疵。在审计或检查时可能被要求整改甚至追回资金。</w:t>
      </w:r>
    </w:p>
    <w:p w14:paraId="5DE7B29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建议：一是补全审核签章流程。</w:t>
      </w:r>
      <w:r>
        <w:rPr>
          <w:rFonts w:hint="eastAsia" w:ascii="仿宋" w:hAnsi="仿宋" w:eastAsia="仿宋" w:cs="仿宋"/>
          <w:b w:val="0"/>
          <w:bCs w:val="0"/>
          <w:sz w:val="32"/>
          <w:szCs w:val="32"/>
          <w:lang w:val="en-US" w:eastAsia="zh-CN"/>
        </w:rPr>
        <w:t>及时补办，对于已发放但缺少签章的补贴，应尽快联系人力资源或组织部门，对发放名单和金额进行事后审核与追认，并在发放表上补盖部门公章。</w:t>
      </w:r>
      <w:r>
        <w:rPr>
          <w:rFonts w:hint="eastAsia" w:ascii="仿宋" w:hAnsi="仿宋" w:eastAsia="仿宋" w:cs="仿宋"/>
          <w:b/>
          <w:bCs/>
          <w:sz w:val="32"/>
          <w:szCs w:val="32"/>
          <w:lang w:val="en-US" w:eastAsia="zh-CN"/>
        </w:rPr>
        <w:t>二是规范未来操作。</w:t>
      </w:r>
      <w:r>
        <w:rPr>
          <w:rFonts w:hint="eastAsia" w:ascii="仿宋" w:hAnsi="仿宋" w:eastAsia="仿宋" w:cs="仿宋"/>
          <w:b w:val="0"/>
          <w:bCs w:val="0"/>
          <w:sz w:val="32"/>
          <w:szCs w:val="32"/>
          <w:lang w:val="en-US" w:eastAsia="zh-CN"/>
        </w:rPr>
        <w:t>严格执行“制表、审核、审批、盖章”的流程。在造表上至少确保有制表人、单位主要负责人签字，并加盖单位和人力资源/组织部门的公章。</w:t>
      </w:r>
      <w:r>
        <w:rPr>
          <w:rFonts w:hint="eastAsia" w:ascii="仿宋" w:hAnsi="仿宋" w:eastAsia="仿宋" w:cs="仿宋"/>
          <w:b/>
          <w:bCs/>
          <w:sz w:val="32"/>
          <w:szCs w:val="32"/>
          <w:lang w:val="en-US" w:eastAsia="zh-CN"/>
        </w:rPr>
        <w:t>三是明确部门职责。</w:t>
      </w:r>
      <w:r>
        <w:rPr>
          <w:rFonts w:hint="eastAsia" w:ascii="仿宋" w:hAnsi="仿宋" w:eastAsia="仿宋" w:cs="仿宋"/>
          <w:b w:val="0"/>
          <w:bCs w:val="0"/>
          <w:sz w:val="32"/>
          <w:szCs w:val="32"/>
          <w:lang w:val="en-US" w:eastAsia="zh-CN"/>
        </w:rPr>
        <w:t>人力资源或组织部门负责前置审核补贴发放人员的资格、级别、标准，并提供必要的依据（如组织任命文件复印件）。按规定进行内部公示。预算或财务部门依据已经审核盖章的明细表，主要负责资金调度和办理支付。</w:t>
      </w:r>
      <w:r>
        <w:rPr>
          <w:rFonts w:hint="eastAsia" w:ascii="仿宋" w:hAnsi="仿宋" w:eastAsia="仿宋" w:cs="仿宋"/>
          <w:b/>
          <w:bCs/>
          <w:sz w:val="32"/>
          <w:szCs w:val="32"/>
          <w:lang w:val="en-US" w:eastAsia="zh-CN"/>
        </w:rPr>
        <w:t>四是加强内部控制和沟通。</w:t>
      </w:r>
      <w:r>
        <w:rPr>
          <w:rFonts w:hint="eastAsia" w:ascii="仿宋" w:hAnsi="仿宋" w:eastAsia="仿宋" w:cs="仿宋"/>
          <w:b w:val="0"/>
          <w:bCs w:val="0"/>
          <w:sz w:val="32"/>
          <w:szCs w:val="32"/>
          <w:lang w:val="en-US" w:eastAsia="zh-CN"/>
        </w:rPr>
        <w:t>单位应建立健全内部审批制度，将人力资源或组织部门的审核盖章明确为交通补贴发放的必备前置环节。财务人员在办理支付时，须严格审核发放附件的完整性和合规性，对缺少必要签章的申请有权拒绝办理。主动与本单位的人力资源部门、上级主管部门及财政部门沟通，确保遵循本地、本层级的最新具体规定。</w:t>
      </w:r>
    </w:p>
    <w:p w14:paraId="183EB3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5.</w:t>
      </w:r>
      <w:r>
        <w:rPr>
          <w:rFonts w:hint="default" w:ascii="仿宋" w:hAnsi="仿宋" w:eastAsia="仿宋" w:cs="仿宋"/>
          <w:b/>
          <w:bCs/>
          <w:sz w:val="32"/>
          <w:szCs w:val="32"/>
          <w:highlight w:val="none"/>
          <w:lang w:val="en-US" w:eastAsia="zh-CN"/>
        </w:rPr>
        <w:t>发放退</w:t>
      </w:r>
      <w:r>
        <w:rPr>
          <w:rFonts w:hint="default" w:ascii="仿宋" w:hAnsi="仿宋" w:eastAsia="仿宋" w:cs="仿宋"/>
          <w:b/>
          <w:bCs/>
          <w:sz w:val="32"/>
          <w:szCs w:val="32"/>
          <w:lang w:val="en-US" w:eastAsia="zh-CN"/>
        </w:rPr>
        <w:t>休人员补贴由本单位领导签字，无人力资源审核</w:t>
      </w:r>
      <w:r>
        <w:rPr>
          <w:rFonts w:hint="eastAsia" w:ascii="仿宋" w:hAnsi="仿宋" w:eastAsia="仿宋" w:cs="仿宋"/>
          <w:b/>
          <w:bCs/>
          <w:sz w:val="32"/>
          <w:szCs w:val="32"/>
          <w:lang w:val="en-US" w:eastAsia="zh-CN"/>
        </w:rPr>
        <w:t>，</w:t>
      </w:r>
      <w:r>
        <w:rPr>
          <w:rFonts w:hint="default" w:ascii="仿宋" w:hAnsi="仿宋" w:eastAsia="仿宋" w:cs="仿宋"/>
          <w:b/>
          <w:bCs/>
          <w:sz w:val="32"/>
          <w:szCs w:val="32"/>
          <w:lang w:val="en-US" w:eastAsia="zh-CN"/>
        </w:rPr>
        <w:t>无银行回单。</w:t>
      </w:r>
    </w:p>
    <w:p w14:paraId="4347EF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相关政策1：</w:t>
      </w:r>
      <w:r>
        <w:rPr>
          <w:rFonts w:hint="eastAsia" w:ascii="仿宋" w:hAnsi="仿宋" w:eastAsia="仿宋" w:cs="仿宋"/>
          <w:b w:val="0"/>
          <w:bCs w:val="0"/>
          <w:sz w:val="32"/>
          <w:szCs w:val="32"/>
          <w:highlight w:val="none"/>
          <w:lang w:val="en-US" w:eastAsia="zh-CN"/>
        </w:rPr>
        <w:t>上述违反了《行政事业单位内部控制规范（试行）》（财会〔2012〕21号）强调，业务经办、审核监督应相互分离。发放补贴应由业务部门（人力资源部）提供经过审核的人员名单、标准和依据，财务部门根据合规的审核结果进行支付。本单位领导直接签字批准，绕过了业务审核，形成了内部控制漏洞。违反内部控制原则“不相容岗位分离”和“审核与执行分离”，须从制度和执行两个层面进行纠正，确保财政资金的安全、规范和透明使用。</w:t>
      </w:r>
      <w:r>
        <w:rPr>
          <w:rFonts w:hint="eastAsia" w:ascii="仿宋" w:hAnsi="仿宋" w:eastAsia="仿宋" w:cs="仿宋"/>
          <w:b/>
          <w:bCs/>
          <w:sz w:val="32"/>
          <w:szCs w:val="32"/>
          <w:highlight w:val="none"/>
          <w:lang w:val="en-US" w:eastAsia="zh-CN"/>
        </w:rPr>
        <w:t>相关政策2：</w:t>
      </w:r>
      <w:r>
        <w:rPr>
          <w:rFonts w:hint="eastAsia" w:ascii="仿宋" w:hAnsi="仿宋" w:eastAsia="仿宋" w:cs="仿宋"/>
          <w:b w:val="0"/>
          <w:bCs w:val="0"/>
          <w:sz w:val="32"/>
          <w:szCs w:val="32"/>
          <w:highlight w:val="none"/>
          <w:lang w:val="en-US" w:eastAsia="zh-CN"/>
        </w:rPr>
        <w:t>上述违反了违反预算资金支付管理规定—“直接支付到最终收款人”。财政国库集中支付制度要求，财政资金应尽量减少中间环节，直接支付到商品或服务的最终提供者（本例中为退休人员个人）。将资金打入“内部户”属于违规转款，增加了资金截留、挪用的风险。</w:t>
      </w:r>
      <w:r>
        <w:rPr>
          <w:rFonts w:hint="eastAsia" w:ascii="仿宋" w:hAnsi="仿宋" w:eastAsia="仿宋" w:cs="仿宋"/>
          <w:b/>
          <w:bCs/>
          <w:sz w:val="32"/>
          <w:szCs w:val="32"/>
          <w:highlight w:val="none"/>
          <w:lang w:val="en-US" w:eastAsia="zh-CN"/>
        </w:rPr>
        <w:t>相关政策3：</w:t>
      </w:r>
      <w:r>
        <w:rPr>
          <w:rFonts w:hint="eastAsia" w:ascii="仿宋" w:hAnsi="仿宋" w:eastAsia="仿宋" w:cs="仿宋"/>
          <w:b w:val="0"/>
          <w:bCs w:val="0"/>
          <w:sz w:val="32"/>
          <w:szCs w:val="32"/>
          <w:highlight w:val="none"/>
          <w:lang w:val="en-US" w:eastAsia="zh-CN"/>
        </w:rPr>
        <w:t>上述违反了违反会计基础工作规范—“原始凭证不完整”。《会计基础工作规范》（财政部令第98号）要求，记账凭证必须附有真实、合法、完整的原始凭证。银行回单（或电子支付凭证）是证明款项已实际支付给指定收款人的关键原始凭证。“无银行回单”意味着该笔支出的最终去向缺乏有效证据，属于严重的凭证缺失。</w:t>
      </w:r>
    </w:p>
    <w:p w14:paraId="18294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建议：一是及时整改，完善审批流程。建立标准流程。</w:t>
      </w:r>
      <w:r>
        <w:rPr>
          <w:rFonts w:hint="eastAsia" w:ascii="仿宋" w:hAnsi="仿宋" w:eastAsia="仿宋" w:cs="仿宋"/>
          <w:b w:val="0"/>
          <w:bCs w:val="0"/>
          <w:sz w:val="32"/>
          <w:szCs w:val="32"/>
          <w:highlight w:val="none"/>
          <w:lang w:val="en-US" w:eastAsia="zh-CN"/>
        </w:rPr>
        <w:t>明确“业务部门申请 -&gt; 人力资源部门审核（核定人员资格、标准）-&gt; 财务部门复核 -&gt; 单位领导审批 -&gt; 财务支付”的完整流程。任何补贴发放必须附有经人力资源部门盖章确认的发放明细表。</w:t>
      </w:r>
      <w:r>
        <w:rPr>
          <w:rFonts w:hint="eastAsia" w:ascii="仿宋" w:hAnsi="仿宋" w:eastAsia="仿宋" w:cs="仿宋"/>
          <w:b/>
          <w:bCs/>
          <w:sz w:val="32"/>
          <w:szCs w:val="32"/>
          <w:highlight w:val="none"/>
          <w:lang w:val="en-US" w:eastAsia="zh-CN"/>
        </w:rPr>
        <w:t>二是规范支付方式，确保轨迹清晰。</w:t>
      </w:r>
      <w:r>
        <w:rPr>
          <w:rFonts w:hint="eastAsia" w:ascii="仿宋" w:hAnsi="仿宋" w:eastAsia="仿宋" w:cs="仿宋"/>
          <w:b w:val="0"/>
          <w:bCs w:val="0"/>
          <w:sz w:val="32"/>
          <w:szCs w:val="32"/>
          <w:highlight w:val="none"/>
          <w:lang w:val="en-US" w:eastAsia="zh-CN"/>
        </w:rPr>
        <w:t>考虑直接支付到人。退休人员补贴等对个人支付，通过国库集中支付系统或单位银行账户，直接拨付到退休人员个人的银行卡或存折中，杜绝使用“内部户”等中间账户进行中转。</w:t>
      </w:r>
      <w:r>
        <w:rPr>
          <w:rFonts w:hint="eastAsia" w:ascii="仿宋" w:hAnsi="仿宋" w:eastAsia="仿宋" w:cs="仿宋"/>
          <w:b/>
          <w:bCs/>
          <w:sz w:val="32"/>
          <w:szCs w:val="32"/>
          <w:highlight w:val="none"/>
          <w:lang w:val="en-US" w:eastAsia="zh-CN"/>
        </w:rPr>
        <w:t>三是获取有效支付凭证。</w:t>
      </w:r>
      <w:r>
        <w:rPr>
          <w:rFonts w:hint="eastAsia" w:ascii="仿宋" w:hAnsi="仿宋" w:eastAsia="仿宋" w:cs="仿宋"/>
          <w:b w:val="0"/>
          <w:bCs w:val="0"/>
          <w:sz w:val="32"/>
          <w:szCs w:val="32"/>
          <w:highlight w:val="none"/>
          <w:lang w:val="en-US" w:eastAsia="zh-CN"/>
        </w:rPr>
        <w:t>支付完成后，必须附上银行盖章的支付明细回单（或清晰的网上银行电子回单）作为记账凭证，</w:t>
      </w:r>
      <w:r>
        <w:rPr>
          <w:rFonts w:hint="eastAsia" w:ascii="仿宋" w:hAnsi="仿宋" w:eastAsia="仿宋" w:cs="仿宋"/>
          <w:b/>
          <w:bCs/>
          <w:sz w:val="32"/>
          <w:szCs w:val="32"/>
          <w:highlight w:val="none"/>
          <w:lang w:val="en-US" w:eastAsia="zh-CN"/>
        </w:rPr>
        <w:t>确保资金流向有据可查。四是补充完善该类业务的凭证资料。</w:t>
      </w:r>
      <w:r>
        <w:rPr>
          <w:rFonts w:hint="eastAsia" w:ascii="仿宋" w:hAnsi="仿宋" w:eastAsia="仿宋" w:cs="仿宋"/>
          <w:b w:val="0"/>
          <w:bCs w:val="0"/>
          <w:sz w:val="32"/>
          <w:szCs w:val="32"/>
          <w:highlight w:val="none"/>
          <w:lang w:val="en-US" w:eastAsia="zh-CN"/>
        </w:rPr>
        <w:t>A对于2024年2月22日业务及该类别业务，应进行追溯。要求</w:t>
      </w:r>
      <w:r>
        <w:rPr>
          <w:rFonts w:hint="eastAsia" w:ascii="仿宋" w:hAnsi="仿宋" w:eastAsia="仿宋" w:cs="仿宋"/>
          <w:b/>
          <w:bCs/>
          <w:sz w:val="32"/>
          <w:szCs w:val="32"/>
          <w:highlight w:val="none"/>
          <w:lang w:val="en-US" w:eastAsia="zh-CN"/>
        </w:rPr>
        <w:t>人力资源部门补充提供</w:t>
      </w:r>
      <w:r>
        <w:rPr>
          <w:rFonts w:hint="eastAsia" w:ascii="仿宋" w:hAnsi="仿宋" w:eastAsia="仿宋" w:cs="仿宋"/>
          <w:b w:val="0"/>
          <w:bCs w:val="0"/>
          <w:sz w:val="32"/>
          <w:szCs w:val="32"/>
          <w:highlight w:val="none"/>
          <w:lang w:val="en-US" w:eastAsia="zh-CN"/>
        </w:rPr>
        <w:t>经审核的21名退休人员春节慰问金发放名单和标准（需签字盖章）。B要求银行出具从“工资内部户1”向21名退休人员个人账户支付的银行流水或支付凭证。如果资金未最终发放到个人，应及时追回并说明情况。</w:t>
      </w:r>
      <w:r>
        <w:rPr>
          <w:rFonts w:hint="eastAsia" w:ascii="仿宋" w:hAnsi="仿宋" w:eastAsia="仿宋" w:cs="仿宋"/>
          <w:b/>
          <w:bCs/>
          <w:sz w:val="32"/>
          <w:szCs w:val="32"/>
          <w:highlight w:val="none"/>
          <w:lang w:val="en-US" w:eastAsia="zh-CN"/>
        </w:rPr>
        <w:t>五是加强财经纪律教育和内部控制培训。</w:t>
      </w:r>
      <w:r>
        <w:rPr>
          <w:rFonts w:hint="eastAsia" w:ascii="仿宋" w:hAnsi="仿宋" w:eastAsia="仿宋" w:cs="仿宋"/>
          <w:b w:val="0"/>
          <w:bCs w:val="0"/>
          <w:sz w:val="32"/>
          <w:szCs w:val="32"/>
          <w:highlight w:val="none"/>
          <w:lang w:val="en-US" w:eastAsia="zh-CN"/>
        </w:rPr>
        <w:t>对单位领导和财务人员进行财经法规和内部控制制度的培训，使其充分理解合规操作的重要性，杜绝类似情况再次发生。</w:t>
      </w:r>
    </w:p>
    <w:p w14:paraId="105830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6.工资管理“四张表、两家发”的模式是一种碎片化的管理方式，虽然可能源于历史习惯或特定管理需求，但其弊端明显，体现在以下九个方面：一是维权成本高。</w:t>
      </w:r>
      <w:r>
        <w:rPr>
          <w:rFonts w:hint="eastAsia" w:ascii="仿宋" w:hAnsi="仿宋" w:eastAsia="仿宋" w:cs="仿宋"/>
          <w:b w:val="0"/>
          <w:bCs w:val="0"/>
          <w:sz w:val="32"/>
          <w:szCs w:val="32"/>
          <w:highlight w:val="none"/>
          <w:lang w:val="en-US" w:eastAsia="zh-CN"/>
        </w:rPr>
        <w:t>如果对某一笔收入有疑问，员工需要分别向财政局和单位办公室咨询，沟通成本高，问题处理链条长。</w:t>
      </w:r>
      <w:r>
        <w:rPr>
          <w:rFonts w:hint="eastAsia" w:ascii="仿宋" w:hAnsi="仿宋" w:eastAsia="仿宋" w:cs="仿宋"/>
          <w:b/>
          <w:bCs/>
          <w:sz w:val="32"/>
          <w:szCs w:val="32"/>
          <w:highlight w:val="none"/>
          <w:lang w:val="en-US" w:eastAsia="zh-CN"/>
        </w:rPr>
        <w:t>二是数据一致性风险高。</w:t>
      </w:r>
      <w:r>
        <w:rPr>
          <w:rFonts w:hint="eastAsia" w:ascii="仿宋" w:hAnsi="仿宋" w:eastAsia="仿宋" w:cs="仿宋"/>
          <w:b w:val="0"/>
          <w:bCs w:val="0"/>
          <w:sz w:val="32"/>
          <w:szCs w:val="32"/>
          <w:highlight w:val="none"/>
          <w:lang w:val="en-US" w:eastAsia="zh-CN"/>
        </w:rPr>
        <w:t>财政统发部分和单位发放部分的基础数据（如基本工资、职级、扣款基数等）需要高度同步。任何一方的数据变动（如职级晋升、公积金调整）若未及时通知另一方，就会导致发放错误，后续纠错流程繁琐。</w:t>
      </w:r>
      <w:r>
        <w:rPr>
          <w:rFonts w:hint="eastAsia" w:ascii="仿宋" w:hAnsi="仿宋" w:eastAsia="仿宋" w:cs="仿宋"/>
          <w:b/>
          <w:bCs/>
          <w:sz w:val="32"/>
          <w:szCs w:val="32"/>
          <w:highlight w:val="none"/>
          <w:lang w:val="en-US" w:eastAsia="zh-CN"/>
        </w:rPr>
        <w:t>三是资金安全风险。</w:t>
      </w:r>
      <w:r>
        <w:rPr>
          <w:rFonts w:hint="eastAsia" w:ascii="仿宋" w:hAnsi="仿宋" w:eastAsia="仿宋" w:cs="仿宋"/>
          <w:b w:val="0"/>
          <w:bCs w:val="0"/>
          <w:sz w:val="32"/>
          <w:szCs w:val="32"/>
          <w:highlight w:val="none"/>
          <w:lang w:val="en-US" w:eastAsia="zh-CN"/>
        </w:rPr>
        <w:t>单位通常通过自有账户发放补贴，涉及资金的请款、保管、支付等环节，内部控制若不到位，存在资金安全风险。</w:t>
      </w:r>
      <w:r>
        <w:rPr>
          <w:rFonts w:hint="eastAsia" w:ascii="仿宋" w:hAnsi="仿宋" w:eastAsia="仿宋" w:cs="仿宋"/>
          <w:b/>
          <w:bCs/>
          <w:sz w:val="32"/>
          <w:szCs w:val="32"/>
          <w:highlight w:val="none"/>
          <w:lang w:val="en-US" w:eastAsia="zh-CN"/>
        </w:rPr>
        <w:t>四是人事变动同步延迟。</w:t>
      </w:r>
      <w:r>
        <w:rPr>
          <w:rFonts w:hint="eastAsia" w:ascii="仿宋" w:hAnsi="仿宋" w:eastAsia="仿宋" w:cs="仿宋"/>
          <w:b w:val="0"/>
          <w:bCs w:val="0"/>
          <w:sz w:val="32"/>
          <w:szCs w:val="32"/>
          <w:highlight w:val="none"/>
          <w:lang w:val="en-US" w:eastAsia="zh-CN"/>
        </w:rPr>
        <w:t>对于人员调入、调出、离职、退休等情况，财政局和单位办公室之间的信息传递可能存在时间差，导致多发、少发或漏发工资。</w:t>
      </w:r>
      <w:r>
        <w:rPr>
          <w:rFonts w:hint="eastAsia" w:ascii="仿宋" w:hAnsi="仿宋" w:eastAsia="仿宋" w:cs="仿宋"/>
          <w:b/>
          <w:bCs/>
          <w:sz w:val="32"/>
          <w:szCs w:val="32"/>
          <w:highlight w:val="none"/>
          <w:lang w:val="en-US" w:eastAsia="zh-CN"/>
        </w:rPr>
        <w:t>五是核算与对账复杂。</w:t>
      </w:r>
      <w:r>
        <w:rPr>
          <w:rFonts w:hint="eastAsia" w:ascii="仿宋" w:hAnsi="仿宋" w:eastAsia="仿宋" w:cs="仿宋"/>
          <w:b w:val="0"/>
          <w:bCs w:val="0"/>
          <w:sz w:val="32"/>
          <w:szCs w:val="32"/>
          <w:highlight w:val="none"/>
          <w:lang w:val="en-US" w:eastAsia="zh-CN"/>
        </w:rPr>
        <w:t>单位财务人员需要将财政发放和单位发放的两部分金额在账务上进行合并处理，期末与财政局、银行等多方对账工作量翻倍，容易出错。</w:t>
      </w:r>
      <w:r>
        <w:rPr>
          <w:rFonts w:hint="eastAsia" w:ascii="仿宋" w:hAnsi="仿宋" w:eastAsia="仿宋" w:cs="仿宋"/>
          <w:b/>
          <w:bCs/>
          <w:sz w:val="32"/>
          <w:szCs w:val="32"/>
          <w:highlight w:val="none"/>
          <w:lang w:val="en-US" w:eastAsia="zh-CN"/>
        </w:rPr>
        <w:t>六是预算编制和执行困难。</w:t>
      </w:r>
      <w:r>
        <w:rPr>
          <w:rFonts w:hint="eastAsia" w:ascii="仿宋" w:hAnsi="仿宋" w:eastAsia="仿宋" w:cs="仿宋"/>
          <w:b w:val="0"/>
          <w:bCs w:val="0"/>
          <w:sz w:val="32"/>
          <w:szCs w:val="32"/>
          <w:highlight w:val="none"/>
          <w:lang w:val="en-US" w:eastAsia="zh-CN"/>
        </w:rPr>
        <w:t>工资福利支出被分割成两块，不利于单位财务进行准确的全年人员经费预算编制，也不利于对预算执行情况进行整体把控和分析。</w:t>
      </w:r>
      <w:r>
        <w:rPr>
          <w:rFonts w:hint="eastAsia" w:ascii="仿宋" w:hAnsi="仿宋" w:eastAsia="仿宋" w:cs="仿宋"/>
          <w:b/>
          <w:bCs/>
          <w:sz w:val="32"/>
          <w:szCs w:val="32"/>
          <w:highlight w:val="none"/>
          <w:lang w:val="en-US" w:eastAsia="zh-CN"/>
        </w:rPr>
        <w:t>七是审计风险高。</w:t>
      </w:r>
      <w:r>
        <w:rPr>
          <w:rFonts w:hint="eastAsia" w:ascii="仿宋" w:hAnsi="仿宋" w:eastAsia="仿宋" w:cs="仿宋"/>
          <w:b w:val="0"/>
          <w:bCs w:val="0"/>
          <w:sz w:val="32"/>
          <w:szCs w:val="32"/>
          <w:highlight w:val="none"/>
          <w:lang w:val="en-US" w:eastAsia="zh-CN"/>
        </w:rPr>
        <w:t>这种模式在审计时会被重点关注。审计人员会审查发放依据、标准、内部控制的完整性，任何环节的疏漏都可能被提出审计质疑。津补贴的发放是否符合政策规定是审计的重中之重。</w:t>
      </w:r>
    </w:p>
    <w:p w14:paraId="6B940FC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八是信息孤岛。</w:t>
      </w:r>
      <w:r>
        <w:rPr>
          <w:rFonts w:hint="eastAsia" w:ascii="仿宋" w:hAnsi="仿宋" w:eastAsia="仿宋" w:cs="仿宋"/>
          <w:b w:val="0"/>
          <w:bCs w:val="0"/>
          <w:sz w:val="32"/>
          <w:szCs w:val="32"/>
          <w:highlight w:val="none"/>
          <w:lang w:val="en-US" w:eastAsia="zh-CN"/>
        </w:rPr>
        <w:t>薪资数据分散在两套甚至多套系统中，无法形成完整、统一的人员薪酬数据库，难以进行有效的薪酬数据分析和决策支持。</w:t>
      </w:r>
      <w:r>
        <w:rPr>
          <w:rFonts w:hint="eastAsia" w:ascii="仿宋" w:hAnsi="仿宋" w:eastAsia="仿宋" w:cs="仿宋"/>
          <w:b/>
          <w:bCs/>
          <w:sz w:val="32"/>
          <w:szCs w:val="32"/>
          <w:highlight w:val="none"/>
          <w:lang w:val="en-US" w:eastAsia="zh-CN"/>
        </w:rPr>
        <w:t>九是统计报表困难。</w:t>
      </w:r>
      <w:r>
        <w:rPr>
          <w:rFonts w:hint="eastAsia" w:ascii="仿宋" w:hAnsi="仿宋" w:eastAsia="仿宋" w:cs="仿宋"/>
          <w:b w:val="0"/>
          <w:bCs w:val="0"/>
          <w:sz w:val="32"/>
          <w:szCs w:val="32"/>
          <w:highlight w:val="none"/>
          <w:lang w:val="en-US" w:eastAsia="zh-CN"/>
        </w:rPr>
        <w:t>每当需要向上级部门报送人事、工资统计报表时，需要人工从不同来源汇总数据，费时费力，且数据准确性难以保证。</w:t>
      </w:r>
    </w:p>
    <w:p w14:paraId="0C1912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相关政策1：</w:t>
      </w:r>
      <w:r>
        <w:rPr>
          <w:rFonts w:hint="eastAsia" w:ascii="仿宋" w:hAnsi="仿宋" w:eastAsia="仿宋" w:cs="仿宋"/>
          <w:b w:val="0"/>
          <w:bCs w:val="0"/>
          <w:sz w:val="32"/>
          <w:szCs w:val="32"/>
          <w:highlight w:val="none"/>
          <w:lang w:val="en-US" w:eastAsia="zh-CN"/>
        </w:rPr>
        <w:t>上述违反了《中华人民共和国预算法》及其实施条例-</w:t>
      </w:r>
      <w:r>
        <w:rPr>
          <w:rFonts w:hint="eastAsia" w:ascii="仿宋" w:hAnsi="仿宋" w:eastAsia="仿宋" w:cs="仿宋"/>
          <w:b/>
          <w:bCs/>
          <w:sz w:val="32"/>
          <w:szCs w:val="32"/>
          <w:highlight w:val="none"/>
          <w:lang w:val="en-US" w:eastAsia="zh-CN"/>
        </w:rPr>
        <w:t>全口径预算与支出管理</w:t>
      </w:r>
      <w:r>
        <w:rPr>
          <w:rFonts w:hint="eastAsia" w:ascii="仿宋" w:hAnsi="仿宋" w:eastAsia="仿宋" w:cs="仿宋"/>
          <w:b w:val="0"/>
          <w:bCs w:val="0"/>
          <w:sz w:val="32"/>
          <w:szCs w:val="32"/>
          <w:highlight w:val="none"/>
          <w:lang w:val="en-US" w:eastAsia="zh-CN"/>
        </w:rPr>
        <w:t>。核心要求：政府的全部收入和支出都应当纳入预算。所有工资性支出作为单位预算的重要组成部分，必须接受严格的预算管理和控制。将工资拆分发放，尤其是使用单位“小金库”、未纳入预算的收支或其他非财政渠道的资金，规避了预算的统筹管理和监督，使得部分人员支出脱离了人大和财政的监管视野，属于典型的“预算管理碎片化”。</w:t>
      </w:r>
      <w:r>
        <w:rPr>
          <w:rFonts w:hint="eastAsia" w:ascii="仿宋" w:hAnsi="仿宋" w:eastAsia="仿宋" w:cs="仿宋"/>
          <w:b/>
          <w:bCs/>
          <w:sz w:val="32"/>
          <w:szCs w:val="32"/>
          <w:highlight w:val="none"/>
          <w:lang w:val="en-US" w:eastAsia="zh-CN"/>
        </w:rPr>
        <w:t>相关政策2：</w:t>
      </w:r>
      <w:r>
        <w:rPr>
          <w:rFonts w:hint="eastAsia" w:ascii="仿宋" w:hAnsi="仿宋" w:eastAsia="仿宋" w:cs="仿宋"/>
          <w:b w:val="0"/>
          <w:bCs w:val="0"/>
          <w:sz w:val="32"/>
          <w:szCs w:val="32"/>
          <w:highlight w:val="none"/>
          <w:lang w:val="en-US" w:eastAsia="zh-CN"/>
        </w:rPr>
        <w:t>上述违反了《政府会计制度》-</w:t>
      </w:r>
      <w:r>
        <w:rPr>
          <w:rFonts w:hint="eastAsia" w:ascii="仿宋" w:hAnsi="仿宋" w:eastAsia="仿宋" w:cs="仿宋"/>
          <w:b/>
          <w:bCs/>
          <w:sz w:val="32"/>
          <w:szCs w:val="32"/>
          <w:highlight w:val="none"/>
          <w:lang w:val="en-US" w:eastAsia="zh-CN"/>
        </w:rPr>
        <w:t>核算的完整性与准确性。</w:t>
      </w:r>
      <w:r>
        <w:rPr>
          <w:rFonts w:hint="eastAsia" w:ascii="仿宋" w:hAnsi="仿宋" w:eastAsia="仿宋" w:cs="仿宋"/>
          <w:b w:val="0"/>
          <w:bCs w:val="0"/>
          <w:sz w:val="32"/>
          <w:szCs w:val="32"/>
          <w:highlight w:val="none"/>
          <w:lang w:val="en-US" w:eastAsia="zh-CN"/>
        </w:rPr>
        <w:t>核心要求：会计核算应当以实际发生的经济业务为依据，</w:t>
      </w:r>
      <w:r>
        <w:rPr>
          <w:rFonts w:hint="eastAsia" w:ascii="仿宋" w:hAnsi="仿宋" w:eastAsia="仿宋" w:cs="仿宋"/>
          <w:b/>
          <w:bCs/>
          <w:sz w:val="32"/>
          <w:szCs w:val="32"/>
          <w:highlight w:val="none"/>
          <w:lang w:val="en-US" w:eastAsia="zh-CN"/>
        </w:rPr>
        <w:t>真实、完整</w:t>
      </w:r>
      <w:r>
        <w:rPr>
          <w:rFonts w:hint="eastAsia" w:ascii="仿宋" w:hAnsi="仿宋" w:eastAsia="仿宋" w:cs="仿宋"/>
          <w:b w:val="0"/>
          <w:bCs w:val="0"/>
          <w:sz w:val="32"/>
          <w:szCs w:val="32"/>
          <w:highlight w:val="none"/>
          <w:lang w:val="en-US" w:eastAsia="zh-CN"/>
        </w:rPr>
        <w:t>地反映单位的财务状况和运行情况。人为将同一笔经济业务（支付职工薪酬）拆分，导致单位的“人员支出”总额在账面上无法真实、完整地体现。这扭曲了成本信息，影响了会计信息的质量，使得报表使用者无法准确了解单位真实的人工成本。</w:t>
      </w:r>
      <w:r>
        <w:rPr>
          <w:rFonts w:hint="eastAsia" w:ascii="仿宋" w:hAnsi="仿宋" w:eastAsia="仿宋" w:cs="仿宋"/>
          <w:b/>
          <w:bCs/>
          <w:sz w:val="32"/>
          <w:szCs w:val="32"/>
          <w:highlight w:val="none"/>
          <w:lang w:val="en-US" w:eastAsia="zh-CN"/>
        </w:rPr>
        <w:t>相关政策3：</w:t>
      </w:r>
      <w:r>
        <w:rPr>
          <w:rFonts w:hint="eastAsia" w:ascii="仿宋" w:hAnsi="仿宋" w:eastAsia="仿宋" w:cs="仿宋"/>
          <w:b w:val="0"/>
          <w:bCs w:val="0"/>
          <w:sz w:val="32"/>
          <w:szCs w:val="32"/>
          <w:highlight w:val="none"/>
          <w:lang w:val="en-US" w:eastAsia="zh-CN"/>
        </w:rPr>
        <w:t>上述违反了《行政事业单位内部控制规范（试行）》-</w:t>
      </w:r>
      <w:r>
        <w:rPr>
          <w:rFonts w:hint="eastAsia" w:ascii="仿宋" w:hAnsi="仿宋" w:eastAsia="仿宋" w:cs="仿宋"/>
          <w:b/>
          <w:bCs/>
          <w:sz w:val="32"/>
          <w:szCs w:val="32"/>
          <w:highlight w:val="none"/>
          <w:lang w:val="en-US" w:eastAsia="zh-CN"/>
        </w:rPr>
        <w:t>业务归口管理与控制。</w:t>
      </w:r>
      <w:r>
        <w:rPr>
          <w:rFonts w:hint="eastAsia" w:ascii="仿宋" w:hAnsi="仿宋" w:eastAsia="仿宋" w:cs="仿宋"/>
          <w:b w:val="0"/>
          <w:bCs w:val="0"/>
          <w:sz w:val="32"/>
          <w:szCs w:val="32"/>
          <w:highlight w:val="none"/>
          <w:lang w:val="en-US" w:eastAsia="zh-CN"/>
        </w:rPr>
        <w:t>核心要求：单位应当建立健全内部控制体系，对经济活动实行归口管理。工资薪金发放作为一个完整的经济活动，应由人事部门和财务部门统一审核、统一支付。“四张表、两家发”的模式破坏了业务的完整性和归口管理原则。导致审核控制弱化，人事部门可能无法全面掌握职工的总收入，无法进行有效的总量控制和合规性审核。支付控制分散，财务部门无法对人员经费进行统一的支付控制和账务处理，内控环节出现断点。</w:t>
      </w:r>
    </w:p>
    <w:p w14:paraId="0343AA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建议：推动整合与规范化，利用信息化手段，明确责任分工，强化内部控制，实现工资性收入的“一个标准、归口管理、统一核算、统一发放”</w:t>
      </w:r>
      <w:r>
        <w:rPr>
          <w:rFonts w:hint="eastAsia" w:ascii="仿宋" w:hAnsi="仿宋" w:eastAsia="仿宋" w:cs="仿宋"/>
          <w:b w:val="0"/>
          <w:bCs w:val="0"/>
          <w:sz w:val="32"/>
          <w:szCs w:val="32"/>
          <w:highlight w:val="none"/>
          <w:lang w:val="en-US" w:eastAsia="zh-CN"/>
        </w:rPr>
        <w:t>。</w:t>
      </w:r>
      <w:r>
        <w:rPr>
          <w:rFonts w:hint="eastAsia" w:ascii="仿宋" w:hAnsi="仿宋" w:eastAsia="仿宋" w:cs="仿宋"/>
          <w:b/>
          <w:bCs/>
          <w:sz w:val="32"/>
          <w:szCs w:val="32"/>
          <w:highlight w:val="none"/>
          <w:lang w:val="en-US" w:eastAsia="zh-CN"/>
        </w:rPr>
        <w:t>一是确定终极目标，推动“工资一体化发放”。</w:t>
      </w:r>
      <w:r>
        <w:rPr>
          <w:rFonts w:hint="eastAsia" w:ascii="仿宋" w:hAnsi="仿宋" w:eastAsia="仿宋" w:cs="仿宋"/>
          <w:b w:val="0"/>
          <w:bCs w:val="0"/>
          <w:sz w:val="32"/>
          <w:szCs w:val="32"/>
          <w:highlight w:val="none"/>
          <w:lang w:val="en-US" w:eastAsia="zh-CN"/>
        </w:rPr>
        <w:t>积极与上级财政部门沟通，争取将所有合规的津补贴、绩效工资等项目全部纳入财政统发系统。由单位提供完整、准确的发放数据和依据，由财政局通过一个渠道统一发放。这是最彻底、最规范的解决方案，能从根本上解决上述所有问题。</w:t>
      </w:r>
      <w:r>
        <w:rPr>
          <w:rFonts w:hint="eastAsia" w:ascii="仿宋" w:hAnsi="仿宋" w:eastAsia="仿宋" w:cs="仿宋"/>
          <w:b/>
          <w:bCs/>
          <w:sz w:val="32"/>
          <w:szCs w:val="32"/>
          <w:highlight w:val="none"/>
          <w:lang w:val="en-US" w:eastAsia="zh-CN"/>
        </w:rPr>
        <w:t>二是优化流程与加强管理，实施现阶段过渡方案。</w:t>
      </w:r>
      <w:r>
        <w:rPr>
          <w:rFonts w:hint="eastAsia" w:ascii="仿宋" w:hAnsi="仿宋" w:eastAsia="仿宋" w:cs="仿宋"/>
          <w:b w:val="0"/>
          <w:bCs w:val="0"/>
          <w:sz w:val="32"/>
          <w:szCs w:val="32"/>
          <w:highlight w:val="none"/>
          <w:lang w:val="en-US" w:eastAsia="zh-CN"/>
        </w:rPr>
        <w:t>如果短期内无法实现全部财政统发，应采取以下措施进行优化：</w:t>
      </w:r>
      <w:r>
        <w:rPr>
          <w:rFonts w:hint="eastAsia" w:ascii="仿宋" w:hAnsi="仿宋" w:eastAsia="仿宋" w:cs="仿宋"/>
          <w:b/>
          <w:bCs/>
          <w:sz w:val="32"/>
          <w:szCs w:val="32"/>
          <w:highlight w:val="none"/>
          <w:lang w:val="en-US" w:eastAsia="zh-CN"/>
        </w:rPr>
        <w:t>①流程优化。</w:t>
      </w:r>
      <w:r>
        <w:rPr>
          <w:rFonts w:hint="eastAsia" w:ascii="仿宋" w:hAnsi="仿宋" w:eastAsia="仿宋" w:cs="仿宋"/>
          <w:b w:val="0"/>
          <w:bCs w:val="0"/>
          <w:sz w:val="32"/>
          <w:szCs w:val="32"/>
          <w:highlight w:val="none"/>
          <w:lang w:val="en-US" w:eastAsia="zh-CN"/>
        </w:rPr>
        <w:t>明确发放项目和标准，制定内部的《薪酬发放管理办法》，以书面形式明确财政统发哪些、单位发哪些，每个项目的计算标准、发放时间、责任部门，并向全体员工公示，减少误解。</w:t>
      </w:r>
      <w:r>
        <w:rPr>
          <w:rFonts w:hint="eastAsia" w:ascii="仿宋" w:hAnsi="仿宋" w:eastAsia="仿宋" w:cs="仿宋"/>
          <w:b/>
          <w:bCs/>
          <w:sz w:val="32"/>
          <w:szCs w:val="32"/>
          <w:highlight w:val="none"/>
          <w:lang w:val="en-US" w:eastAsia="zh-CN"/>
        </w:rPr>
        <w:t>②建立数据同步机制。</w:t>
      </w:r>
      <w:r>
        <w:rPr>
          <w:rFonts w:hint="eastAsia" w:ascii="仿宋" w:hAnsi="仿宋" w:eastAsia="仿宋" w:cs="仿宋"/>
          <w:b w:val="0"/>
          <w:bCs w:val="0"/>
          <w:sz w:val="32"/>
          <w:szCs w:val="32"/>
          <w:highlight w:val="none"/>
          <w:lang w:val="en-US" w:eastAsia="zh-CN"/>
        </w:rPr>
        <w:t>建立“人事-财务-办公室”联动机制。任何人员信息、薪资标准的变动，由人力资源岗统一发起，同时通知财政局对接人员和单位办公室发放负责人，确保两边数据源一致</w:t>
      </w:r>
      <w:r>
        <w:rPr>
          <w:rFonts w:hint="eastAsia" w:ascii="仿宋" w:hAnsi="仿宋" w:eastAsia="仿宋" w:cs="仿宋"/>
          <w:b/>
          <w:bCs/>
          <w:sz w:val="32"/>
          <w:szCs w:val="32"/>
          <w:highlight w:val="none"/>
          <w:lang w:val="en-US" w:eastAsia="zh-CN"/>
        </w:rPr>
        <w:t>。③合并发放时间。</w:t>
      </w:r>
      <w:r>
        <w:rPr>
          <w:rFonts w:hint="eastAsia" w:ascii="仿宋" w:hAnsi="仿宋" w:eastAsia="仿宋" w:cs="仿宋"/>
          <w:b w:val="0"/>
          <w:bCs w:val="0"/>
          <w:sz w:val="32"/>
          <w:szCs w:val="32"/>
          <w:highlight w:val="none"/>
          <w:lang w:val="en-US" w:eastAsia="zh-CN"/>
        </w:rPr>
        <w:t>尽量将单位发放的补贴与财政统发工资的到账时间安排在相近的日期，减轻员工的核算困惑。</w:t>
      </w:r>
      <w:r>
        <w:rPr>
          <w:rFonts w:hint="eastAsia" w:ascii="仿宋" w:hAnsi="仿宋" w:eastAsia="仿宋" w:cs="仿宋"/>
          <w:b/>
          <w:bCs/>
          <w:sz w:val="32"/>
          <w:szCs w:val="32"/>
          <w:highlight w:val="none"/>
          <w:lang w:val="en-US" w:eastAsia="zh-CN"/>
        </w:rPr>
        <w:t>④技术赋能。</w:t>
      </w:r>
      <w:r>
        <w:rPr>
          <w:rFonts w:hint="eastAsia" w:ascii="仿宋" w:hAnsi="仿宋" w:eastAsia="仿宋" w:cs="仿宋"/>
          <w:b w:val="0"/>
          <w:bCs w:val="0"/>
          <w:sz w:val="32"/>
          <w:szCs w:val="32"/>
          <w:highlight w:val="none"/>
          <w:lang w:val="en-US" w:eastAsia="zh-CN"/>
        </w:rPr>
        <w:t>引入或优化薪资管理系统，即使发放渠道不同，也应使用一套统一的软件或Excel模板进行所有工资项目的计算和汇总。系统应能自动生成财政统发表和单位发放表，并能合并生成一张完整的、给员工看的综合工资条（详细列出所有收入项目和扣除项目）。</w:t>
      </w:r>
      <w:r>
        <w:rPr>
          <w:rFonts w:hint="eastAsia" w:ascii="仿宋" w:hAnsi="仿宋" w:eastAsia="仿宋" w:cs="仿宋"/>
          <w:b/>
          <w:bCs/>
          <w:sz w:val="32"/>
          <w:szCs w:val="32"/>
          <w:highlight w:val="none"/>
          <w:lang w:val="en-US" w:eastAsia="zh-CN"/>
        </w:rPr>
        <w:t>⑤推广电子工资条。</w:t>
      </w:r>
      <w:r>
        <w:rPr>
          <w:rFonts w:hint="eastAsia" w:ascii="仿宋" w:hAnsi="仿宋" w:eastAsia="仿宋" w:cs="仿宋"/>
          <w:b w:val="0"/>
          <w:bCs w:val="0"/>
          <w:sz w:val="32"/>
          <w:szCs w:val="32"/>
          <w:highlight w:val="none"/>
          <w:lang w:val="en-US" w:eastAsia="zh-CN"/>
        </w:rPr>
        <w:t>通过短信、邮件或内部OA系统推送完整的电子工资条，方便员工查询、保存和核对。</w:t>
      </w:r>
      <w:r>
        <w:rPr>
          <w:rFonts w:hint="eastAsia" w:ascii="仿宋" w:hAnsi="仿宋" w:eastAsia="仿宋" w:cs="仿宋"/>
          <w:b/>
          <w:bCs/>
          <w:sz w:val="32"/>
          <w:szCs w:val="32"/>
          <w:highlight w:val="none"/>
          <w:lang w:val="en-US" w:eastAsia="zh-CN"/>
        </w:rPr>
        <w:t>⑥强化审核与监督。</w:t>
      </w:r>
      <w:r>
        <w:rPr>
          <w:rFonts w:hint="eastAsia" w:ascii="仿宋" w:hAnsi="仿宋" w:eastAsia="仿宋" w:cs="仿宋"/>
          <w:b w:val="0"/>
          <w:bCs w:val="0"/>
          <w:sz w:val="32"/>
          <w:szCs w:val="32"/>
          <w:highlight w:val="none"/>
          <w:lang w:val="en-US" w:eastAsia="zh-CN"/>
        </w:rPr>
        <w:t>单位办公室制作补贴发放表时，必须经过制表人、审核人（财务负责人）、审批人（单位分管领导）三级审核签字确认，确保数据准确、合规。</w:t>
      </w:r>
      <w:r>
        <w:rPr>
          <w:rFonts w:hint="eastAsia" w:ascii="仿宋" w:hAnsi="仿宋" w:eastAsia="仿宋" w:cs="仿宋"/>
          <w:b/>
          <w:bCs/>
          <w:sz w:val="32"/>
          <w:szCs w:val="32"/>
          <w:highlight w:val="none"/>
          <w:lang w:val="en-US" w:eastAsia="zh-CN"/>
        </w:rPr>
        <w:t>⑦定期对账与审计。</w:t>
      </w:r>
      <w:r>
        <w:rPr>
          <w:rFonts w:hint="eastAsia" w:ascii="仿宋" w:hAnsi="仿宋" w:eastAsia="仿宋" w:cs="仿宋"/>
          <w:b w:val="0"/>
          <w:bCs w:val="0"/>
          <w:sz w:val="32"/>
          <w:szCs w:val="32"/>
          <w:highlight w:val="none"/>
          <w:lang w:val="en-US" w:eastAsia="zh-CN"/>
        </w:rPr>
        <w:t>财务部门每月、每季度都要对财政发放和单位发放的记录进行核对，确保账实相符。定期邀请内审或上级审计部门进行抽查，提前发现问题。</w:t>
      </w:r>
      <w:r>
        <w:rPr>
          <w:rFonts w:hint="eastAsia" w:ascii="仿宋" w:hAnsi="仿宋" w:eastAsia="仿宋" w:cs="仿宋"/>
          <w:b/>
          <w:bCs/>
          <w:sz w:val="32"/>
          <w:szCs w:val="32"/>
          <w:highlight w:val="none"/>
          <w:lang w:val="en-US" w:eastAsia="zh-CN"/>
        </w:rPr>
        <w:t>⑧专款专用与账户管理。</w:t>
      </w:r>
      <w:r>
        <w:rPr>
          <w:rFonts w:hint="eastAsia" w:ascii="仿宋" w:hAnsi="仿宋" w:eastAsia="仿宋" w:cs="仿宋"/>
          <w:b w:val="0"/>
          <w:bCs w:val="0"/>
          <w:sz w:val="32"/>
          <w:szCs w:val="32"/>
          <w:highlight w:val="none"/>
          <w:lang w:val="en-US" w:eastAsia="zh-CN"/>
        </w:rPr>
        <w:t>对用于发放补贴的账户进行严格管理，收支清晰，杜绝与其他经费混用。</w:t>
      </w:r>
      <w:r>
        <w:rPr>
          <w:rFonts w:hint="eastAsia" w:ascii="仿宋" w:hAnsi="仿宋" w:eastAsia="仿宋" w:cs="仿宋"/>
          <w:b/>
          <w:bCs/>
          <w:sz w:val="32"/>
          <w:szCs w:val="32"/>
          <w:highlight w:val="none"/>
          <w:lang w:val="en-US" w:eastAsia="zh-CN"/>
        </w:rPr>
        <w:t>三是加强沟通与培训。对员工，</w:t>
      </w:r>
      <w:r>
        <w:rPr>
          <w:rFonts w:hint="eastAsia" w:ascii="仿宋" w:hAnsi="仿宋" w:eastAsia="仿宋" w:cs="仿宋"/>
          <w:b w:val="0"/>
          <w:bCs w:val="0"/>
          <w:sz w:val="32"/>
          <w:szCs w:val="32"/>
          <w:highlight w:val="none"/>
          <w:lang w:val="en-US" w:eastAsia="zh-CN"/>
        </w:rPr>
        <w:t>定期召开说明会或印发通知，解释工资构成和发放方式，公布咨询渠道，减少因信息不对称带来的误会。</w:t>
      </w:r>
      <w:r>
        <w:rPr>
          <w:rFonts w:hint="eastAsia" w:ascii="仿宋" w:hAnsi="仿宋" w:eastAsia="仿宋" w:cs="仿宋"/>
          <w:b/>
          <w:bCs/>
          <w:sz w:val="32"/>
          <w:szCs w:val="32"/>
          <w:highlight w:val="none"/>
          <w:lang w:val="en-US" w:eastAsia="zh-CN"/>
        </w:rPr>
        <w:t>对相关经办人员，</w:t>
      </w:r>
      <w:r>
        <w:rPr>
          <w:rFonts w:hint="eastAsia" w:ascii="仿宋" w:hAnsi="仿宋" w:eastAsia="仿宋" w:cs="仿宋"/>
          <w:b w:val="0"/>
          <w:bCs w:val="0"/>
          <w:sz w:val="32"/>
          <w:szCs w:val="32"/>
          <w:highlight w:val="none"/>
          <w:lang w:val="en-US" w:eastAsia="zh-CN"/>
        </w:rPr>
        <w:t>组织办公室、财务室人员进行业务培训，确保他们熟悉政策、精通流程、熟练操作软件，减少人为差错。</w:t>
      </w:r>
    </w:p>
    <w:p w14:paraId="5A52DD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default"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7.花名册列示个人联系电话，未列示制发责任主体，未反映本年度本部门在编人员的增减变动情况。</w:t>
      </w:r>
    </w:p>
    <w:p w14:paraId="482E7A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 w:hAnsi="仿宋" w:eastAsia="仿宋" w:cs="仿宋"/>
          <w:b w:val="0"/>
          <w:bCs w:val="0"/>
          <w:sz w:val="32"/>
          <w:szCs w:val="32"/>
          <w:highlight w:val="none"/>
          <w:lang w:val="en-US" w:eastAsia="zh-CN"/>
        </w:rPr>
      </w:pPr>
      <w:r>
        <w:rPr>
          <w:rFonts w:hint="eastAsia" w:ascii="仿宋" w:hAnsi="仿宋" w:eastAsia="仿宋" w:cs="仿宋"/>
          <w:b/>
          <w:bCs/>
          <w:sz w:val="32"/>
          <w:szCs w:val="32"/>
          <w:highlight w:val="none"/>
          <w:lang w:val="en-US" w:eastAsia="zh-CN"/>
        </w:rPr>
        <w:t>相关政策1：</w:t>
      </w:r>
      <w:r>
        <w:rPr>
          <w:rFonts w:hint="eastAsia" w:ascii="仿宋" w:hAnsi="仿宋" w:eastAsia="仿宋" w:cs="仿宋"/>
          <w:b w:val="0"/>
          <w:bCs w:val="0"/>
          <w:sz w:val="32"/>
          <w:szCs w:val="32"/>
          <w:highlight w:val="none"/>
          <w:lang w:val="en-US" w:eastAsia="zh-CN"/>
        </w:rPr>
        <w:t>上述违反了《中华人民共和国个人信息保护法》第五条、第六条规定。处理个人信息应当遵循合法、正当、必要和诚信原则，采取对个人权益影响最小的方式，实现处理目的。在内部花名册中公开全体人员的手机号码，超出了实现人事管理目的的必要性原则。上述违反了第五十一条规定。个人信息处理者采取必要的措施确保个人信息安全。将敏感个人信息以明文形式列于表格中，且可能在部门内较广流传，存在安全隐患。</w:t>
      </w:r>
      <w:r>
        <w:rPr>
          <w:rFonts w:hint="eastAsia" w:ascii="仿宋" w:hAnsi="仿宋" w:eastAsia="仿宋" w:cs="仿宋"/>
          <w:b/>
          <w:bCs/>
          <w:sz w:val="32"/>
          <w:szCs w:val="32"/>
          <w:highlight w:val="none"/>
          <w:lang w:val="en-US" w:eastAsia="zh-CN"/>
        </w:rPr>
        <w:t>相关政策2：</w:t>
      </w:r>
      <w:r>
        <w:rPr>
          <w:rFonts w:hint="eastAsia" w:ascii="仿宋" w:hAnsi="仿宋" w:eastAsia="仿宋" w:cs="仿宋"/>
          <w:b w:val="0"/>
          <w:bCs w:val="0"/>
          <w:sz w:val="32"/>
          <w:szCs w:val="32"/>
          <w:highlight w:val="none"/>
          <w:lang w:val="en-US" w:eastAsia="zh-CN"/>
        </w:rPr>
        <w:t>上述违反了《干部人事档案工作条例》及相关配套规定。机关单位内部控制和文档管理规范，任何重要的内部管理文档，尤其是涉及人员核心信息的，都必须有明确的制发责任主体，以确保信息的权威性和在发生争议时可追溯。</w:t>
      </w:r>
    </w:p>
    <w:p w14:paraId="7D04F1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楷体" w:hAnsi="楷体" w:eastAsia="楷体" w:cs="楷体"/>
          <w:b/>
          <w:bCs/>
          <w:sz w:val="32"/>
          <w:szCs w:val="32"/>
          <w:lang w:val="en-US" w:eastAsia="zh-CN"/>
        </w:rPr>
      </w:pPr>
      <w:r>
        <w:rPr>
          <w:rFonts w:hint="eastAsia" w:ascii="仿宋" w:hAnsi="仿宋" w:eastAsia="仿宋" w:cs="仿宋"/>
          <w:b/>
          <w:bCs/>
          <w:sz w:val="32"/>
          <w:szCs w:val="32"/>
          <w:highlight w:val="none"/>
          <w:lang w:val="en-US" w:eastAsia="zh-CN"/>
        </w:rPr>
        <w:t>建议：一是处理敏感信息，严守安全底线。</w:t>
      </w:r>
      <w:r>
        <w:rPr>
          <w:rFonts w:hint="eastAsia" w:ascii="仿宋" w:hAnsi="仿宋" w:eastAsia="仿宋" w:cs="仿宋"/>
          <w:b w:val="0"/>
          <w:bCs w:val="0"/>
          <w:sz w:val="32"/>
          <w:szCs w:val="32"/>
          <w:highlight w:val="none"/>
          <w:lang w:val="en-US" w:eastAsia="zh-CN"/>
        </w:rPr>
        <w:t>从花名册中彻底删除“联系电话”一栏。员工的个人手机号码属于受法律保护的敏感信息，在通用花名册中公开存储和传阅存在严重泄漏风险。</w:t>
      </w:r>
      <w:r>
        <w:rPr>
          <w:rFonts w:hint="eastAsia" w:ascii="仿宋" w:hAnsi="仿宋" w:eastAsia="仿宋" w:cs="仿宋"/>
          <w:b/>
          <w:bCs/>
          <w:sz w:val="32"/>
          <w:szCs w:val="32"/>
          <w:highlight w:val="none"/>
          <w:lang w:val="en-US" w:eastAsia="zh-CN"/>
        </w:rPr>
        <w:t>替代方案，</w:t>
      </w:r>
      <w:r>
        <w:rPr>
          <w:rFonts w:hint="eastAsia" w:ascii="仿宋" w:hAnsi="仿宋" w:eastAsia="仿宋" w:cs="仿宋"/>
          <w:b w:val="0"/>
          <w:bCs w:val="0"/>
          <w:sz w:val="32"/>
          <w:szCs w:val="32"/>
          <w:highlight w:val="none"/>
          <w:lang w:val="en-US" w:eastAsia="zh-CN"/>
        </w:rPr>
        <w:t>内部通讯需求应通过权限受控的独立通讯录（建议仅保留办公室座机）来满足，并与花名册分开管理。</w:t>
      </w:r>
      <w:r>
        <w:rPr>
          <w:rFonts w:hint="eastAsia" w:ascii="仿宋" w:hAnsi="仿宋" w:eastAsia="仿宋" w:cs="仿宋"/>
          <w:b/>
          <w:bCs/>
          <w:sz w:val="32"/>
          <w:szCs w:val="32"/>
          <w:highlight w:val="none"/>
          <w:lang w:val="en-US" w:eastAsia="zh-CN"/>
        </w:rPr>
        <w:t>二是补全管理责任要素，明确权威来源。</w:t>
      </w:r>
      <w:r>
        <w:rPr>
          <w:rFonts w:hint="eastAsia" w:ascii="仿宋" w:hAnsi="仿宋" w:eastAsia="仿宋" w:cs="仿宋"/>
          <w:b w:val="0"/>
          <w:bCs w:val="0"/>
          <w:sz w:val="32"/>
          <w:szCs w:val="32"/>
          <w:highlight w:val="none"/>
          <w:lang w:val="en-US" w:eastAsia="zh-CN"/>
        </w:rPr>
        <w:t>在表格末尾或页眉处添加，制表部门（如：办公室）、制表人、审核人、批准领导，并预留盖章位置。最终定稿的版本应由审核人签字并加盖单位公章后，方可作为正式文件存档或在一定权限范围内使用。</w:t>
      </w:r>
      <w:r>
        <w:rPr>
          <w:rFonts w:hint="eastAsia" w:ascii="仿宋" w:hAnsi="仿宋" w:eastAsia="仿宋" w:cs="仿宋"/>
          <w:b/>
          <w:bCs/>
          <w:sz w:val="32"/>
          <w:szCs w:val="32"/>
          <w:highlight w:val="none"/>
          <w:lang w:val="en-US" w:eastAsia="zh-CN"/>
        </w:rPr>
        <w:t>三是建立花名册动态更新机制，确保信息实时准确。明确更新触发条件。</w:t>
      </w:r>
      <w:r>
        <w:rPr>
          <w:rFonts w:hint="eastAsia" w:ascii="仿宋" w:hAnsi="仿宋" w:eastAsia="仿宋" w:cs="仿宋"/>
          <w:b w:val="0"/>
          <w:bCs w:val="0"/>
          <w:sz w:val="32"/>
          <w:szCs w:val="32"/>
          <w:highlight w:val="none"/>
          <w:lang w:val="en-US" w:eastAsia="zh-CN"/>
        </w:rPr>
        <w:t>规定在发生新员工入职、人员调离/退休、职务/职级变动、学历/学位取得、政治面貌变化、联系方式变更等情况时，必须启动花名册更新流程。</w:t>
      </w:r>
      <w:r>
        <w:rPr>
          <w:rFonts w:hint="eastAsia" w:ascii="仿宋" w:hAnsi="仿宋" w:eastAsia="仿宋" w:cs="仿宋"/>
          <w:b/>
          <w:bCs/>
          <w:sz w:val="32"/>
          <w:szCs w:val="32"/>
          <w:highlight w:val="none"/>
          <w:lang w:val="en-US" w:eastAsia="zh-CN"/>
        </w:rPr>
        <w:t>明确责任人与时限。</w:t>
      </w:r>
      <w:r>
        <w:rPr>
          <w:rFonts w:hint="eastAsia" w:ascii="仿宋" w:hAnsi="仿宋" w:eastAsia="仿宋" w:cs="仿宋"/>
          <w:b w:val="0"/>
          <w:bCs w:val="0"/>
          <w:sz w:val="32"/>
          <w:szCs w:val="32"/>
          <w:highlight w:val="none"/>
          <w:lang w:val="en-US" w:eastAsia="zh-CN"/>
        </w:rPr>
        <w:t>指定专人（如组织人事干部或办公室文秘）负责花名册的维护，并规定相关信息变动发生后，必须在多少个工作日内完成花名册的更新。</w:t>
      </w:r>
      <w:r>
        <w:rPr>
          <w:rFonts w:hint="eastAsia" w:ascii="仿宋" w:hAnsi="仿宋" w:eastAsia="仿宋" w:cs="仿宋"/>
          <w:b/>
          <w:bCs/>
          <w:sz w:val="32"/>
          <w:szCs w:val="32"/>
          <w:highlight w:val="none"/>
          <w:lang w:val="en-US" w:eastAsia="zh-CN"/>
        </w:rPr>
        <w:t>建立联动核查机制。</w:t>
      </w:r>
      <w:r>
        <w:rPr>
          <w:rFonts w:hint="eastAsia" w:ascii="仿宋" w:hAnsi="仿宋" w:eastAsia="仿宋" w:cs="仿宋"/>
          <w:b w:val="0"/>
          <w:bCs w:val="0"/>
          <w:sz w:val="32"/>
          <w:szCs w:val="32"/>
          <w:highlight w:val="none"/>
          <w:lang w:val="en-US" w:eastAsia="zh-CN"/>
        </w:rPr>
        <w:t>将花名册的定期审核（如每季度或每半年）与干部人事档案核查、年度考核等工作相结合，形成制度性安排，确保花名册信息与档案记录、实际情况“三统一”。</w:t>
      </w:r>
      <w:r>
        <w:rPr>
          <w:rFonts w:hint="eastAsia" w:ascii="仿宋" w:hAnsi="仿宋" w:eastAsia="仿宋" w:cs="仿宋"/>
          <w:b/>
          <w:bCs/>
          <w:sz w:val="32"/>
          <w:szCs w:val="32"/>
          <w:highlight w:val="none"/>
          <w:lang w:val="en-US" w:eastAsia="zh-CN"/>
        </w:rPr>
        <w:t>版本管理。</w:t>
      </w:r>
      <w:r>
        <w:rPr>
          <w:rFonts w:hint="eastAsia" w:ascii="仿宋" w:hAnsi="仿宋" w:eastAsia="仿宋" w:cs="仿宋"/>
          <w:b w:val="0"/>
          <w:bCs w:val="0"/>
          <w:sz w:val="32"/>
          <w:szCs w:val="32"/>
          <w:highlight w:val="none"/>
          <w:lang w:val="en-US" w:eastAsia="zh-CN"/>
        </w:rPr>
        <w:t>对每次重大更新后形成的花名册进行版本标注和存档，明确其统计截止日期，避免新旧版本混淆。整改的核心在于从</w:t>
      </w:r>
      <w:r>
        <w:rPr>
          <w:rFonts w:hint="eastAsia" w:ascii="仿宋" w:hAnsi="仿宋" w:eastAsia="仿宋" w:cs="仿宋"/>
          <w:b/>
          <w:bCs/>
          <w:sz w:val="32"/>
          <w:szCs w:val="32"/>
          <w:highlight w:val="none"/>
          <w:lang w:val="en-US" w:eastAsia="zh-CN"/>
        </w:rPr>
        <w:t>“形式合规”</w:t>
      </w:r>
      <w:r>
        <w:rPr>
          <w:rFonts w:hint="eastAsia" w:ascii="仿宋" w:hAnsi="仿宋" w:eastAsia="仿宋" w:cs="仿宋"/>
          <w:b w:val="0"/>
          <w:bCs w:val="0"/>
          <w:sz w:val="32"/>
          <w:szCs w:val="32"/>
          <w:highlight w:val="none"/>
          <w:lang w:val="en-US" w:eastAsia="zh-CN"/>
        </w:rPr>
        <w:t>迈向</w:t>
      </w:r>
      <w:r>
        <w:rPr>
          <w:rFonts w:hint="eastAsia" w:ascii="仿宋" w:hAnsi="仿宋" w:eastAsia="仿宋" w:cs="仿宋"/>
          <w:b/>
          <w:bCs/>
          <w:sz w:val="32"/>
          <w:szCs w:val="32"/>
          <w:highlight w:val="none"/>
          <w:lang w:val="en-US" w:eastAsia="zh-CN"/>
        </w:rPr>
        <w:t>“实质合规”</w:t>
      </w:r>
      <w:r>
        <w:rPr>
          <w:rFonts w:hint="eastAsia" w:ascii="仿宋" w:hAnsi="仿宋" w:eastAsia="仿宋" w:cs="仿宋"/>
          <w:b w:val="0"/>
          <w:bCs w:val="0"/>
          <w:sz w:val="32"/>
          <w:szCs w:val="32"/>
          <w:highlight w:val="none"/>
          <w:lang w:val="en-US" w:eastAsia="zh-CN"/>
        </w:rPr>
        <w:t>和</w:t>
      </w:r>
      <w:r>
        <w:rPr>
          <w:rFonts w:hint="eastAsia" w:ascii="仿宋" w:hAnsi="仿宋" w:eastAsia="仿宋" w:cs="仿宋"/>
          <w:b/>
          <w:bCs/>
          <w:sz w:val="32"/>
          <w:szCs w:val="32"/>
          <w:highlight w:val="none"/>
          <w:lang w:val="en-US" w:eastAsia="zh-CN"/>
        </w:rPr>
        <w:t>“动态合规”</w:t>
      </w:r>
      <w:r>
        <w:rPr>
          <w:rFonts w:hint="eastAsia" w:ascii="仿宋" w:hAnsi="仿宋" w:eastAsia="仿宋" w:cs="仿宋"/>
          <w:b w:val="0"/>
          <w:bCs w:val="0"/>
          <w:sz w:val="32"/>
          <w:szCs w:val="32"/>
          <w:highlight w:val="none"/>
          <w:lang w:val="en-US" w:eastAsia="zh-CN"/>
        </w:rPr>
        <w:t>。通过删除敏感信息来规避法律风险，通过规范填写来提升数据质量，通过明确责任来加强内部控制，最后通过建立动态更新机制来确保这套基础管理工具能够持续、真实、有效地反映组织人事状况，为各项管理工作提供可靠依据。</w:t>
      </w:r>
    </w:p>
    <w:p w14:paraId="09222F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 w:hAnsi="仿宋" w:eastAsia="仿宋" w:cs="仿宋"/>
          <w:b/>
          <w:bCs/>
          <w:sz w:val="32"/>
          <w:szCs w:val="32"/>
          <w:lang w:val="en-US" w:eastAsia="zh-CN"/>
        </w:rPr>
      </w:pPr>
      <w:bookmarkStart w:id="63" w:name="_Toc8459"/>
      <w:r>
        <w:rPr>
          <w:rFonts w:hint="eastAsia" w:ascii="楷体" w:hAnsi="楷体" w:eastAsia="楷体" w:cs="楷体"/>
          <w:b/>
          <w:bCs/>
          <w:sz w:val="32"/>
          <w:szCs w:val="32"/>
          <w:lang w:val="en-US" w:eastAsia="zh-CN"/>
        </w:rPr>
        <w:t>（四）项目管理方面存在的问题及建议</w:t>
      </w:r>
      <w:bookmarkEnd w:id="61"/>
      <w:bookmarkEnd w:id="62"/>
      <w:bookmarkEnd w:id="63"/>
    </w:p>
    <w:p w14:paraId="5722DF9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楷体" w:hAnsi="楷体" w:eastAsia="楷体" w:cs="楷体"/>
          <w:b/>
          <w:bCs/>
          <w:sz w:val="32"/>
          <w:szCs w:val="32"/>
          <w:lang w:eastAsia="zh-CN"/>
        </w:rPr>
      </w:pPr>
      <w:r>
        <w:rPr>
          <w:rFonts w:hint="eastAsia" w:ascii="仿宋" w:hAnsi="仿宋" w:eastAsia="仿宋" w:cs="仿宋"/>
          <w:b/>
          <w:bCs/>
          <w:sz w:val="32"/>
          <w:szCs w:val="32"/>
          <w:lang w:val="en-US" w:eastAsia="zh-CN"/>
        </w:rPr>
        <w:t>1.民主党报账凭证后附未提供预算金额的项目支出。</w:t>
      </w:r>
    </w:p>
    <w:p w14:paraId="08D22FA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中华人民共和国预算法》及其实施条例明确规定。各级政府、各部门、各单位必须严格执行预算，严禁超预算、无预算安排支出。报销时不提供预算金额，导致财务审核无法判断该项支出是否在批准的预算范围内，使预算对支出的硬约束形同虚设。</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w:t>
      </w:r>
      <w:r>
        <w:rPr>
          <w:rFonts w:hint="eastAsia" w:ascii="仿宋" w:hAnsi="仿宋" w:eastAsia="仿宋" w:cs="仿宋"/>
          <w:b/>
          <w:bCs/>
          <w:sz w:val="32"/>
          <w:szCs w:val="32"/>
          <w:lang w:val="en-US" w:eastAsia="zh-CN"/>
        </w:rPr>
        <w:t>单位财务内控要求。</w:t>
      </w:r>
      <w:r>
        <w:rPr>
          <w:rFonts w:hint="eastAsia" w:ascii="仿宋" w:hAnsi="仿宋" w:eastAsia="仿宋" w:cs="仿宋"/>
          <w:b w:val="0"/>
          <w:bCs w:val="0"/>
          <w:sz w:val="32"/>
          <w:szCs w:val="32"/>
          <w:lang w:val="en-US" w:eastAsia="zh-CN"/>
        </w:rPr>
        <w:t>地方政府及单位的财务管理制度明确要求，支出必须按预算用途执行，报销材料必须齐全。例如，有单位规定“各项支出应当按照预算规定的支出用途使用资金”。从内部控制角度看，支出缺少预算对照，使得财务人员无法履行审核把关职责。</w:t>
      </w:r>
      <w:r>
        <w:rPr>
          <w:rFonts w:hint="eastAsia" w:ascii="仿宋" w:hAnsi="仿宋" w:eastAsia="仿宋" w:cs="仿宋"/>
          <w:b/>
          <w:bCs/>
          <w:sz w:val="32"/>
          <w:szCs w:val="32"/>
          <w:lang w:val="en-US" w:eastAsia="zh-CN"/>
        </w:rPr>
        <w:t>相关政策3：</w:t>
      </w:r>
      <w:r>
        <w:rPr>
          <w:rFonts w:hint="eastAsia" w:ascii="仿宋" w:hAnsi="仿宋" w:eastAsia="仿宋" w:cs="仿宋"/>
          <w:b w:val="0"/>
          <w:bCs w:val="0"/>
          <w:sz w:val="32"/>
          <w:szCs w:val="32"/>
          <w:lang w:val="en-US" w:eastAsia="zh-CN"/>
        </w:rPr>
        <w:t>上述违反了报销审核程序。规范的财务报销程序要求提供完整的支撑材料，其中预算批复文件或预算项目明细是证明支出合规性的首要依据。如果缺少预算金额证明，根据规定，财务人员有权以</w:t>
      </w:r>
      <w:r>
        <w:rPr>
          <w:rFonts w:hint="eastAsia" w:ascii="仿宋" w:hAnsi="仿宋" w:eastAsia="仿宋" w:cs="仿宋"/>
          <w:b/>
          <w:bCs/>
          <w:sz w:val="32"/>
          <w:szCs w:val="32"/>
          <w:lang w:val="en-US" w:eastAsia="zh-CN"/>
        </w:rPr>
        <w:t>“费用支出依据不充分、应附资料不齐全”</w:t>
      </w:r>
      <w:r>
        <w:rPr>
          <w:rFonts w:hint="eastAsia" w:ascii="仿宋" w:hAnsi="仿宋" w:eastAsia="仿宋" w:cs="仿宋"/>
          <w:b w:val="0"/>
          <w:bCs w:val="0"/>
          <w:sz w:val="32"/>
          <w:szCs w:val="32"/>
          <w:lang w:val="en-US" w:eastAsia="zh-CN"/>
        </w:rPr>
        <w:t>为由拒绝办理报账。</w:t>
      </w:r>
    </w:p>
    <w:p w14:paraId="3FAF2A8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建议：一是及时整改，建立报销“预算联审”机制。在财务报销环节设立强制审核点：</w:t>
      </w:r>
      <w:r>
        <w:rPr>
          <w:rFonts w:hint="eastAsia" w:ascii="仿宋" w:hAnsi="仿宋" w:eastAsia="仿宋" w:cs="仿宋"/>
          <w:b w:val="0"/>
          <w:bCs w:val="0"/>
          <w:sz w:val="32"/>
          <w:szCs w:val="32"/>
          <w:lang w:val="en-US" w:eastAsia="zh-CN"/>
        </w:rPr>
        <w:t>任何项目支出报销，必须同时附上经批准的预算文件复印件或载明预算余额的系统截图。否则，财务部门应直接退回。对已发生的问题进行倒查，要求相关部门补充预算依据并书面说明情况。规范预算编制与下达流程。预算一经批准，应以正式文件（如《预算项目明细及额度通知单》）清晰、具体地下达至各部门负责人和项目负责人，作为全年支出的“总纲”。</w:t>
      </w:r>
      <w:r>
        <w:rPr>
          <w:rFonts w:hint="eastAsia" w:ascii="仿宋" w:hAnsi="仿宋" w:eastAsia="仿宋" w:cs="仿宋"/>
          <w:b/>
          <w:bCs/>
          <w:sz w:val="32"/>
          <w:szCs w:val="32"/>
          <w:lang w:val="en-US" w:eastAsia="zh-CN"/>
        </w:rPr>
        <w:t>二是强化预算执行的动态监控。</w:t>
      </w:r>
      <w:r>
        <w:rPr>
          <w:rFonts w:hint="eastAsia" w:ascii="仿宋" w:hAnsi="仿宋" w:eastAsia="仿宋" w:cs="仿宋"/>
          <w:b w:val="0"/>
          <w:bCs w:val="0"/>
          <w:sz w:val="32"/>
          <w:szCs w:val="32"/>
          <w:lang w:val="en-US" w:eastAsia="zh-CN"/>
        </w:rPr>
        <w:t>财务部门应建立预算执行台账，对重要项目支出进行实时跟踪，接近或超出预算时及时预警，从源头上杜绝无预算报销。</w:t>
      </w:r>
      <w:r>
        <w:rPr>
          <w:rFonts w:hint="eastAsia" w:ascii="仿宋" w:hAnsi="仿宋" w:eastAsia="仿宋" w:cs="仿宋"/>
          <w:b/>
          <w:bCs/>
          <w:sz w:val="32"/>
          <w:szCs w:val="32"/>
          <w:lang w:val="en-US" w:eastAsia="zh-CN"/>
        </w:rPr>
        <w:t>三是加强全员预算与财务制度培训。</w:t>
      </w:r>
      <w:r>
        <w:rPr>
          <w:rFonts w:hint="eastAsia" w:ascii="仿宋" w:hAnsi="仿宋" w:eastAsia="仿宋" w:cs="仿宋"/>
          <w:b w:val="0"/>
          <w:bCs w:val="0"/>
          <w:sz w:val="32"/>
          <w:szCs w:val="32"/>
          <w:lang w:val="en-US" w:eastAsia="zh-CN"/>
        </w:rPr>
        <w:t>面向业务部门负责人及经办人员，开展预算刚性约束、报销规范流程的专题培训，将</w:t>
      </w:r>
      <w:r>
        <w:rPr>
          <w:rFonts w:hint="eastAsia" w:ascii="仿宋" w:hAnsi="仿宋" w:eastAsia="仿宋" w:cs="仿宋"/>
          <w:b/>
          <w:bCs/>
          <w:sz w:val="32"/>
          <w:szCs w:val="32"/>
          <w:lang w:val="en-US" w:eastAsia="zh-CN"/>
        </w:rPr>
        <w:t>“先有预算、后有支出”</w:t>
      </w:r>
      <w:r>
        <w:rPr>
          <w:rFonts w:hint="eastAsia" w:ascii="仿宋" w:hAnsi="仿宋" w:eastAsia="仿宋" w:cs="仿宋"/>
          <w:b w:val="0"/>
          <w:bCs w:val="0"/>
          <w:sz w:val="32"/>
          <w:szCs w:val="32"/>
          <w:lang w:val="en-US" w:eastAsia="zh-CN"/>
        </w:rPr>
        <w:t>的理念融入日常。</w:t>
      </w:r>
    </w:p>
    <w:p w14:paraId="1BDBCAA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bCs/>
          <w:sz w:val="32"/>
          <w:szCs w:val="32"/>
          <w:lang w:val="en-US" w:eastAsia="zh-CN"/>
        </w:rPr>
        <w:t>2.项目支出中存在以拨代付情况。如2024-07月0010号新阶联20,000.00以拨代付情形，后附付给衡阳市雁峰区新的社会阶层人士联谊会，报告，湖南省资金往来结算票据（电子），未附会议纪要。</w:t>
      </w:r>
    </w:p>
    <w:p w14:paraId="358FC02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bCs/>
          <w:sz w:val="32"/>
          <w:szCs w:val="32"/>
          <w:lang w:val="en-US" w:eastAsia="zh-CN"/>
        </w:rPr>
        <w:t>相关政策1：</w:t>
      </w:r>
      <w:r>
        <w:rPr>
          <w:rFonts w:hint="eastAsia" w:ascii="仿宋" w:hAnsi="仿宋" w:eastAsia="仿宋" w:cs="仿宋"/>
          <w:b w:val="0"/>
          <w:bCs w:val="0"/>
          <w:sz w:val="32"/>
          <w:szCs w:val="32"/>
          <w:lang w:val="en-US" w:eastAsia="zh-CN"/>
        </w:rPr>
        <w:t>上述违反了</w:t>
      </w:r>
      <w:r>
        <w:rPr>
          <w:rFonts w:hint="eastAsia" w:ascii="仿宋" w:hAnsi="仿宋" w:eastAsia="仿宋" w:cs="仿宋"/>
          <w:b w:val="0"/>
          <w:bCs w:val="0"/>
          <w:sz w:val="32"/>
          <w:szCs w:val="32"/>
          <w:lang w:eastAsia="zh-CN"/>
        </w:rPr>
        <w:t>国库集中支付制度。财政资金应直接支付给最终收款方。多个官方文件明令禁止“以拨代支”、“以拨作支”。将财政资金支付给“新阶联”这一社团组织，除非有明确、合规的委托协议，否则属于向非最终商品/服务供应方付款。资金进入社团账户后，其后续具体用途脱离了财政直接监管，形成“库款搬家”。</w:t>
      </w:r>
      <w:r>
        <w:rPr>
          <w:rFonts w:hint="eastAsia" w:ascii="仿宋" w:hAnsi="仿宋" w:eastAsia="仿宋" w:cs="仿宋"/>
          <w:b/>
          <w:bCs/>
          <w:sz w:val="32"/>
          <w:szCs w:val="32"/>
          <w:lang w:val="en-US" w:eastAsia="zh-CN"/>
        </w:rPr>
        <w:t>相关政策2：</w:t>
      </w:r>
      <w:r>
        <w:rPr>
          <w:rFonts w:hint="eastAsia" w:ascii="仿宋" w:hAnsi="仿宋" w:eastAsia="仿宋" w:cs="仿宋"/>
          <w:b w:val="0"/>
          <w:bCs w:val="0"/>
          <w:sz w:val="32"/>
          <w:szCs w:val="32"/>
          <w:lang w:val="en-US" w:eastAsia="zh-CN"/>
        </w:rPr>
        <w:t>上述违反了</w:t>
      </w:r>
      <w:r>
        <w:rPr>
          <w:rFonts w:hint="eastAsia" w:ascii="仿宋" w:hAnsi="仿宋" w:eastAsia="仿宋" w:cs="仿宋"/>
          <w:b w:val="0"/>
          <w:bCs w:val="0"/>
          <w:sz w:val="32"/>
          <w:szCs w:val="32"/>
          <w:lang w:eastAsia="zh-CN"/>
        </w:rPr>
        <w:t>违反“三重一大”决策制度。支付凭证后未附会议纪要，表明该笔款项的支出未经规范的集体决策程序（如“三重一大”集体研究）。大额资金使用必须经过领导班子集体研究决定，并保留完整的会议记录或纪要作为凭证。支出真实性依据</w:t>
      </w:r>
      <w:r>
        <w:rPr>
          <w:rFonts w:hint="eastAsia" w:ascii="仿宋" w:hAnsi="仿宋" w:eastAsia="仿宋" w:cs="仿宋"/>
          <w:b w:val="0"/>
          <w:bCs w:val="0"/>
          <w:sz w:val="32"/>
          <w:szCs w:val="32"/>
          <w:lang w:eastAsia="zh-CN"/>
        </w:rPr>
        <w:tab/>
      </w:r>
      <w:r>
        <w:rPr>
          <w:rFonts w:hint="eastAsia" w:ascii="仿宋" w:hAnsi="仿宋" w:eastAsia="仿宋" w:cs="仿宋"/>
          <w:b w:val="0"/>
          <w:bCs w:val="0"/>
          <w:sz w:val="32"/>
          <w:szCs w:val="32"/>
          <w:lang w:eastAsia="zh-CN"/>
        </w:rPr>
        <w:t>仅附有《报告》和《资金往来结算票据》，无法证明资金的最终具体用途和支出真实性。票据只能证明收款，不能替代证明业务真实发生的合同、明细、成果等材料。</w:t>
      </w:r>
      <w:r>
        <w:rPr>
          <w:rFonts w:hint="eastAsia" w:ascii="仿宋" w:hAnsi="仿宋" w:eastAsia="仿宋" w:cs="仿宋"/>
          <w:b w:val="0"/>
          <w:bCs w:val="0"/>
          <w:sz w:val="32"/>
          <w:szCs w:val="32"/>
          <w:lang w:eastAsia="zh-CN"/>
        </w:rPr>
        <w:tab/>
      </w:r>
      <w:r>
        <w:rPr>
          <w:rFonts w:hint="eastAsia" w:ascii="仿宋" w:hAnsi="仿宋" w:eastAsia="仿宋" w:cs="仿宋"/>
          <w:b w:val="0"/>
          <w:bCs w:val="0"/>
          <w:sz w:val="32"/>
          <w:szCs w:val="32"/>
          <w:lang w:eastAsia="zh-CN"/>
        </w:rPr>
        <w:t>违反预算执行真实性、合规性要求。</w:t>
      </w:r>
    </w:p>
    <w:p w14:paraId="0344850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bCs/>
          <w:sz w:val="32"/>
          <w:szCs w:val="32"/>
          <w:lang w:val="en-US" w:eastAsia="zh-CN"/>
        </w:rPr>
        <w:t>建议：一是</w:t>
      </w:r>
      <w:r>
        <w:rPr>
          <w:rFonts w:hint="eastAsia" w:ascii="仿宋" w:hAnsi="仿宋" w:eastAsia="仿宋" w:cs="仿宋"/>
          <w:b/>
          <w:bCs/>
          <w:sz w:val="32"/>
          <w:szCs w:val="32"/>
          <w:lang w:eastAsia="zh-CN"/>
        </w:rPr>
        <w:t>追溯与补充凭证。</w:t>
      </w:r>
      <w:r>
        <w:rPr>
          <w:rFonts w:hint="eastAsia" w:ascii="仿宋" w:hAnsi="仿宋" w:eastAsia="仿宋" w:cs="仿宋"/>
          <w:b w:val="0"/>
          <w:bCs w:val="0"/>
          <w:sz w:val="32"/>
          <w:szCs w:val="32"/>
          <w:lang w:eastAsia="zh-CN"/>
        </w:rPr>
        <w:t>要求收款方（区新阶联）提供该笔2万元资金的详细使用明细、相关活动方案、预决算报告、支出原始票据复印件及成果材料（如活动照片、宣传报道、服务清单等）。单位内部应补充履行集体决策程序的证明材料。如果当时确实经过会议研究，应查找原始记录并补制纪要；如果未经过，需向领导说明情况，必要时按程序追认，并作为重大内控缺陷记录。</w:t>
      </w:r>
      <w:r>
        <w:rPr>
          <w:rFonts w:hint="eastAsia" w:ascii="仿宋" w:hAnsi="仿宋" w:eastAsia="仿宋" w:cs="仿宋"/>
          <w:b/>
          <w:bCs/>
          <w:sz w:val="32"/>
          <w:szCs w:val="32"/>
          <w:lang w:val="en-US" w:eastAsia="zh-CN"/>
        </w:rPr>
        <w:t>二是</w:t>
      </w:r>
      <w:r>
        <w:rPr>
          <w:rFonts w:hint="eastAsia" w:ascii="仿宋" w:hAnsi="仿宋" w:eastAsia="仿宋" w:cs="仿宋"/>
          <w:b/>
          <w:bCs/>
          <w:sz w:val="32"/>
          <w:szCs w:val="32"/>
          <w:lang w:eastAsia="zh-CN"/>
        </w:rPr>
        <w:t>健全并严格执行内控制度。明确支付规则：</w:t>
      </w:r>
      <w:r>
        <w:rPr>
          <w:rFonts w:hint="eastAsia" w:ascii="仿宋" w:hAnsi="仿宋" w:eastAsia="仿宋" w:cs="仿宋"/>
          <w:b w:val="0"/>
          <w:bCs w:val="0"/>
          <w:sz w:val="32"/>
          <w:szCs w:val="32"/>
          <w:lang w:eastAsia="zh-CN"/>
        </w:rPr>
        <w:t>在单位财务内控制度中明确规定，禁止向非最终服务方进行“以拨代付”。对社团等组织的补助或工作经费，必须在拨款前签订协议，明确资金用途、绩效目标、报账方式（如实行报账制）和监管责任。</w:t>
      </w:r>
      <w:r>
        <w:rPr>
          <w:rFonts w:hint="eastAsia" w:ascii="仿宋" w:hAnsi="仿宋" w:eastAsia="仿宋" w:cs="仿宋"/>
          <w:b/>
          <w:bCs/>
          <w:sz w:val="32"/>
          <w:szCs w:val="32"/>
          <w:lang w:eastAsia="zh-CN"/>
        </w:rPr>
        <w:t>强化财务审核：</w:t>
      </w:r>
      <w:r>
        <w:rPr>
          <w:rFonts w:hint="eastAsia" w:ascii="仿宋" w:hAnsi="仿宋" w:eastAsia="仿宋" w:cs="仿宋"/>
          <w:b w:val="0"/>
          <w:bCs w:val="0"/>
          <w:sz w:val="32"/>
          <w:szCs w:val="32"/>
          <w:lang w:eastAsia="zh-CN"/>
        </w:rPr>
        <w:t>财务人员在支付审核时，必须将“会议纪要”等决策文件作为支付前置必备要件，并将证明资金最终合规使用的材料作为账务处理的依据，实行“无纪要不付款，无依据不入账”。</w:t>
      </w:r>
      <w:r>
        <w:rPr>
          <w:rFonts w:hint="eastAsia" w:ascii="仿宋" w:hAnsi="仿宋" w:eastAsia="仿宋" w:cs="仿宋"/>
          <w:b/>
          <w:bCs/>
          <w:sz w:val="32"/>
          <w:szCs w:val="32"/>
          <w:lang w:val="en-US" w:eastAsia="zh-CN"/>
        </w:rPr>
        <w:t>三是</w:t>
      </w:r>
      <w:r>
        <w:rPr>
          <w:rFonts w:hint="eastAsia" w:ascii="仿宋" w:hAnsi="仿宋" w:eastAsia="仿宋" w:cs="仿宋"/>
          <w:b/>
          <w:bCs/>
          <w:sz w:val="32"/>
          <w:szCs w:val="32"/>
          <w:lang w:eastAsia="zh-CN"/>
        </w:rPr>
        <w:t>加强培训与日常监管。</w:t>
      </w:r>
      <w:r>
        <w:rPr>
          <w:rFonts w:hint="eastAsia" w:ascii="仿宋" w:hAnsi="仿宋" w:eastAsia="仿宋" w:cs="仿宋"/>
          <w:b w:val="0"/>
          <w:bCs w:val="0"/>
          <w:sz w:val="32"/>
          <w:szCs w:val="32"/>
          <w:lang w:eastAsia="zh-CN"/>
        </w:rPr>
        <w:t>对业务经办人员和财务人员开展专项培训，明确各类财政违规行为的界定（特别是“以拨代支”）及严重后果。单位内部审计或监督部门应定期对项目支出进行抽查，重点关注资金是否“一拨了之”，是否最终形成合规、有效的实际支出。</w:t>
      </w:r>
      <w:r>
        <w:rPr>
          <w:rFonts w:hint="eastAsia" w:ascii="仿宋" w:hAnsi="仿宋" w:eastAsia="仿宋" w:cs="仿宋"/>
          <w:b w:val="0"/>
          <w:bCs w:val="0"/>
          <w:sz w:val="32"/>
          <w:szCs w:val="32"/>
          <w:lang w:val="en-US" w:eastAsia="zh-CN"/>
        </w:rPr>
        <w:t>在</w:t>
      </w:r>
      <w:r>
        <w:rPr>
          <w:rFonts w:hint="eastAsia" w:ascii="仿宋" w:hAnsi="仿宋" w:eastAsia="仿宋" w:cs="仿宋"/>
          <w:b w:val="0"/>
          <w:bCs w:val="0"/>
          <w:sz w:val="32"/>
          <w:szCs w:val="32"/>
          <w:lang w:eastAsia="zh-CN"/>
        </w:rPr>
        <w:t>“决策-执行-支付-核算”环节存在系统性的管理松弛风险，需要从制度层面进行整体性审视和加固。</w:t>
      </w:r>
    </w:p>
    <w:p w14:paraId="22DB4BB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b w:val="0"/>
          <w:bCs w:val="0"/>
          <w:sz w:val="32"/>
          <w:szCs w:val="32"/>
          <w:lang w:eastAsia="zh-CN"/>
        </w:rPr>
      </w:pPr>
    </w:p>
    <w:p w14:paraId="4DFD06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 w:hAnsi="仿宋" w:eastAsia="仿宋" w:cs="仿宋"/>
          <w:b w:val="0"/>
          <w:bCs w:val="0"/>
          <w:sz w:val="32"/>
          <w:szCs w:val="32"/>
          <w:lang w:eastAsia="zh-CN"/>
        </w:rPr>
      </w:pPr>
    </w:p>
    <w:p w14:paraId="3F356B2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黑体" w:hAnsi="黑体" w:eastAsia="黑体" w:cs="黑体"/>
          <w:sz w:val="32"/>
          <w:szCs w:val="32"/>
          <w:lang w:eastAsia="zh-CN"/>
        </w:rPr>
      </w:pPr>
    </w:p>
    <w:tbl>
      <w:tblPr>
        <w:tblStyle w:val="12"/>
        <w:tblW w:w="8799" w:type="dxa"/>
        <w:jc w:val="center"/>
        <w:tblLayout w:type="fixed"/>
        <w:tblCellMar>
          <w:top w:w="0" w:type="dxa"/>
          <w:left w:w="108" w:type="dxa"/>
          <w:bottom w:w="0" w:type="dxa"/>
          <w:right w:w="108" w:type="dxa"/>
        </w:tblCellMar>
      </w:tblPr>
      <w:tblGrid>
        <w:gridCol w:w="4525"/>
        <w:gridCol w:w="4274"/>
      </w:tblGrid>
      <w:tr w14:paraId="393105E7">
        <w:tblPrEx>
          <w:tblCellMar>
            <w:top w:w="0" w:type="dxa"/>
            <w:left w:w="108" w:type="dxa"/>
            <w:bottom w:w="0" w:type="dxa"/>
            <w:right w:w="108" w:type="dxa"/>
          </w:tblCellMar>
        </w:tblPrEx>
        <w:trPr>
          <w:trHeight w:val="623" w:hRule="atLeast"/>
          <w:jc w:val="center"/>
        </w:trPr>
        <w:tc>
          <w:tcPr>
            <w:tcW w:w="4525" w:type="dxa"/>
            <w:noWrap w:val="0"/>
            <w:vAlign w:val="top"/>
          </w:tcPr>
          <w:p w14:paraId="77C917E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湖南浩元会计师事务所</w:t>
            </w:r>
          </w:p>
        </w:tc>
        <w:tc>
          <w:tcPr>
            <w:tcW w:w="4274" w:type="dxa"/>
            <w:noWrap w:val="0"/>
            <w:vAlign w:val="top"/>
          </w:tcPr>
          <w:p w14:paraId="191EA21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中国注册会计师：</w:t>
            </w:r>
          </w:p>
        </w:tc>
      </w:tr>
      <w:tr w14:paraId="7B8C14DC">
        <w:tblPrEx>
          <w:tblCellMar>
            <w:top w:w="0" w:type="dxa"/>
            <w:left w:w="108" w:type="dxa"/>
            <w:bottom w:w="0" w:type="dxa"/>
            <w:right w:w="108" w:type="dxa"/>
          </w:tblCellMar>
        </w:tblPrEx>
        <w:trPr>
          <w:trHeight w:val="1267" w:hRule="atLeast"/>
          <w:jc w:val="center"/>
        </w:trPr>
        <w:tc>
          <w:tcPr>
            <w:tcW w:w="4525" w:type="dxa"/>
            <w:noWrap w:val="0"/>
            <w:vAlign w:val="top"/>
          </w:tcPr>
          <w:p w14:paraId="05DD254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（普通合伙）</w:t>
            </w:r>
          </w:p>
        </w:tc>
        <w:tc>
          <w:tcPr>
            <w:tcW w:w="4274" w:type="dxa"/>
            <w:noWrap w:val="0"/>
            <w:vAlign w:val="top"/>
          </w:tcPr>
          <w:p w14:paraId="2CA4587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p>
        </w:tc>
      </w:tr>
      <w:tr w14:paraId="6C2A450D">
        <w:tblPrEx>
          <w:tblCellMar>
            <w:top w:w="0" w:type="dxa"/>
            <w:left w:w="108" w:type="dxa"/>
            <w:bottom w:w="0" w:type="dxa"/>
            <w:right w:w="108" w:type="dxa"/>
          </w:tblCellMar>
        </w:tblPrEx>
        <w:trPr>
          <w:trHeight w:val="1247" w:hRule="atLeast"/>
          <w:jc w:val="center"/>
        </w:trPr>
        <w:tc>
          <w:tcPr>
            <w:tcW w:w="4525" w:type="dxa"/>
            <w:noWrap w:val="0"/>
            <w:vAlign w:val="top"/>
          </w:tcPr>
          <w:p w14:paraId="74305B8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p>
        </w:tc>
        <w:tc>
          <w:tcPr>
            <w:tcW w:w="4274" w:type="dxa"/>
            <w:noWrap w:val="0"/>
            <w:vAlign w:val="top"/>
          </w:tcPr>
          <w:p w14:paraId="26E02512">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中国注册会计师：</w:t>
            </w:r>
          </w:p>
          <w:p w14:paraId="02921EE4">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p>
        </w:tc>
      </w:tr>
      <w:tr w14:paraId="72176CD7">
        <w:tblPrEx>
          <w:tblCellMar>
            <w:top w:w="0" w:type="dxa"/>
            <w:left w:w="108" w:type="dxa"/>
            <w:bottom w:w="0" w:type="dxa"/>
            <w:right w:w="108" w:type="dxa"/>
          </w:tblCellMar>
        </w:tblPrEx>
        <w:trPr>
          <w:trHeight w:val="623" w:hRule="atLeast"/>
          <w:jc w:val="center"/>
        </w:trPr>
        <w:tc>
          <w:tcPr>
            <w:tcW w:w="4525" w:type="dxa"/>
            <w:noWrap w:val="0"/>
            <w:vAlign w:val="top"/>
          </w:tcPr>
          <w:p w14:paraId="792A982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中 国·长 沙</w:t>
            </w:r>
          </w:p>
        </w:tc>
        <w:tc>
          <w:tcPr>
            <w:tcW w:w="4274" w:type="dxa"/>
            <w:noWrap w:val="0"/>
            <w:vAlign w:val="top"/>
          </w:tcPr>
          <w:p w14:paraId="5711EE8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eastAsia" w:ascii="仿宋" w:hAnsi="仿宋" w:eastAsia="仿宋" w:cs="仿宋"/>
                <w:b w:val="0"/>
                <w:bCs w:val="0"/>
                <w:i w:val="0"/>
                <w:iCs w:val="0"/>
                <w:caps w:val="0"/>
                <w:color w:val="000000"/>
                <w:spacing w:val="0"/>
                <w:sz w:val="32"/>
                <w:szCs w:val="32"/>
                <w:u w:val="none"/>
                <w:shd w:val="clear" w:fill="FFFFFF"/>
                <w:lang w:val="en-US" w:eastAsia="zh-CN"/>
              </w:rPr>
            </w:pPr>
            <w:r>
              <w:rPr>
                <w:rFonts w:hint="eastAsia" w:ascii="仿宋" w:hAnsi="仿宋" w:eastAsia="仿宋" w:cs="仿宋"/>
                <w:b w:val="0"/>
                <w:bCs w:val="0"/>
                <w:i w:val="0"/>
                <w:iCs w:val="0"/>
                <w:caps w:val="0"/>
                <w:color w:val="000000"/>
                <w:spacing w:val="0"/>
                <w:sz w:val="32"/>
                <w:szCs w:val="32"/>
                <w:u w:val="none"/>
                <w:shd w:val="clear" w:fill="FFFFFF"/>
                <w:lang w:val="en-US" w:eastAsia="zh-CN"/>
              </w:rPr>
              <w:t>2025年7月23日</w:t>
            </w:r>
          </w:p>
        </w:tc>
      </w:tr>
    </w:tbl>
    <w:p w14:paraId="5A9B57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9"/>
        <w:rPr>
          <w:rFonts w:hint="eastAsia" w:ascii="黑体" w:hAnsi="黑体" w:eastAsia="黑体" w:cs="黑体"/>
          <w:sz w:val="32"/>
          <w:szCs w:val="32"/>
          <w:lang w:eastAsia="zh-CN"/>
        </w:rPr>
      </w:pPr>
    </w:p>
    <w:p w14:paraId="3244901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outlineLvl w:val="9"/>
        <w:rPr>
          <w:rFonts w:hint="eastAsia" w:ascii="仿宋" w:hAnsi="仿宋" w:eastAsia="仿宋" w:cs="仿宋"/>
          <w:sz w:val="32"/>
          <w:szCs w:val="32"/>
          <w:lang w:val="en-US" w:eastAsia="zh-CN"/>
        </w:rPr>
      </w:pPr>
    </w:p>
    <w:sectPr>
      <w:pgSz w:w="11906" w:h="16838"/>
      <w:pgMar w:top="1157" w:right="1803"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隶二简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1C55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bottomMargin">
                <wp:align>top</wp:align>
              </wp:positionV>
              <wp:extent cx="2431415" cy="298450"/>
              <wp:effectExtent l="0" t="0" r="0" b="0"/>
              <wp:wrapNone/>
              <wp:docPr id="2" name="文本框 2"/>
              <wp:cNvGraphicFramePr/>
              <a:graphic xmlns:a="http://schemas.openxmlformats.org/drawingml/2006/main">
                <a:graphicData uri="http://schemas.microsoft.com/office/word/2010/wordprocessingShape">
                  <wps:wsp>
                    <wps:cNvSpPr txBox="1"/>
                    <wps:spPr>
                      <a:xfrm>
                        <a:off x="1168400" y="9895840"/>
                        <a:ext cx="243141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AC19B">
                          <w:pPr>
                            <w:rPr>
                              <w:rFonts w:hint="eastAsia" w:ascii="仿宋" w:hAnsi="仿宋" w:eastAsia="仿宋" w:cs="仿宋"/>
                              <w:color w:val="808080" w:themeColor="text1" w:themeTint="80"/>
                              <w:sz w:val="21"/>
                              <w:szCs w:val="21"/>
                              <w:lang w:val="en-US" w:eastAsia="zh-CN"/>
                              <w14:textFill>
                                <w14:solidFill>
                                  <w14:schemeClr w14:val="tx1">
                                    <w14:lumMod w14:val="50000"/>
                                    <w14:lumOff w14:val="50000"/>
                                  </w14:schemeClr>
                                </w14:solidFill>
                              </w14:textFill>
                            </w:rPr>
                          </w:pPr>
                          <w:r>
                            <w:rPr>
                              <w:rFonts w:hint="eastAsia" w:ascii="仿宋" w:hAnsi="仿宋" w:eastAsia="仿宋" w:cs="仿宋"/>
                              <w:color w:val="808080" w:themeColor="text1" w:themeTint="80"/>
                              <w:sz w:val="21"/>
                              <w:szCs w:val="21"/>
                              <w:lang w:val="en-US" w:eastAsia="zh-CN"/>
                              <w14:textFill>
                                <w14:solidFill>
                                  <w14:schemeClr w14:val="tx1">
                                    <w14:lumMod w14:val="50000"/>
                                    <w14:lumOff w14:val="50000"/>
                                  </w14:schemeClr>
                                </w14:solidFill>
                              </w14:textFill>
                            </w:rPr>
                            <w:t>湖南浩元会计师事务所（普通合伙）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5pt;margin-top:769.9pt;height:23.5pt;width:191.45pt;mso-position-horizontal-relative:page;mso-position-vertical-relative:page;z-index:251660288;mso-width-relative:page;mso-height-relative:page;" filled="f" stroked="f" coordsize="21600,21600" o:gfxdata="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yvZrWAAAABAEAAA8AAAAAAAAAAQAgAAAA&#10;IgAAAGRycy9kb3ducmV2LnhtbFBLAQIUABQAAAAIAIdO4kAoJ/C0RgIAAHIEAAAOAAAAAAAAAAEA&#10;IAAAACUBAABkcnMvZTJvRG9jLnhtbFBLBQYAAAAABgAGAFkBAADdBQAAAAA=&#10;">
              <v:fill on="f" focussize="0,0"/>
              <v:stroke on="f" weight="0.5pt"/>
              <v:imagedata o:title=""/>
              <o:lock v:ext="edit" aspectratio="f"/>
              <v:textbox>
                <w:txbxContent>
                  <w:p w14:paraId="477AC19B">
                    <w:pPr>
                      <w:rPr>
                        <w:rFonts w:hint="eastAsia" w:ascii="仿宋" w:hAnsi="仿宋" w:eastAsia="仿宋" w:cs="仿宋"/>
                        <w:color w:val="808080" w:themeColor="text1" w:themeTint="80"/>
                        <w:sz w:val="21"/>
                        <w:szCs w:val="21"/>
                        <w:lang w:val="en-US" w:eastAsia="zh-CN"/>
                        <w14:textFill>
                          <w14:solidFill>
                            <w14:schemeClr w14:val="tx1">
                              <w14:lumMod w14:val="50000"/>
                              <w14:lumOff w14:val="50000"/>
                            </w14:schemeClr>
                          </w14:solidFill>
                        </w14:textFill>
                      </w:rPr>
                    </w:pPr>
                    <w:r>
                      <w:rPr>
                        <w:rFonts w:hint="eastAsia" w:ascii="仿宋" w:hAnsi="仿宋" w:eastAsia="仿宋" w:cs="仿宋"/>
                        <w:color w:val="808080" w:themeColor="text1" w:themeTint="80"/>
                        <w:sz w:val="21"/>
                        <w:szCs w:val="21"/>
                        <w:lang w:val="en-US" w:eastAsia="zh-CN"/>
                        <w14:textFill>
                          <w14:solidFill>
                            <w14:schemeClr w14:val="tx1">
                              <w14:lumMod w14:val="50000"/>
                              <w14:lumOff w14:val="50000"/>
                            </w14:schemeClr>
                          </w14:solidFill>
                        </w14:textFill>
                      </w:rPr>
                      <w:t>湖南浩元会计师事务所（普通合伙）</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top</wp:align>
              </wp:positionV>
              <wp:extent cx="5313045" cy="0"/>
              <wp:effectExtent l="0" t="6350" r="0" b="6350"/>
              <wp:wrapNone/>
              <wp:docPr id="1" name="直接连接符 1"/>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15pt;margin-top:770.4pt;height:0pt;width:418.35pt;mso-position-horizontal-relative:page;mso-position-vertical-relative:page;z-index:251659264;mso-width-relative:margin;mso-height-relative:page;mso-width-percent:1000;" filled="f" stroked="t" coordsize="21600,21600" o:gfxdata="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7jyGc&#10;zwAAAAIBAAAPAAAAAAAAAAEAIAAAACIAAABkcnMvZG93bnJldi54bWxQSwECFAAUAAAACACHTuJA&#10;F49pAfEBAAC+AwAADgAAAAAAAAABACAAAAAeAQAAZHJzL2Uyb0RvYy54bWxQSwUGAAAAAAYABgBZ&#10;AQAAgQUAAAAA&#10;">
              <v:fill on="f" focussize="0,0"/>
              <v:stroke weight="1pt" color="#000000 [3213]" miterlimit="8" joinstyle="miter"/>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0B68">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8C09C">
                          <w:pPr>
                            <w:pStyle w:val="6"/>
                            <w:rPr>
                              <w:b/>
                              <w:bCs/>
                            </w:rPr>
                          </w:pPr>
                          <w:r>
                            <w:rPr>
                              <w:b/>
                              <w:bCs/>
                            </w:rPr>
                            <w:t xml:space="preserve">第 </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48C09C">
                    <w:pPr>
                      <w:pStyle w:val="6"/>
                      <w:rPr>
                        <w:b/>
                        <w:bCs/>
                      </w:rPr>
                    </w:pPr>
                    <w:r>
                      <w:rPr>
                        <w:b/>
                        <w:bCs/>
                      </w:rPr>
                      <w:t xml:space="preserve">第 </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页</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bottomMargin">
                <wp:align>top</wp:align>
              </wp:positionV>
              <wp:extent cx="2431415" cy="298450"/>
              <wp:effectExtent l="0" t="0" r="0" b="0"/>
              <wp:wrapNone/>
              <wp:docPr id="14" name="文本框 14"/>
              <wp:cNvGraphicFramePr/>
              <a:graphic xmlns:a="http://schemas.openxmlformats.org/drawingml/2006/main">
                <a:graphicData uri="http://schemas.microsoft.com/office/word/2010/wordprocessingShape">
                  <wps:wsp>
                    <wps:cNvSpPr txBox="1"/>
                    <wps:spPr>
                      <a:xfrm>
                        <a:off x="1168400" y="9895840"/>
                        <a:ext cx="2431415" cy="298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7CA635">
                          <w:pPr>
                            <w:rPr>
                              <w:rFonts w:hint="eastAsia" w:ascii="仿宋" w:hAnsi="仿宋" w:eastAsia="仿宋" w:cs="仿宋"/>
                              <w:b/>
                              <w:bCs/>
                              <w:color w:val="auto"/>
                              <w:sz w:val="21"/>
                              <w:szCs w:val="21"/>
                              <w:u w:val="none"/>
                              <w:lang w:val="en-US" w:eastAsia="zh-CN"/>
                            </w:rPr>
                          </w:pPr>
                          <w:r>
                            <w:rPr>
                              <w:rFonts w:hint="eastAsia" w:ascii="仿宋" w:hAnsi="仿宋" w:eastAsia="仿宋" w:cs="仿宋"/>
                              <w:b/>
                              <w:bCs/>
                              <w:color w:val="auto"/>
                              <w:sz w:val="21"/>
                              <w:szCs w:val="21"/>
                              <w:u w:val="none"/>
                              <w:lang w:val="en-US" w:eastAsia="zh-CN"/>
                            </w:rPr>
                            <w:t>湖南浩元会计师事务所（普通合伙）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5pt;margin-top:769.9pt;height:23.5pt;width:191.45pt;mso-position-horizontal-relative:page;mso-position-vertical-relative:page;z-index:251662336;mso-width-relative:page;mso-height-relative:page;" filled="f" stroked="f" coordsize="21600,21600" o:gfxdata="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yvZrWAAAABAEAAA8AAAAAAAAAAQAgAAAA&#10;IgAAAGRycy9kb3ducmV2LnhtbFBLAQIUABQAAAAIAIdO4kDDk0rrRgIAAHQEAAAOAAAAAAAAAAEA&#10;IAAAACUBAABkcnMvZTJvRG9jLnhtbFBLBQYAAAAABgAGAFkBAADdBQAAAAA=&#10;">
              <v:fill on="f" focussize="0,0"/>
              <v:stroke on="f" weight="0.5pt"/>
              <v:imagedata o:title=""/>
              <o:lock v:ext="edit" aspectratio="f"/>
              <v:textbox>
                <w:txbxContent>
                  <w:p w14:paraId="237CA635">
                    <w:pPr>
                      <w:rPr>
                        <w:rFonts w:hint="eastAsia" w:ascii="仿宋" w:hAnsi="仿宋" w:eastAsia="仿宋" w:cs="仿宋"/>
                        <w:b/>
                        <w:bCs/>
                        <w:color w:val="auto"/>
                        <w:sz w:val="21"/>
                        <w:szCs w:val="21"/>
                        <w:u w:val="none"/>
                        <w:lang w:val="en-US" w:eastAsia="zh-CN"/>
                      </w:rPr>
                    </w:pPr>
                    <w:r>
                      <w:rPr>
                        <w:rFonts w:hint="eastAsia" w:ascii="仿宋" w:hAnsi="仿宋" w:eastAsia="仿宋" w:cs="仿宋"/>
                        <w:b/>
                        <w:bCs/>
                        <w:color w:val="auto"/>
                        <w:sz w:val="21"/>
                        <w:szCs w:val="21"/>
                        <w:u w:val="none"/>
                        <w:lang w:val="en-US" w:eastAsia="zh-CN"/>
                      </w:rPr>
                      <w:t>湖南浩元会计师事务所（普通合伙）</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top</wp:align>
              </wp:positionV>
              <wp:extent cx="5313045" cy="0"/>
              <wp:effectExtent l="0" t="6350" r="0" b="6350"/>
              <wp:wrapNone/>
              <wp:docPr id="15" name="直接连接符 15"/>
              <wp:cNvGraphicFramePr/>
              <a:graphic xmlns:a="http://schemas.openxmlformats.org/drawingml/2006/main">
                <a:graphicData uri="http://schemas.microsoft.com/office/word/2010/wordprocessingShape">
                  <wps:wsp>
                    <wps:cNvCnPr/>
                    <wps:spPr>
                      <a:xfrm>
                        <a:off x="1139190" y="9765665"/>
                        <a:ext cx="531304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id="_x0000_s1026" o:spid="_x0000_s1026" o:spt="20" style="position:absolute;left:0pt;margin-left:90.15pt;margin-top:770.4pt;height:0pt;width:418.35pt;mso-position-horizontal-relative:page;mso-position-vertical-relative:page;z-index:251661312;mso-width-relative:margin;mso-height-relative:page;mso-width-percent:1000;" filled="f" stroked="t" coordsize="21600,21600" o:gfxdata="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7&#10;jyGczwAAAAIBAAAPAAAAAAAAAAEAIAAAACIAAABkcnMvZG93bnJldi54bWxQSwECFAAUAAAACACH&#10;TuJAsDn2AfQBAADAAwAADgAAAAAAAAABACAAAAAeAQAAZHJzL2Uyb0RvYy54bWxQSwUGAAAAAAYA&#10;BgBZAQAAhAUAAAAA&#10;">
              <v:fill on="f" focussize="0,0"/>
              <v:stroke weight="1pt" color="#000000 [3213]" miterlimit="8" joinstyle="miter"/>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12759">
    <w:pPr>
      <w:pStyle w:val="7"/>
      <w:rPr>
        <w:rFonts w:hint="default" w:ascii="仿宋" w:hAnsi="仿宋" w:eastAsia="仿宋" w:cs="仿宋"/>
        <w:sz w:val="21"/>
        <w:szCs w:val="21"/>
        <w:u w:val="single"/>
        <w:lang w:val="en-US" w:eastAsia="zh-CN"/>
      </w:rPr>
    </w:pPr>
    <w:r>
      <w:rPr>
        <w:rFonts w:hint="eastAsia" w:ascii="仿宋" w:hAnsi="仿宋" w:eastAsia="仿宋" w:cs="仿宋"/>
        <w:b/>
        <w:bCs/>
        <w:sz w:val="21"/>
        <w:szCs w:val="21"/>
        <w:u w:val="single"/>
        <w:lang w:val="en-US" w:eastAsia="zh-CN"/>
      </w:rPr>
      <w:t>2024年中共雁峰区委统一战线工作部部门整体支出绩效评价报告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6C738F"/>
    <w:multiLevelType w:val="singleLevel"/>
    <w:tmpl w:val="876C738F"/>
    <w:lvl w:ilvl="0" w:tentative="0">
      <w:start w:val="2"/>
      <w:numFmt w:val="decimal"/>
      <w:suff w:val="nothing"/>
      <w:lvlText w:val="（%1）"/>
      <w:lvlJc w:val="left"/>
      <w:rPr>
        <w:rFonts w:hint="default"/>
        <w:b/>
        <w:bCs/>
      </w:rPr>
    </w:lvl>
  </w:abstractNum>
  <w:abstractNum w:abstractNumId="1">
    <w:nsid w:val="950EFD67"/>
    <w:multiLevelType w:val="singleLevel"/>
    <w:tmpl w:val="950EFD67"/>
    <w:lvl w:ilvl="0" w:tentative="0">
      <w:start w:val="2"/>
      <w:numFmt w:val="chineseCounting"/>
      <w:suff w:val="nothing"/>
      <w:lvlText w:val="（%1）"/>
      <w:lvlJc w:val="left"/>
      <w:rPr>
        <w:rFonts w:hint="eastAsia"/>
        <w:b/>
        <w:bCs/>
      </w:rPr>
    </w:lvl>
  </w:abstractNum>
  <w:abstractNum w:abstractNumId="2">
    <w:nsid w:val="AFCFB45B"/>
    <w:multiLevelType w:val="singleLevel"/>
    <w:tmpl w:val="AFCFB45B"/>
    <w:lvl w:ilvl="0" w:tentative="0">
      <w:start w:val="2"/>
      <w:numFmt w:val="chineseCounting"/>
      <w:suff w:val="nothing"/>
      <w:lvlText w:val="%1、"/>
      <w:lvlJc w:val="left"/>
      <w:rPr>
        <w:rFonts w:hint="eastAsia"/>
      </w:rPr>
    </w:lvl>
  </w:abstractNum>
  <w:abstractNum w:abstractNumId="3">
    <w:nsid w:val="BE904BCF"/>
    <w:multiLevelType w:val="singleLevel"/>
    <w:tmpl w:val="BE904BCF"/>
    <w:lvl w:ilvl="0" w:tentative="0">
      <w:start w:val="3"/>
      <w:numFmt w:val="decimal"/>
      <w:suff w:val="nothing"/>
      <w:lvlText w:val="（%1）"/>
      <w:lvlJc w:val="left"/>
    </w:lvl>
  </w:abstractNum>
  <w:abstractNum w:abstractNumId="4">
    <w:nsid w:val="D84C4568"/>
    <w:multiLevelType w:val="singleLevel"/>
    <w:tmpl w:val="D84C4568"/>
    <w:lvl w:ilvl="0" w:tentative="0">
      <w:start w:val="1"/>
      <w:numFmt w:val="chineseCounting"/>
      <w:suff w:val="nothing"/>
      <w:lvlText w:val="（%1）"/>
      <w:lvlJc w:val="left"/>
      <w:rPr>
        <w:rFonts w:hint="eastAsia"/>
      </w:rPr>
    </w:lvl>
  </w:abstractNum>
  <w:abstractNum w:abstractNumId="5">
    <w:nsid w:val="E26FB1F0"/>
    <w:multiLevelType w:val="singleLevel"/>
    <w:tmpl w:val="E26FB1F0"/>
    <w:lvl w:ilvl="0" w:tentative="0">
      <w:start w:val="2"/>
      <w:numFmt w:val="decimal"/>
      <w:suff w:val="nothing"/>
      <w:lvlText w:val="（%1）"/>
      <w:lvlJc w:val="left"/>
    </w:lvl>
  </w:abstractNum>
  <w:abstractNum w:abstractNumId="6">
    <w:nsid w:val="6009A791"/>
    <w:multiLevelType w:val="singleLevel"/>
    <w:tmpl w:val="6009A791"/>
    <w:lvl w:ilvl="0" w:tentative="0">
      <w:start w:val="3"/>
      <w:numFmt w:val="decimal"/>
      <w:suff w:val="nothing"/>
      <w:lvlText w:val="%1、"/>
      <w:lvlJc w:val="left"/>
      <w:rPr>
        <w:rFonts w:hint="default"/>
        <w:b/>
        <w:bCs/>
      </w:rPr>
    </w:lvl>
  </w:abstractNum>
  <w:num w:numId="1">
    <w:abstractNumId w:val="2"/>
  </w:num>
  <w:num w:numId="2">
    <w:abstractNumId w:val="4"/>
  </w:num>
  <w:num w:numId="3">
    <w:abstractNumId w:val="1"/>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ZWVjYTFmYWM4NGIxZThlMmI0MzQ1Mzg3NWI3ZjkifQ=="/>
  </w:docVars>
  <w:rsids>
    <w:rsidRoot w:val="00172A27"/>
    <w:rsid w:val="0002561E"/>
    <w:rsid w:val="00053C27"/>
    <w:rsid w:val="001B237B"/>
    <w:rsid w:val="003675EE"/>
    <w:rsid w:val="00392EA7"/>
    <w:rsid w:val="00396CDA"/>
    <w:rsid w:val="003A79B0"/>
    <w:rsid w:val="0046375D"/>
    <w:rsid w:val="004E616D"/>
    <w:rsid w:val="00543B5B"/>
    <w:rsid w:val="00915AE9"/>
    <w:rsid w:val="00AC7437"/>
    <w:rsid w:val="00ED1E2A"/>
    <w:rsid w:val="00F96DAA"/>
    <w:rsid w:val="00FE0086"/>
    <w:rsid w:val="01040281"/>
    <w:rsid w:val="010D6479"/>
    <w:rsid w:val="011655D4"/>
    <w:rsid w:val="014F34AC"/>
    <w:rsid w:val="016347D7"/>
    <w:rsid w:val="01967D5E"/>
    <w:rsid w:val="019755DD"/>
    <w:rsid w:val="019D115B"/>
    <w:rsid w:val="019F1377"/>
    <w:rsid w:val="01D846CD"/>
    <w:rsid w:val="021E5540"/>
    <w:rsid w:val="023A109F"/>
    <w:rsid w:val="023F2351"/>
    <w:rsid w:val="02445F1E"/>
    <w:rsid w:val="024C492F"/>
    <w:rsid w:val="025739FF"/>
    <w:rsid w:val="02595B80"/>
    <w:rsid w:val="0263637C"/>
    <w:rsid w:val="028D5673"/>
    <w:rsid w:val="029D18A6"/>
    <w:rsid w:val="02A1111E"/>
    <w:rsid w:val="02AE478C"/>
    <w:rsid w:val="02B50726"/>
    <w:rsid w:val="02B726F0"/>
    <w:rsid w:val="02BA21E0"/>
    <w:rsid w:val="02C443E7"/>
    <w:rsid w:val="02C81B1F"/>
    <w:rsid w:val="02CD73A2"/>
    <w:rsid w:val="02F94384"/>
    <w:rsid w:val="03103BAE"/>
    <w:rsid w:val="031713E0"/>
    <w:rsid w:val="031D6EFB"/>
    <w:rsid w:val="03267F2A"/>
    <w:rsid w:val="03295034"/>
    <w:rsid w:val="03393468"/>
    <w:rsid w:val="036868D0"/>
    <w:rsid w:val="03754F19"/>
    <w:rsid w:val="03764359"/>
    <w:rsid w:val="03773C2D"/>
    <w:rsid w:val="0391431A"/>
    <w:rsid w:val="03A47774"/>
    <w:rsid w:val="03C3438E"/>
    <w:rsid w:val="03C47923"/>
    <w:rsid w:val="03CE545F"/>
    <w:rsid w:val="03D25723"/>
    <w:rsid w:val="03E644F5"/>
    <w:rsid w:val="03E64831"/>
    <w:rsid w:val="03EC2411"/>
    <w:rsid w:val="04220309"/>
    <w:rsid w:val="04245B63"/>
    <w:rsid w:val="042E3A1F"/>
    <w:rsid w:val="043E5100"/>
    <w:rsid w:val="04421B33"/>
    <w:rsid w:val="04460AFF"/>
    <w:rsid w:val="047C774D"/>
    <w:rsid w:val="047F1C73"/>
    <w:rsid w:val="04986613"/>
    <w:rsid w:val="04B70785"/>
    <w:rsid w:val="04C6380B"/>
    <w:rsid w:val="04CD774D"/>
    <w:rsid w:val="05353DA0"/>
    <w:rsid w:val="053B68BC"/>
    <w:rsid w:val="057714C1"/>
    <w:rsid w:val="05791A70"/>
    <w:rsid w:val="057F0120"/>
    <w:rsid w:val="058C131C"/>
    <w:rsid w:val="058C1C12"/>
    <w:rsid w:val="059E7B97"/>
    <w:rsid w:val="05A11BAC"/>
    <w:rsid w:val="05A50F26"/>
    <w:rsid w:val="05AC1AAE"/>
    <w:rsid w:val="05BA0D70"/>
    <w:rsid w:val="05DB66F5"/>
    <w:rsid w:val="05E0766C"/>
    <w:rsid w:val="05E4614D"/>
    <w:rsid w:val="05F45A09"/>
    <w:rsid w:val="05FA2A1A"/>
    <w:rsid w:val="06093E43"/>
    <w:rsid w:val="06106186"/>
    <w:rsid w:val="061B656D"/>
    <w:rsid w:val="06222576"/>
    <w:rsid w:val="06341813"/>
    <w:rsid w:val="06345BBB"/>
    <w:rsid w:val="064A35D0"/>
    <w:rsid w:val="065D6663"/>
    <w:rsid w:val="0660046B"/>
    <w:rsid w:val="067369FB"/>
    <w:rsid w:val="06875F36"/>
    <w:rsid w:val="069112CA"/>
    <w:rsid w:val="06930D7E"/>
    <w:rsid w:val="06C57799"/>
    <w:rsid w:val="06C92D5A"/>
    <w:rsid w:val="06CC0578"/>
    <w:rsid w:val="06D86978"/>
    <w:rsid w:val="06DF5D71"/>
    <w:rsid w:val="070337A4"/>
    <w:rsid w:val="07097643"/>
    <w:rsid w:val="07143785"/>
    <w:rsid w:val="071E67C4"/>
    <w:rsid w:val="072639A0"/>
    <w:rsid w:val="073F4A62"/>
    <w:rsid w:val="074D53D1"/>
    <w:rsid w:val="0756191C"/>
    <w:rsid w:val="07656A3B"/>
    <w:rsid w:val="078D3874"/>
    <w:rsid w:val="079468F0"/>
    <w:rsid w:val="079B120C"/>
    <w:rsid w:val="07A7684E"/>
    <w:rsid w:val="07BA10F5"/>
    <w:rsid w:val="07BB67DE"/>
    <w:rsid w:val="07BE5114"/>
    <w:rsid w:val="07E22674"/>
    <w:rsid w:val="07E80420"/>
    <w:rsid w:val="07ED2710"/>
    <w:rsid w:val="07F9321E"/>
    <w:rsid w:val="07FF1CDD"/>
    <w:rsid w:val="083E11BD"/>
    <w:rsid w:val="084542FA"/>
    <w:rsid w:val="085B544F"/>
    <w:rsid w:val="086A6018"/>
    <w:rsid w:val="08C8551C"/>
    <w:rsid w:val="08CE4F06"/>
    <w:rsid w:val="08E26602"/>
    <w:rsid w:val="09322AD0"/>
    <w:rsid w:val="0949606C"/>
    <w:rsid w:val="096B15C8"/>
    <w:rsid w:val="098244A7"/>
    <w:rsid w:val="09B90AFC"/>
    <w:rsid w:val="0A0F3905"/>
    <w:rsid w:val="0A355EA0"/>
    <w:rsid w:val="0A3D472E"/>
    <w:rsid w:val="0A5F7F8F"/>
    <w:rsid w:val="0A653918"/>
    <w:rsid w:val="0A8777EC"/>
    <w:rsid w:val="0A891C20"/>
    <w:rsid w:val="0AA364AD"/>
    <w:rsid w:val="0AAC0F25"/>
    <w:rsid w:val="0ABB08A3"/>
    <w:rsid w:val="0ADF27E4"/>
    <w:rsid w:val="0AE61F1B"/>
    <w:rsid w:val="0B1A34E5"/>
    <w:rsid w:val="0B2519D6"/>
    <w:rsid w:val="0B42710B"/>
    <w:rsid w:val="0B553428"/>
    <w:rsid w:val="0B5C5BE2"/>
    <w:rsid w:val="0B6131F9"/>
    <w:rsid w:val="0BC419DA"/>
    <w:rsid w:val="0BCB32A2"/>
    <w:rsid w:val="0BD452F2"/>
    <w:rsid w:val="0BE45812"/>
    <w:rsid w:val="0BE71C3D"/>
    <w:rsid w:val="0C254F7A"/>
    <w:rsid w:val="0C28630F"/>
    <w:rsid w:val="0C925AC4"/>
    <w:rsid w:val="0CAC044E"/>
    <w:rsid w:val="0CB8153E"/>
    <w:rsid w:val="0CBC3E25"/>
    <w:rsid w:val="0CC06645"/>
    <w:rsid w:val="0CCF6888"/>
    <w:rsid w:val="0CDB0A03"/>
    <w:rsid w:val="0CE5798A"/>
    <w:rsid w:val="0CF462EF"/>
    <w:rsid w:val="0D0201EA"/>
    <w:rsid w:val="0D0332A3"/>
    <w:rsid w:val="0D2B04B3"/>
    <w:rsid w:val="0D81478E"/>
    <w:rsid w:val="0D862FC8"/>
    <w:rsid w:val="0D8A2FED"/>
    <w:rsid w:val="0D940C01"/>
    <w:rsid w:val="0D9E6986"/>
    <w:rsid w:val="0DA4187D"/>
    <w:rsid w:val="0DA6583B"/>
    <w:rsid w:val="0DAB4CA3"/>
    <w:rsid w:val="0DBB7938"/>
    <w:rsid w:val="0DC24E06"/>
    <w:rsid w:val="0DCA29A0"/>
    <w:rsid w:val="0DD208F0"/>
    <w:rsid w:val="0DDC7AB4"/>
    <w:rsid w:val="0DE73F9D"/>
    <w:rsid w:val="0E180AFA"/>
    <w:rsid w:val="0E434CA2"/>
    <w:rsid w:val="0E90419B"/>
    <w:rsid w:val="0EAA7A46"/>
    <w:rsid w:val="0EB151DA"/>
    <w:rsid w:val="0EBD5965"/>
    <w:rsid w:val="0EC40B28"/>
    <w:rsid w:val="0EE30765"/>
    <w:rsid w:val="0EE875CA"/>
    <w:rsid w:val="0EEF3211"/>
    <w:rsid w:val="0F0B71C2"/>
    <w:rsid w:val="0F16254C"/>
    <w:rsid w:val="0F1A2FCB"/>
    <w:rsid w:val="0F2904D1"/>
    <w:rsid w:val="0F2E527C"/>
    <w:rsid w:val="0F36499C"/>
    <w:rsid w:val="0F6C03BE"/>
    <w:rsid w:val="0F775D3E"/>
    <w:rsid w:val="0F7811AE"/>
    <w:rsid w:val="0F8B17F6"/>
    <w:rsid w:val="0FA270B4"/>
    <w:rsid w:val="0FAB006A"/>
    <w:rsid w:val="0FB10A42"/>
    <w:rsid w:val="0FDA17CC"/>
    <w:rsid w:val="0FE53F92"/>
    <w:rsid w:val="0FE90290"/>
    <w:rsid w:val="0FFC7697"/>
    <w:rsid w:val="100F5919"/>
    <w:rsid w:val="101E7BF6"/>
    <w:rsid w:val="10241DAF"/>
    <w:rsid w:val="10246EEB"/>
    <w:rsid w:val="10362DC0"/>
    <w:rsid w:val="103750DB"/>
    <w:rsid w:val="103A6D61"/>
    <w:rsid w:val="106612B1"/>
    <w:rsid w:val="107069BA"/>
    <w:rsid w:val="10736841"/>
    <w:rsid w:val="10762B40"/>
    <w:rsid w:val="1099323E"/>
    <w:rsid w:val="109B53FF"/>
    <w:rsid w:val="10AA3894"/>
    <w:rsid w:val="10C8771B"/>
    <w:rsid w:val="10F770B9"/>
    <w:rsid w:val="10F9096F"/>
    <w:rsid w:val="11032E09"/>
    <w:rsid w:val="11045EE1"/>
    <w:rsid w:val="1109210E"/>
    <w:rsid w:val="110C12EC"/>
    <w:rsid w:val="11275806"/>
    <w:rsid w:val="1152799A"/>
    <w:rsid w:val="11553800"/>
    <w:rsid w:val="115820C3"/>
    <w:rsid w:val="116339D1"/>
    <w:rsid w:val="116972AB"/>
    <w:rsid w:val="1170063A"/>
    <w:rsid w:val="11910B2A"/>
    <w:rsid w:val="11B60016"/>
    <w:rsid w:val="11BD1BAD"/>
    <w:rsid w:val="11C22644"/>
    <w:rsid w:val="11C90F52"/>
    <w:rsid w:val="11D53180"/>
    <w:rsid w:val="11DB182B"/>
    <w:rsid w:val="11EA5F58"/>
    <w:rsid w:val="11F84BB9"/>
    <w:rsid w:val="12052F31"/>
    <w:rsid w:val="12144AEB"/>
    <w:rsid w:val="121B783C"/>
    <w:rsid w:val="12266F4A"/>
    <w:rsid w:val="1246013E"/>
    <w:rsid w:val="125A4E46"/>
    <w:rsid w:val="126F08F1"/>
    <w:rsid w:val="12A01767"/>
    <w:rsid w:val="12A41E2E"/>
    <w:rsid w:val="12C5502F"/>
    <w:rsid w:val="12CE0BB5"/>
    <w:rsid w:val="12D47F8E"/>
    <w:rsid w:val="12EF1689"/>
    <w:rsid w:val="130A1D43"/>
    <w:rsid w:val="1311486C"/>
    <w:rsid w:val="13134ACB"/>
    <w:rsid w:val="13257202"/>
    <w:rsid w:val="133308DE"/>
    <w:rsid w:val="13367661"/>
    <w:rsid w:val="133B6A25"/>
    <w:rsid w:val="133E63BF"/>
    <w:rsid w:val="135932D1"/>
    <w:rsid w:val="135E5661"/>
    <w:rsid w:val="136C0312"/>
    <w:rsid w:val="13853604"/>
    <w:rsid w:val="139F4E30"/>
    <w:rsid w:val="139F5206"/>
    <w:rsid w:val="13A54BA8"/>
    <w:rsid w:val="13AC7923"/>
    <w:rsid w:val="140275A9"/>
    <w:rsid w:val="140C37B9"/>
    <w:rsid w:val="14182A2A"/>
    <w:rsid w:val="141F1EA3"/>
    <w:rsid w:val="142E6F34"/>
    <w:rsid w:val="143F0CC5"/>
    <w:rsid w:val="145558C5"/>
    <w:rsid w:val="145E6E6F"/>
    <w:rsid w:val="14897C91"/>
    <w:rsid w:val="148A2C9A"/>
    <w:rsid w:val="14AB450A"/>
    <w:rsid w:val="14BC1DE8"/>
    <w:rsid w:val="14BF2D3F"/>
    <w:rsid w:val="14D7452C"/>
    <w:rsid w:val="14E530ED"/>
    <w:rsid w:val="14ED5843"/>
    <w:rsid w:val="15032920"/>
    <w:rsid w:val="151439D2"/>
    <w:rsid w:val="151A411A"/>
    <w:rsid w:val="151B65FC"/>
    <w:rsid w:val="152A4FA3"/>
    <w:rsid w:val="153328BD"/>
    <w:rsid w:val="153E5E21"/>
    <w:rsid w:val="153F568C"/>
    <w:rsid w:val="15513FC8"/>
    <w:rsid w:val="15542020"/>
    <w:rsid w:val="15712BD2"/>
    <w:rsid w:val="158703BA"/>
    <w:rsid w:val="15894CE1"/>
    <w:rsid w:val="158E5532"/>
    <w:rsid w:val="158F3058"/>
    <w:rsid w:val="159D39C7"/>
    <w:rsid w:val="16296B24"/>
    <w:rsid w:val="162B6122"/>
    <w:rsid w:val="16314110"/>
    <w:rsid w:val="163C4C29"/>
    <w:rsid w:val="16465E0D"/>
    <w:rsid w:val="164E6A70"/>
    <w:rsid w:val="165764A9"/>
    <w:rsid w:val="165A3F0C"/>
    <w:rsid w:val="165D428C"/>
    <w:rsid w:val="16827510"/>
    <w:rsid w:val="16931292"/>
    <w:rsid w:val="169C0F78"/>
    <w:rsid w:val="16BB3429"/>
    <w:rsid w:val="16D725CF"/>
    <w:rsid w:val="16E573D4"/>
    <w:rsid w:val="16EF70D4"/>
    <w:rsid w:val="16F13FCB"/>
    <w:rsid w:val="16F97785"/>
    <w:rsid w:val="1700420E"/>
    <w:rsid w:val="170D5CC4"/>
    <w:rsid w:val="17215F32"/>
    <w:rsid w:val="172D2B29"/>
    <w:rsid w:val="174E6F77"/>
    <w:rsid w:val="175A569D"/>
    <w:rsid w:val="177C42CE"/>
    <w:rsid w:val="17956A47"/>
    <w:rsid w:val="17B62B1E"/>
    <w:rsid w:val="17C52AFB"/>
    <w:rsid w:val="17CC0594"/>
    <w:rsid w:val="17EC02EE"/>
    <w:rsid w:val="17FB2C27"/>
    <w:rsid w:val="18023FB5"/>
    <w:rsid w:val="18185587"/>
    <w:rsid w:val="1862727E"/>
    <w:rsid w:val="18930AC2"/>
    <w:rsid w:val="18B232E6"/>
    <w:rsid w:val="18B31317"/>
    <w:rsid w:val="18D05E62"/>
    <w:rsid w:val="18D33CA4"/>
    <w:rsid w:val="19000E9A"/>
    <w:rsid w:val="19173A91"/>
    <w:rsid w:val="192166BD"/>
    <w:rsid w:val="192E3215"/>
    <w:rsid w:val="193F3921"/>
    <w:rsid w:val="196A3BC0"/>
    <w:rsid w:val="196B6713"/>
    <w:rsid w:val="196C5B8A"/>
    <w:rsid w:val="197A4E2A"/>
    <w:rsid w:val="19831DCC"/>
    <w:rsid w:val="198A065A"/>
    <w:rsid w:val="19A364CF"/>
    <w:rsid w:val="19B4308D"/>
    <w:rsid w:val="19C31523"/>
    <w:rsid w:val="19C33487"/>
    <w:rsid w:val="19DA2BE1"/>
    <w:rsid w:val="19E05346"/>
    <w:rsid w:val="1A02204B"/>
    <w:rsid w:val="1A0C111B"/>
    <w:rsid w:val="1A1136AE"/>
    <w:rsid w:val="1A1520AE"/>
    <w:rsid w:val="1A275223"/>
    <w:rsid w:val="1A336C1E"/>
    <w:rsid w:val="1A367F46"/>
    <w:rsid w:val="1A4E5A90"/>
    <w:rsid w:val="1A570B02"/>
    <w:rsid w:val="1A5C123E"/>
    <w:rsid w:val="1A6D284D"/>
    <w:rsid w:val="1A703458"/>
    <w:rsid w:val="1A8667BD"/>
    <w:rsid w:val="1A956CF1"/>
    <w:rsid w:val="1A9E31DD"/>
    <w:rsid w:val="1A9E44A3"/>
    <w:rsid w:val="1AA141FF"/>
    <w:rsid w:val="1AA17AB6"/>
    <w:rsid w:val="1AA42D85"/>
    <w:rsid w:val="1AAE7B07"/>
    <w:rsid w:val="1AC436A6"/>
    <w:rsid w:val="1AD3193F"/>
    <w:rsid w:val="1AD627EF"/>
    <w:rsid w:val="1AE03D00"/>
    <w:rsid w:val="1AE479A2"/>
    <w:rsid w:val="1AF5570C"/>
    <w:rsid w:val="1AFA6A9C"/>
    <w:rsid w:val="1AFD2812"/>
    <w:rsid w:val="1B131612"/>
    <w:rsid w:val="1B3161CE"/>
    <w:rsid w:val="1B4310CA"/>
    <w:rsid w:val="1B707488"/>
    <w:rsid w:val="1B7A0AA9"/>
    <w:rsid w:val="1B8F4A8D"/>
    <w:rsid w:val="1BA17641"/>
    <w:rsid w:val="1BAA299A"/>
    <w:rsid w:val="1BAD2058"/>
    <w:rsid w:val="1BB65A6F"/>
    <w:rsid w:val="1BE83F4F"/>
    <w:rsid w:val="1C0302FC"/>
    <w:rsid w:val="1C142509"/>
    <w:rsid w:val="1C1F6B10"/>
    <w:rsid w:val="1C2344FA"/>
    <w:rsid w:val="1C286643"/>
    <w:rsid w:val="1C35271B"/>
    <w:rsid w:val="1C7B644A"/>
    <w:rsid w:val="1C7F10E3"/>
    <w:rsid w:val="1C837694"/>
    <w:rsid w:val="1C9F39A1"/>
    <w:rsid w:val="1C9F475A"/>
    <w:rsid w:val="1CAC44F0"/>
    <w:rsid w:val="1CD25DDB"/>
    <w:rsid w:val="1CDD0B4D"/>
    <w:rsid w:val="1CE974F2"/>
    <w:rsid w:val="1D061B33"/>
    <w:rsid w:val="1D0924B1"/>
    <w:rsid w:val="1D2373D2"/>
    <w:rsid w:val="1D3A5FA0"/>
    <w:rsid w:val="1D444728"/>
    <w:rsid w:val="1D4A5B59"/>
    <w:rsid w:val="1D50131F"/>
    <w:rsid w:val="1D7023BC"/>
    <w:rsid w:val="1D845CE8"/>
    <w:rsid w:val="1D89551A"/>
    <w:rsid w:val="1D8B67FB"/>
    <w:rsid w:val="1DA23326"/>
    <w:rsid w:val="1DAB37E2"/>
    <w:rsid w:val="1DBB1717"/>
    <w:rsid w:val="1DCB2F5B"/>
    <w:rsid w:val="1DEC22A1"/>
    <w:rsid w:val="1E0565AE"/>
    <w:rsid w:val="1E1124CF"/>
    <w:rsid w:val="1E1C5753"/>
    <w:rsid w:val="1E1E31CB"/>
    <w:rsid w:val="1E221057"/>
    <w:rsid w:val="1E23318F"/>
    <w:rsid w:val="1E3F1E9B"/>
    <w:rsid w:val="1E450758"/>
    <w:rsid w:val="1E5D5BA1"/>
    <w:rsid w:val="1E606CD7"/>
    <w:rsid w:val="1E635A1F"/>
    <w:rsid w:val="1E783EF3"/>
    <w:rsid w:val="1E82375A"/>
    <w:rsid w:val="1E8528CF"/>
    <w:rsid w:val="1E903CEC"/>
    <w:rsid w:val="1E91399D"/>
    <w:rsid w:val="1ECE699F"/>
    <w:rsid w:val="1ECE79DD"/>
    <w:rsid w:val="1EE77A61"/>
    <w:rsid w:val="1EFD2393"/>
    <w:rsid w:val="1F110314"/>
    <w:rsid w:val="1F2C36C6"/>
    <w:rsid w:val="1F3360E0"/>
    <w:rsid w:val="1F38206B"/>
    <w:rsid w:val="1F5C21FD"/>
    <w:rsid w:val="1F6F3700"/>
    <w:rsid w:val="1F78274B"/>
    <w:rsid w:val="1F784B5D"/>
    <w:rsid w:val="1F937D4E"/>
    <w:rsid w:val="1FC72E8E"/>
    <w:rsid w:val="1FD03E69"/>
    <w:rsid w:val="1FD06EA3"/>
    <w:rsid w:val="1FD91B0A"/>
    <w:rsid w:val="1FEE56C8"/>
    <w:rsid w:val="1FF74D8F"/>
    <w:rsid w:val="2011123A"/>
    <w:rsid w:val="20142AD8"/>
    <w:rsid w:val="2043516B"/>
    <w:rsid w:val="204F1D62"/>
    <w:rsid w:val="204F50E3"/>
    <w:rsid w:val="20740615"/>
    <w:rsid w:val="20A20901"/>
    <w:rsid w:val="20B028B9"/>
    <w:rsid w:val="20B82C45"/>
    <w:rsid w:val="20B83463"/>
    <w:rsid w:val="20CC30EE"/>
    <w:rsid w:val="20D47DCE"/>
    <w:rsid w:val="20D51E07"/>
    <w:rsid w:val="20D9164A"/>
    <w:rsid w:val="20DA5073"/>
    <w:rsid w:val="20E22BD6"/>
    <w:rsid w:val="20EF3F0B"/>
    <w:rsid w:val="20FA0A99"/>
    <w:rsid w:val="2107361C"/>
    <w:rsid w:val="210E6EDF"/>
    <w:rsid w:val="212925B3"/>
    <w:rsid w:val="212A1E87"/>
    <w:rsid w:val="212E1977"/>
    <w:rsid w:val="213673FE"/>
    <w:rsid w:val="215B0293"/>
    <w:rsid w:val="21676E41"/>
    <w:rsid w:val="217537B9"/>
    <w:rsid w:val="219E4D4F"/>
    <w:rsid w:val="21A13B19"/>
    <w:rsid w:val="21A35A6C"/>
    <w:rsid w:val="21AF0D0A"/>
    <w:rsid w:val="21CC6CC6"/>
    <w:rsid w:val="21D0786F"/>
    <w:rsid w:val="21EC1864"/>
    <w:rsid w:val="21FF50C2"/>
    <w:rsid w:val="220041D9"/>
    <w:rsid w:val="220B3CA8"/>
    <w:rsid w:val="22123047"/>
    <w:rsid w:val="22361059"/>
    <w:rsid w:val="2238523E"/>
    <w:rsid w:val="22435553"/>
    <w:rsid w:val="227D2BB6"/>
    <w:rsid w:val="22A53EBB"/>
    <w:rsid w:val="22F076D5"/>
    <w:rsid w:val="230633CA"/>
    <w:rsid w:val="230F0CBA"/>
    <w:rsid w:val="231D7E1D"/>
    <w:rsid w:val="23494ECF"/>
    <w:rsid w:val="234E4979"/>
    <w:rsid w:val="23542AC1"/>
    <w:rsid w:val="235B6173"/>
    <w:rsid w:val="236203FB"/>
    <w:rsid w:val="23645B24"/>
    <w:rsid w:val="237613B4"/>
    <w:rsid w:val="238910E7"/>
    <w:rsid w:val="239A1546"/>
    <w:rsid w:val="23D039F6"/>
    <w:rsid w:val="23D20CE0"/>
    <w:rsid w:val="23DB4530"/>
    <w:rsid w:val="23EB7FF4"/>
    <w:rsid w:val="23F43032"/>
    <w:rsid w:val="23FA133C"/>
    <w:rsid w:val="240B5FA0"/>
    <w:rsid w:val="24100849"/>
    <w:rsid w:val="24116CB2"/>
    <w:rsid w:val="24122984"/>
    <w:rsid w:val="242F6132"/>
    <w:rsid w:val="243B6690"/>
    <w:rsid w:val="2480073C"/>
    <w:rsid w:val="24850BE6"/>
    <w:rsid w:val="24B16B47"/>
    <w:rsid w:val="24D25EE9"/>
    <w:rsid w:val="24D32F62"/>
    <w:rsid w:val="24D61CD0"/>
    <w:rsid w:val="24DC16EA"/>
    <w:rsid w:val="250467D9"/>
    <w:rsid w:val="250A44A9"/>
    <w:rsid w:val="250A5253"/>
    <w:rsid w:val="251D3FC0"/>
    <w:rsid w:val="25254322"/>
    <w:rsid w:val="253B0B07"/>
    <w:rsid w:val="253D2630"/>
    <w:rsid w:val="254774AC"/>
    <w:rsid w:val="2563762C"/>
    <w:rsid w:val="257007B0"/>
    <w:rsid w:val="257D2ECD"/>
    <w:rsid w:val="25821466"/>
    <w:rsid w:val="25AA3423"/>
    <w:rsid w:val="25C52C92"/>
    <w:rsid w:val="25CF677A"/>
    <w:rsid w:val="25EC2454"/>
    <w:rsid w:val="25EE5B79"/>
    <w:rsid w:val="261E6BA2"/>
    <w:rsid w:val="26385E8A"/>
    <w:rsid w:val="26607A60"/>
    <w:rsid w:val="266D4CF0"/>
    <w:rsid w:val="26711CA2"/>
    <w:rsid w:val="26773DC1"/>
    <w:rsid w:val="268931AA"/>
    <w:rsid w:val="269F41B3"/>
    <w:rsid w:val="26C443E1"/>
    <w:rsid w:val="26CD1C32"/>
    <w:rsid w:val="26D0702D"/>
    <w:rsid w:val="26DC6381"/>
    <w:rsid w:val="26DD00C8"/>
    <w:rsid w:val="26DF742E"/>
    <w:rsid w:val="270A253F"/>
    <w:rsid w:val="270C4FC5"/>
    <w:rsid w:val="27127645"/>
    <w:rsid w:val="272301A4"/>
    <w:rsid w:val="27244E5A"/>
    <w:rsid w:val="272839C4"/>
    <w:rsid w:val="273121F9"/>
    <w:rsid w:val="27354EC1"/>
    <w:rsid w:val="273B34AE"/>
    <w:rsid w:val="2755492F"/>
    <w:rsid w:val="276F6846"/>
    <w:rsid w:val="277A2E88"/>
    <w:rsid w:val="278D3D61"/>
    <w:rsid w:val="2791112C"/>
    <w:rsid w:val="27AA7420"/>
    <w:rsid w:val="27BD1CA7"/>
    <w:rsid w:val="27C313CD"/>
    <w:rsid w:val="27DB6949"/>
    <w:rsid w:val="27DD762A"/>
    <w:rsid w:val="27ED7B74"/>
    <w:rsid w:val="27FB46DA"/>
    <w:rsid w:val="283D6944"/>
    <w:rsid w:val="28427C92"/>
    <w:rsid w:val="284F17D4"/>
    <w:rsid w:val="28575047"/>
    <w:rsid w:val="288307FB"/>
    <w:rsid w:val="288376B0"/>
    <w:rsid w:val="28E61013"/>
    <w:rsid w:val="28F12CF2"/>
    <w:rsid w:val="28F827CB"/>
    <w:rsid w:val="28F90ABD"/>
    <w:rsid w:val="28FF5EF4"/>
    <w:rsid w:val="29143B49"/>
    <w:rsid w:val="29262F95"/>
    <w:rsid w:val="292B0388"/>
    <w:rsid w:val="293F5790"/>
    <w:rsid w:val="29512576"/>
    <w:rsid w:val="29514455"/>
    <w:rsid w:val="296070AC"/>
    <w:rsid w:val="29696464"/>
    <w:rsid w:val="297445E7"/>
    <w:rsid w:val="29796C81"/>
    <w:rsid w:val="297F67EF"/>
    <w:rsid w:val="298C36DF"/>
    <w:rsid w:val="299010C2"/>
    <w:rsid w:val="29997556"/>
    <w:rsid w:val="29CC761E"/>
    <w:rsid w:val="29E05449"/>
    <w:rsid w:val="29F13DA9"/>
    <w:rsid w:val="2A056A4F"/>
    <w:rsid w:val="2A502FEB"/>
    <w:rsid w:val="2A512037"/>
    <w:rsid w:val="2A596352"/>
    <w:rsid w:val="2AB71864"/>
    <w:rsid w:val="2AD551AF"/>
    <w:rsid w:val="2AD9612A"/>
    <w:rsid w:val="2AF23A16"/>
    <w:rsid w:val="2AF91248"/>
    <w:rsid w:val="2B09317D"/>
    <w:rsid w:val="2B116592"/>
    <w:rsid w:val="2B2C6BA2"/>
    <w:rsid w:val="2B3D4992"/>
    <w:rsid w:val="2B3D7387"/>
    <w:rsid w:val="2B764647"/>
    <w:rsid w:val="2B842DE8"/>
    <w:rsid w:val="2B8815F9"/>
    <w:rsid w:val="2B8F1669"/>
    <w:rsid w:val="2B960AC3"/>
    <w:rsid w:val="2B9C3BC7"/>
    <w:rsid w:val="2BA75E7D"/>
    <w:rsid w:val="2BAE2033"/>
    <w:rsid w:val="2BBD4024"/>
    <w:rsid w:val="2BCA6741"/>
    <w:rsid w:val="2BDD1F05"/>
    <w:rsid w:val="2BDF043E"/>
    <w:rsid w:val="2C091017"/>
    <w:rsid w:val="2C135E7E"/>
    <w:rsid w:val="2C181352"/>
    <w:rsid w:val="2C210A56"/>
    <w:rsid w:val="2C22657D"/>
    <w:rsid w:val="2C2E0D4E"/>
    <w:rsid w:val="2C31056E"/>
    <w:rsid w:val="2C493B09"/>
    <w:rsid w:val="2C5A7AC4"/>
    <w:rsid w:val="2C66290D"/>
    <w:rsid w:val="2C703257"/>
    <w:rsid w:val="2C895EB5"/>
    <w:rsid w:val="2C981092"/>
    <w:rsid w:val="2C9D3A89"/>
    <w:rsid w:val="2CB2345D"/>
    <w:rsid w:val="2CB92402"/>
    <w:rsid w:val="2CEC5E40"/>
    <w:rsid w:val="2CF20571"/>
    <w:rsid w:val="2D123224"/>
    <w:rsid w:val="2D27759C"/>
    <w:rsid w:val="2D2D1B91"/>
    <w:rsid w:val="2D4C0AA8"/>
    <w:rsid w:val="2D560DCD"/>
    <w:rsid w:val="2DA326E8"/>
    <w:rsid w:val="2DBB27E5"/>
    <w:rsid w:val="2DEA3ADD"/>
    <w:rsid w:val="2DEC6E42"/>
    <w:rsid w:val="2E060D0E"/>
    <w:rsid w:val="2E0C4DEE"/>
    <w:rsid w:val="2E1562CD"/>
    <w:rsid w:val="2E262354"/>
    <w:rsid w:val="2E2843FB"/>
    <w:rsid w:val="2E294772"/>
    <w:rsid w:val="2E2E799A"/>
    <w:rsid w:val="2E336C50"/>
    <w:rsid w:val="2E400F3C"/>
    <w:rsid w:val="2E6279C6"/>
    <w:rsid w:val="2EAA5F11"/>
    <w:rsid w:val="2ECB4CA9"/>
    <w:rsid w:val="2EE45D6B"/>
    <w:rsid w:val="2EFB33FA"/>
    <w:rsid w:val="2EFE507F"/>
    <w:rsid w:val="2F1C5505"/>
    <w:rsid w:val="2F594288"/>
    <w:rsid w:val="2F5D06DA"/>
    <w:rsid w:val="2F6110DD"/>
    <w:rsid w:val="2F6856D6"/>
    <w:rsid w:val="2FAD5F0B"/>
    <w:rsid w:val="2FB120F1"/>
    <w:rsid w:val="2FBE78D3"/>
    <w:rsid w:val="2FC16254"/>
    <w:rsid w:val="2FC736C3"/>
    <w:rsid w:val="2FDB0F1C"/>
    <w:rsid w:val="2FE74BAE"/>
    <w:rsid w:val="2FF540FA"/>
    <w:rsid w:val="2FF54C06"/>
    <w:rsid w:val="2FFE2E5D"/>
    <w:rsid w:val="30003A4C"/>
    <w:rsid w:val="30030473"/>
    <w:rsid w:val="303F61C1"/>
    <w:rsid w:val="30466CDD"/>
    <w:rsid w:val="307408EE"/>
    <w:rsid w:val="3082680F"/>
    <w:rsid w:val="308A5AC5"/>
    <w:rsid w:val="309243C0"/>
    <w:rsid w:val="30A457B2"/>
    <w:rsid w:val="30A92DC8"/>
    <w:rsid w:val="30AD45FE"/>
    <w:rsid w:val="30B52A83"/>
    <w:rsid w:val="30C9346B"/>
    <w:rsid w:val="30C95EA8"/>
    <w:rsid w:val="30E7256B"/>
    <w:rsid w:val="30E87D95"/>
    <w:rsid w:val="31012C04"/>
    <w:rsid w:val="310E70CF"/>
    <w:rsid w:val="31327262"/>
    <w:rsid w:val="31375948"/>
    <w:rsid w:val="313F4FFA"/>
    <w:rsid w:val="314760EE"/>
    <w:rsid w:val="315076E8"/>
    <w:rsid w:val="315A745C"/>
    <w:rsid w:val="31634B42"/>
    <w:rsid w:val="319A665C"/>
    <w:rsid w:val="31A72A29"/>
    <w:rsid w:val="31AD2471"/>
    <w:rsid w:val="31AD7BE9"/>
    <w:rsid w:val="31D50D66"/>
    <w:rsid w:val="31DA4405"/>
    <w:rsid w:val="31DB16A7"/>
    <w:rsid w:val="32087FC3"/>
    <w:rsid w:val="32186458"/>
    <w:rsid w:val="321E77E6"/>
    <w:rsid w:val="321F3CD8"/>
    <w:rsid w:val="322D12EF"/>
    <w:rsid w:val="3260443B"/>
    <w:rsid w:val="32672F3B"/>
    <w:rsid w:val="32676A97"/>
    <w:rsid w:val="327A1535"/>
    <w:rsid w:val="327F76D8"/>
    <w:rsid w:val="32851613"/>
    <w:rsid w:val="3288246C"/>
    <w:rsid w:val="329532A6"/>
    <w:rsid w:val="32A63A63"/>
    <w:rsid w:val="32A95302"/>
    <w:rsid w:val="32AF0265"/>
    <w:rsid w:val="32D47F84"/>
    <w:rsid w:val="32D87995"/>
    <w:rsid w:val="32D92CDB"/>
    <w:rsid w:val="32DB1C5F"/>
    <w:rsid w:val="32EC5C70"/>
    <w:rsid w:val="32EE1841"/>
    <w:rsid w:val="32FF4F22"/>
    <w:rsid w:val="33014A95"/>
    <w:rsid w:val="33022C64"/>
    <w:rsid w:val="33095DA0"/>
    <w:rsid w:val="332B3F69"/>
    <w:rsid w:val="332C69B5"/>
    <w:rsid w:val="33460345"/>
    <w:rsid w:val="33514C1C"/>
    <w:rsid w:val="335C57D6"/>
    <w:rsid w:val="33812D41"/>
    <w:rsid w:val="33941B0E"/>
    <w:rsid w:val="33B51A84"/>
    <w:rsid w:val="33C61EE3"/>
    <w:rsid w:val="33E671C5"/>
    <w:rsid w:val="33E915F3"/>
    <w:rsid w:val="33F14E3F"/>
    <w:rsid w:val="33F43719"/>
    <w:rsid w:val="33FE6037"/>
    <w:rsid w:val="34002C60"/>
    <w:rsid w:val="343017E0"/>
    <w:rsid w:val="344057F2"/>
    <w:rsid w:val="34470F4D"/>
    <w:rsid w:val="344D7F0F"/>
    <w:rsid w:val="34562B57"/>
    <w:rsid w:val="3458039D"/>
    <w:rsid w:val="34593FB8"/>
    <w:rsid w:val="34757B91"/>
    <w:rsid w:val="34790259"/>
    <w:rsid w:val="347D07F4"/>
    <w:rsid w:val="347E1FD2"/>
    <w:rsid w:val="34833825"/>
    <w:rsid w:val="348558FB"/>
    <w:rsid w:val="34AE2A73"/>
    <w:rsid w:val="34BD32E6"/>
    <w:rsid w:val="34C40D15"/>
    <w:rsid w:val="34CD748C"/>
    <w:rsid w:val="34DB5183"/>
    <w:rsid w:val="34E24AFB"/>
    <w:rsid w:val="350902DA"/>
    <w:rsid w:val="35132F06"/>
    <w:rsid w:val="3518051D"/>
    <w:rsid w:val="352132DA"/>
    <w:rsid w:val="35707279"/>
    <w:rsid w:val="3578720D"/>
    <w:rsid w:val="357D4824"/>
    <w:rsid w:val="358160C2"/>
    <w:rsid w:val="359E1E1C"/>
    <w:rsid w:val="35A27F45"/>
    <w:rsid w:val="35AD1CD3"/>
    <w:rsid w:val="35AF0108"/>
    <w:rsid w:val="35D346B8"/>
    <w:rsid w:val="35E94B4C"/>
    <w:rsid w:val="35F13CF7"/>
    <w:rsid w:val="36120683"/>
    <w:rsid w:val="361909F0"/>
    <w:rsid w:val="36294A38"/>
    <w:rsid w:val="362A49AB"/>
    <w:rsid w:val="36326BC5"/>
    <w:rsid w:val="363B0967"/>
    <w:rsid w:val="36402219"/>
    <w:rsid w:val="36407D2B"/>
    <w:rsid w:val="3649562D"/>
    <w:rsid w:val="364D0AB6"/>
    <w:rsid w:val="36631BE4"/>
    <w:rsid w:val="36747A1D"/>
    <w:rsid w:val="36792EB9"/>
    <w:rsid w:val="367D0F7F"/>
    <w:rsid w:val="368A5F83"/>
    <w:rsid w:val="368D6C58"/>
    <w:rsid w:val="36BB3856"/>
    <w:rsid w:val="36CB4A75"/>
    <w:rsid w:val="36CC15BF"/>
    <w:rsid w:val="36E515F1"/>
    <w:rsid w:val="36E903C3"/>
    <w:rsid w:val="37214898"/>
    <w:rsid w:val="37255FFD"/>
    <w:rsid w:val="3747333B"/>
    <w:rsid w:val="374A4436"/>
    <w:rsid w:val="374A6F7B"/>
    <w:rsid w:val="374C6AA7"/>
    <w:rsid w:val="379540A7"/>
    <w:rsid w:val="37A662B4"/>
    <w:rsid w:val="37AC319E"/>
    <w:rsid w:val="37C96CE5"/>
    <w:rsid w:val="37D2672A"/>
    <w:rsid w:val="37D3697D"/>
    <w:rsid w:val="37E82428"/>
    <w:rsid w:val="37FA50C2"/>
    <w:rsid w:val="380803DD"/>
    <w:rsid w:val="380D40C9"/>
    <w:rsid w:val="380E46BF"/>
    <w:rsid w:val="381274A5"/>
    <w:rsid w:val="38170F5F"/>
    <w:rsid w:val="38313807"/>
    <w:rsid w:val="383832E4"/>
    <w:rsid w:val="38412DA1"/>
    <w:rsid w:val="384A512D"/>
    <w:rsid w:val="3853724F"/>
    <w:rsid w:val="386341A5"/>
    <w:rsid w:val="387A2D4D"/>
    <w:rsid w:val="389A08FE"/>
    <w:rsid w:val="38A241A6"/>
    <w:rsid w:val="38A528A2"/>
    <w:rsid w:val="38B14F10"/>
    <w:rsid w:val="38E52E0C"/>
    <w:rsid w:val="38FA30DF"/>
    <w:rsid w:val="390908A8"/>
    <w:rsid w:val="391060DB"/>
    <w:rsid w:val="393B2A2C"/>
    <w:rsid w:val="39462F2A"/>
    <w:rsid w:val="394F0285"/>
    <w:rsid w:val="39564958"/>
    <w:rsid w:val="395D6E46"/>
    <w:rsid w:val="396C150B"/>
    <w:rsid w:val="39730417"/>
    <w:rsid w:val="399D7242"/>
    <w:rsid w:val="39A15CD6"/>
    <w:rsid w:val="39B506F2"/>
    <w:rsid w:val="39C66799"/>
    <w:rsid w:val="3A234D7B"/>
    <w:rsid w:val="3A3A1AE8"/>
    <w:rsid w:val="3A4A73CA"/>
    <w:rsid w:val="3A667F7C"/>
    <w:rsid w:val="3A726921"/>
    <w:rsid w:val="3A790A95"/>
    <w:rsid w:val="3A7F7B03"/>
    <w:rsid w:val="3A8E29D3"/>
    <w:rsid w:val="3A9E3272"/>
    <w:rsid w:val="3AA50161"/>
    <w:rsid w:val="3AC0143A"/>
    <w:rsid w:val="3ACB56AB"/>
    <w:rsid w:val="3AD249E7"/>
    <w:rsid w:val="3AD71D8A"/>
    <w:rsid w:val="3AE11DE1"/>
    <w:rsid w:val="3AE16E49"/>
    <w:rsid w:val="3AFA0DF0"/>
    <w:rsid w:val="3B0F5F1E"/>
    <w:rsid w:val="3B217306"/>
    <w:rsid w:val="3B293484"/>
    <w:rsid w:val="3B4A3779"/>
    <w:rsid w:val="3B537F3B"/>
    <w:rsid w:val="3B5953EB"/>
    <w:rsid w:val="3B7874E6"/>
    <w:rsid w:val="3B997AE8"/>
    <w:rsid w:val="3B9D79CE"/>
    <w:rsid w:val="3BAB20EB"/>
    <w:rsid w:val="3BAC1821"/>
    <w:rsid w:val="3BAC5E63"/>
    <w:rsid w:val="3BAC628D"/>
    <w:rsid w:val="3BC60A9D"/>
    <w:rsid w:val="3BD81646"/>
    <w:rsid w:val="3BE81FCD"/>
    <w:rsid w:val="3BFC64A2"/>
    <w:rsid w:val="3C0B0DDB"/>
    <w:rsid w:val="3C4877ED"/>
    <w:rsid w:val="3C547B47"/>
    <w:rsid w:val="3C5A58BF"/>
    <w:rsid w:val="3C5B37E7"/>
    <w:rsid w:val="3C6127A9"/>
    <w:rsid w:val="3C636171"/>
    <w:rsid w:val="3C664263"/>
    <w:rsid w:val="3C684467"/>
    <w:rsid w:val="3C706B34"/>
    <w:rsid w:val="3C911248"/>
    <w:rsid w:val="3CD147A4"/>
    <w:rsid w:val="3CD66855"/>
    <w:rsid w:val="3CDA6FAE"/>
    <w:rsid w:val="3CDF60CE"/>
    <w:rsid w:val="3CF93E6F"/>
    <w:rsid w:val="3D0329CE"/>
    <w:rsid w:val="3D3A30E3"/>
    <w:rsid w:val="3D424389"/>
    <w:rsid w:val="3D5E3B4D"/>
    <w:rsid w:val="3D63018E"/>
    <w:rsid w:val="3D6407A3"/>
    <w:rsid w:val="3D6A69EA"/>
    <w:rsid w:val="3DAE5EC2"/>
    <w:rsid w:val="3DB95AEB"/>
    <w:rsid w:val="3DBC024A"/>
    <w:rsid w:val="3DCF659A"/>
    <w:rsid w:val="3DD96D0B"/>
    <w:rsid w:val="3DEC0798"/>
    <w:rsid w:val="3DEC564C"/>
    <w:rsid w:val="3DFD4AF1"/>
    <w:rsid w:val="3E317495"/>
    <w:rsid w:val="3E636451"/>
    <w:rsid w:val="3E6F5651"/>
    <w:rsid w:val="3E8D3D29"/>
    <w:rsid w:val="3E95498C"/>
    <w:rsid w:val="3EAE54E2"/>
    <w:rsid w:val="3EBA2645"/>
    <w:rsid w:val="3ED63527"/>
    <w:rsid w:val="3ED67B55"/>
    <w:rsid w:val="3EE70C7C"/>
    <w:rsid w:val="3EEF6C51"/>
    <w:rsid w:val="3F057D64"/>
    <w:rsid w:val="3F075CC4"/>
    <w:rsid w:val="3F21712E"/>
    <w:rsid w:val="3F275F2C"/>
    <w:rsid w:val="3F285DF0"/>
    <w:rsid w:val="3F2C29E1"/>
    <w:rsid w:val="3F384C10"/>
    <w:rsid w:val="3F6B75FC"/>
    <w:rsid w:val="3F917386"/>
    <w:rsid w:val="3FA4757D"/>
    <w:rsid w:val="3FB43DF9"/>
    <w:rsid w:val="3FD3204B"/>
    <w:rsid w:val="3FF51B86"/>
    <w:rsid w:val="3FFD6C8D"/>
    <w:rsid w:val="40193A36"/>
    <w:rsid w:val="40204729"/>
    <w:rsid w:val="40402FA6"/>
    <w:rsid w:val="40584539"/>
    <w:rsid w:val="405D1A2A"/>
    <w:rsid w:val="40612D9E"/>
    <w:rsid w:val="40762F87"/>
    <w:rsid w:val="40782251"/>
    <w:rsid w:val="40BA4B7E"/>
    <w:rsid w:val="40C55EA8"/>
    <w:rsid w:val="40C61775"/>
    <w:rsid w:val="40CF687B"/>
    <w:rsid w:val="40ED136E"/>
    <w:rsid w:val="40F24F08"/>
    <w:rsid w:val="411E6EBB"/>
    <w:rsid w:val="41250249"/>
    <w:rsid w:val="412D5718"/>
    <w:rsid w:val="414B08D8"/>
    <w:rsid w:val="414F3F68"/>
    <w:rsid w:val="41872CB2"/>
    <w:rsid w:val="41874A60"/>
    <w:rsid w:val="41B8618F"/>
    <w:rsid w:val="41BA6D64"/>
    <w:rsid w:val="41DA7286"/>
    <w:rsid w:val="42063A3A"/>
    <w:rsid w:val="4214405D"/>
    <w:rsid w:val="42171D70"/>
    <w:rsid w:val="42613503"/>
    <w:rsid w:val="427721CF"/>
    <w:rsid w:val="428627B5"/>
    <w:rsid w:val="429A0F55"/>
    <w:rsid w:val="42A31D6D"/>
    <w:rsid w:val="42B20202"/>
    <w:rsid w:val="42BB7663"/>
    <w:rsid w:val="42C700D1"/>
    <w:rsid w:val="42F779C3"/>
    <w:rsid w:val="430D368B"/>
    <w:rsid w:val="431E02ED"/>
    <w:rsid w:val="433E55F2"/>
    <w:rsid w:val="43540EB7"/>
    <w:rsid w:val="4355293C"/>
    <w:rsid w:val="43827BD5"/>
    <w:rsid w:val="438356FB"/>
    <w:rsid w:val="438374A9"/>
    <w:rsid w:val="43994DD7"/>
    <w:rsid w:val="43AC3ED1"/>
    <w:rsid w:val="43BE41CB"/>
    <w:rsid w:val="43F202D8"/>
    <w:rsid w:val="43F45BD0"/>
    <w:rsid w:val="43FB478E"/>
    <w:rsid w:val="43FC6D22"/>
    <w:rsid w:val="440873F8"/>
    <w:rsid w:val="4411001F"/>
    <w:rsid w:val="44301B45"/>
    <w:rsid w:val="443C78D0"/>
    <w:rsid w:val="443F3F3E"/>
    <w:rsid w:val="44555450"/>
    <w:rsid w:val="445D7297"/>
    <w:rsid w:val="446A1915"/>
    <w:rsid w:val="446B30A5"/>
    <w:rsid w:val="449C1238"/>
    <w:rsid w:val="449F0024"/>
    <w:rsid w:val="44A1052F"/>
    <w:rsid w:val="44B10EA1"/>
    <w:rsid w:val="44B53FC2"/>
    <w:rsid w:val="44B546FA"/>
    <w:rsid w:val="44BF2CE3"/>
    <w:rsid w:val="44D83825"/>
    <w:rsid w:val="44E14D9A"/>
    <w:rsid w:val="44E16B7D"/>
    <w:rsid w:val="44EC452F"/>
    <w:rsid w:val="44FC597B"/>
    <w:rsid w:val="45061A4C"/>
    <w:rsid w:val="451707F1"/>
    <w:rsid w:val="451A1577"/>
    <w:rsid w:val="452901CE"/>
    <w:rsid w:val="453E08E3"/>
    <w:rsid w:val="454A5411"/>
    <w:rsid w:val="456F753C"/>
    <w:rsid w:val="45AA3413"/>
    <w:rsid w:val="45C30031"/>
    <w:rsid w:val="45D43FEC"/>
    <w:rsid w:val="45D60368"/>
    <w:rsid w:val="46001285"/>
    <w:rsid w:val="46050649"/>
    <w:rsid w:val="462211FB"/>
    <w:rsid w:val="462417D4"/>
    <w:rsid w:val="46325030"/>
    <w:rsid w:val="463A4797"/>
    <w:rsid w:val="463C5F52"/>
    <w:rsid w:val="46431172"/>
    <w:rsid w:val="464521E7"/>
    <w:rsid w:val="46455732"/>
    <w:rsid w:val="466B19C4"/>
    <w:rsid w:val="467D4684"/>
    <w:rsid w:val="46AB281B"/>
    <w:rsid w:val="46B67B95"/>
    <w:rsid w:val="46D00C57"/>
    <w:rsid w:val="46D6477E"/>
    <w:rsid w:val="46EF27ED"/>
    <w:rsid w:val="471274C2"/>
    <w:rsid w:val="472657A6"/>
    <w:rsid w:val="473F3908"/>
    <w:rsid w:val="47406A95"/>
    <w:rsid w:val="474C71FC"/>
    <w:rsid w:val="474D04FA"/>
    <w:rsid w:val="474D6260"/>
    <w:rsid w:val="4754581B"/>
    <w:rsid w:val="47625A6E"/>
    <w:rsid w:val="4779309D"/>
    <w:rsid w:val="477F442B"/>
    <w:rsid w:val="478A7058"/>
    <w:rsid w:val="47925F0D"/>
    <w:rsid w:val="47963FF7"/>
    <w:rsid w:val="479A7985"/>
    <w:rsid w:val="47A3636C"/>
    <w:rsid w:val="47A85096"/>
    <w:rsid w:val="47AD0D2F"/>
    <w:rsid w:val="47AF44AD"/>
    <w:rsid w:val="47AF4D11"/>
    <w:rsid w:val="47CD0DEC"/>
    <w:rsid w:val="47CD5197"/>
    <w:rsid w:val="47D112E0"/>
    <w:rsid w:val="47F00E85"/>
    <w:rsid w:val="47FE172A"/>
    <w:rsid w:val="480D3A23"/>
    <w:rsid w:val="48205C0E"/>
    <w:rsid w:val="4846741F"/>
    <w:rsid w:val="484D0086"/>
    <w:rsid w:val="484E4529"/>
    <w:rsid w:val="48541414"/>
    <w:rsid w:val="485C4F51"/>
    <w:rsid w:val="485C55E7"/>
    <w:rsid w:val="48B06F92"/>
    <w:rsid w:val="48DA7B6B"/>
    <w:rsid w:val="49175151"/>
    <w:rsid w:val="493A64EB"/>
    <w:rsid w:val="4941669C"/>
    <w:rsid w:val="494B6C4D"/>
    <w:rsid w:val="496C2214"/>
    <w:rsid w:val="496D7ED3"/>
    <w:rsid w:val="49861160"/>
    <w:rsid w:val="49933A5A"/>
    <w:rsid w:val="49C03205"/>
    <w:rsid w:val="49C2084A"/>
    <w:rsid w:val="49D16BE6"/>
    <w:rsid w:val="49FD12F9"/>
    <w:rsid w:val="49FE5F91"/>
    <w:rsid w:val="4A026F25"/>
    <w:rsid w:val="4A0E4BFD"/>
    <w:rsid w:val="4A1A5506"/>
    <w:rsid w:val="4A372155"/>
    <w:rsid w:val="4A3749D0"/>
    <w:rsid w:val="4A3D7280"/>
    <w:rsid w:val="4A553B36"/>
    <w:rsid w:val="4A6726BA"/>
    <w:rsid w:val="4A783AE0"/>
    <w:rsid w:val="4AA448D5"/>
    <w:rsid w:val="4AD877C8"/>
    <w:rsid w:val="4AE271AB"/>
    <w:rsid w:val="4AEA67B3"/>
    <w:rsid w:val="4B3D4425"/>
    <w:rsid w:val="4B6021EA"/>
    <w:rsid w:val="4B68369B"/>
    <w:rsid w:val="4B6B0F4E"/>
    <w:rsid w:val="4B6F679E"/>
    <w:rsid w:val="4B83273C"/>
    <w:rsid w:val="4B86753E"/>
    <w:rsid w:val="4BB5666E"/>
    <w:rsid w:val="4BEB6533"/>
    <w:rsid w:val="4C2555A1"/>
    <w:rsid w:val="4C266086"/>
    <w:rsid w:val="4C3618DB"/>
    <w:rsid w:val="4C4F0AB3"/>
    <w:rsid w:val="4C531C47"/>
    <w:rsid w:val="4C5D0796"/>
    <w:rsid w:val="4C72455F"/>
    <w:rsid w:val="4C793B3F"/>
    <w:rsid w:val="4C8E75EA"/>
    <w:rsid w:val="4C9C194B"/>
    <w:rsid w:val="4CC35BEB"/>
    <w:rsid w:val="4CCF60BD"/>
    <w:rsid w:val="4CD02929"/>
    <w:rsid w:val="4CD370C7"/>
    <w:rsid w:val="4CE41265"/>
    <w:rsid w:val="4D103667"/>
    <w:rsid w:val="4D1A59F9"/>
    <w:rsid w:val="4D363E53"/>
    <w:rsid w:val="4D3701CB"/>
    <w:rsid w:val="4D386DDA"/>
    <w:rsid w:val="4D4B7AFC"/>
    <w:rsid w:val="4D9229C5"/>
    <w:rsid w:val="4D9E1AAF"/>
    <w:rsid w:val="4DA501AA"/>
    <w:rsid w:val="4DAA3EA7"/>
    <w:rsid w:val="4DB51455"/>
    <w:rsid w:val="4DC62FE4"/>
    <w:rsid w:val="4DED4BFE"/>
    <w:rsid w:val="4E0E6509"/>
    <w:rsid w:val="4E186966"/>
    <w:rsid w:val="4E5263F6"/>
    <w:rsid w:val="4E526B53"/>
    <w:rsid w:val="4E5F17A4"/>
    <w:rsid w:val="4E6951D8"/>
    <w:rsid w:val="4E78439B"/>
    <w:rsid w:val="4E8A3DE2"/>
    <w:rsid w:val="4E98737F"/>
    <w:rsid w:val="4ED65CB0"/>
    <w:rsid w:val="4EE84443"/>
    <w:rsid w:val="4F0352F3"/>
    <w:rsid w:val="4F135B85"/>
    <w:rsid w:val="4F2D30F6"/>
    <w:rsid w:val="4F3F2683"/>
    <w:rsid w:val="4F58517B"/>
    <w:rsid w:val="4F5E5D57"/>
    <w:rsid w:val="4F5F526E"/>
    <w:rsid w:val="4F664600"/>
    <w:rsid w:val="4F6C109F"/>
    <w:rsid w:val="4F7A20A8"/>
    <w:rsid w:val="4F846A83"/>
    <w:rsid w:val="4F90367A"/>
    <w:rsid w:val="4F905428"/>
    <w:rsid w:val="4F98252E"/>
    <w:rsid w:val="4F993C1F"/>
    <w:rsid w:val="4F9A241D"/>
    <w:rsid w:val="4FA52839"/>
    <w:rsid w:val="4FA831D2"/>
    <w:rsid w:val="4FB6798D"/>
    <w:rsid w:val="4FBC575D"/>
    <w:rsid w:val="4FC1120E"/>
    <w:rsid w:val="4FD77F76"/>
    <w:rsid w:val="4FDC68BF"/>
    <w:rsid w:val="4FE33A0C"/>
    <w:rsid w:val="50165391"/>
    <w:rsid w:val="501A73E7"/>
    <w:rsid w:val="502D711A"/>
    <w:rsid w:val="503469BD"/>
    <w:rsid w:val="503844DC"/>
    <w:rsid w:val="504E0E81"/>
    <w:rsid w:val="5057648D"/>
    <w:rsid w:val="505B18D4"/>
    <w:rsid w:val="50621059"/>
    <w:rsid w:val="508A5DF4"/>
    <w:rsid w:val="50940F47"/>
    <w:rsid w:val="50970A38"/>
    <w:rsid w:val="50A8054F"/>
    <w:rsid w:val="50A820D4"/>
    <w:rsid w:val="50AD422D"/>
    <w:rsid w:val="50AD4A4F"/>
    <w:rsid w:val="50D154FD"/>
    <w:rsid w:val="50D37CC2"/>
    <w:rsid w:val="50D57015"/>
    <w:rsid w:val="50E84DEF"/>
    <w:rsid w:val="50F56EA0"/>
    <w:rsid w:val="50FF2274"/>
    <w:rsid w:val="5107796B"/>
    <w:rsid w:val="5108607B"/>
    <w:rsid w:val="51142088"/>
    <w:rsid w:val="51171918"/>
    <w:rsid w:val="511B41EA"/>
    <w:rsid w:val="512C73D2"/>
    <w:rsid w:val="512C7ED2"/>
    <w:rsid w:val="512E02BD"/>
    <w:rsid w:val="51450494"/>
    <w:rsid w:val="5148134E"/>
    <w:rsid w:val="514B566F"/>
    <w:rsid w:val="51510BE7"/>
    <w:rsid w:val="5164091A"/>
    <w:rsid w:val="51677F27"/>
    <w:rsid w:val="518F170F"/>
    <w:rsid w:val="51A056CA"/>
    <w:rsid w:val="51A451BA"/>
    <w:rsid w:val="51B80BAA"/>
    <w:rsid w:val="51BF28E4"/>
    <w:rsid w:val="51C1288B"/>
    <w:rsid w:val="51DC2283"/>
    <w:rsid w:val="51E657D3"/>
    <w:rsid w:val="51EA1F0C"/>
    <w:rsid w:val="51FB798D"/>
    <w:rsid w:val="51FC4FF6"/>
    <w:rsid w:val="522B58DB"/>
    <w:rsid w:val="52477F24"/>
    <w:rsid w:val="524B7D2C"/>
    <w:rsid w:val="52501DAB"/>
    <w:rsid w:val="526B23B2"/>
    <w:rsid w:val="52730B44"/>
    <w:rsid w:val="52733A71"/>
    <w:rsid w:val="5277467D"/>
    <w:rsid w:val="529C0587"/>
    <w:rsid w:val="52AE4870"/>
    <w:rsid w:val="52BD5936"/>
    <w:rsid w:val="52C378C2"/>
    <w:rsid w:val="52C8137C"/>
    <w:rsid w:val="52C86D86"/>
    <w:rsid w:val="52D27B05"/>
    <w:rsid w:val="52E53CDC"/>
    <w:rsid w:val="52E73435"/>
    <w:rsid w:val="52EF6909"/>
    <w:rsid w:val="531E2D4A"/>
    <w:rsid w:val="533802B0"/>
    <w:rsid w:val="5349426B"/>
    <w:rsid w:val="53570DD0"/>
    <w:rsid w:val="535C7948"/>
    <w:rsid w:val="536C61AC"/>
    <w:rsid w:val="537979E1"/>
    <w:rsid w:val="53861A20"/>
    <w:rsid w:val="53BD18F1"/>
    <w:rsid w:val="53D8114B"/>
    <w:rsid w:val="53E04DBD"/>
    <w:rsid w:val="53E52DB4"/>
    <w:rsid w:val="53EF674A"/>
    <w:rsid w:val="53F669EB"/>
    <w:rsid w:val="54041F40"/>
    <w:rsid w:val="5420228D"/>
    <w:rsid w:val="54322F51"/>
    <w:rsid w:val="543D1818"/>
    <w:rsid w:val="544B3EE9"/>
    <w:rsid w:val="546538BA"/>
    <w:rsid w:val="5468108F"/>
    <w:rsid w:val="54756AF5"/>
    <w:rsid w:val="54806B30"/>
    <w:rsid w:val="5483555B"/>
    <w:rsid w:val="548A4B3B"/>
    <w:rsid w:val="549A6186"/>
    <w:rsid w:val="549F69EF"/>
    <w:rsid w:val="54E0475B"/>
    <w:rsid w:val="54EA6C0E"/>
    <w:rsid w:val="5503044A"/>
    <w:rsid w:val="55201C9C"/>
    <w:rsid w:val="552F56E3"/>
    <w:rsid w:val="5549554B"/>
    <w:rsid w:val="554D1A31"/>
    <w:rsid w:val="55782BA3"/>
    <w:rsid w:val="5592206E"/>
    <w:rsid w:val="55A27C63"/>
    <w:rsid w:val="55C776C9"/>
    <w:rsid w:val="55D7663C"/>
    <w:rsid w:val="55DB2EFA"/>
    <w:rsid w:val="55DD6540"/>
    <w:rsid w:val="55EB238D"/>
    <w:rsid w:val="55F87E98"/>
    <w:rsid w:val="560C1580"/>
    <w:rsid w:val="561000B2"/>
    <w:rsid w:val="562962BC"/>
    <w:rsid w:val="562B4FD7"/>
    <w:rsid w:val="56725887"/>
    <w:rsid w:val="569752EE"/>
    <w:rsid w:val="569F23F4"/>
    <w:rsid w:val="56AA5F28"/>
    <w:rsid w:val="56B506F1"/>
    <w:rsid w:val="56B7303F"/>
    <w:rsid w:val="56B934B6"/>
    <w:rsid w:val="56C360E3"/>
    <w:rsid w:val="56D02B61"/>
    <w:rsid w:val="56D71B8E"/>
    <w:rsid w:val="56DF6C95"/>
    <w:rsid w:val="57305C46"/>
    <w:rsid w:val="57547004"/>
    <w:rsid w:val="575603E8"/>
    <w:rsid w:val="575C2093"/>
    <w:rsid w:val="57631EDC"/>
    <w:rsid w:val="576F0018"/>
    <w:rsid w:val="5774562F"/>
    <w:rsid w:val="579857A6"/>
    <w:rsid w:val="579D31C8"/>
    <w:rsid w:val="57A36349"/>
    <w:rsid w:val="57AC4DC9"/>
    <w:rsid w:val="57B44CCE"/>
    <w:rsid w:val="57C71C02"/>
    <w:rsid w:val="57E74DAE"/>
    <w:rsid w:val="58187D01"/>
    <w:rsid w:val="584315C4"/>
    <w:rsid w:val="586E207E"/>
    <w:rsid w:val="586E3461"/>
    <w:rsid w:val="586E7274"/>
    <w:rsid w:val="589D0BB5"/>
    <w:rsid w:val="58C12EE1"/>
    <w:rsid w:val="58DE5456"/>
    <w:rsid w:val="591744C4"/>
    <w:rsid w:val="594204CF"/>
    <w:rsid w:val="594A2AEB"/>
    <w:rsid w:val="59544BDF"/>
    <w:rsid w:val="597B2CA5"/>
    <w:rsid w:val="59854011"/>
    <w:rsid w:val="599223FD"/>
    <w:rsid w:val="59941601"/>
    <w:rsid w:val="59965D30"/>
    <w:rsid w:val="59A117BD"/>
    <w:rsid w:val="59B03041"/>
    <w:rsid w:val="59BA45FA"/>
    <w:rsid w:val="59C33F06"/>
    <w:rsid w:val="59C962AE"/>
    <w:rsid w:val="59D625D1"/>
    <w:rsid w:val="5A126AC9"/>
    <w:rsid w:val="5A20479B"/>
    <w:rsid w:val="5A420896"/>
    <w:rsid w:val="5A47527D"/>
    <w:rsid w:val="5A594B8D"/>
    <w:rsid w:val="5A7B0A82"/>
    <w:rsid w:val="5A8E36CC"/>
    <w:rsid w:val="5AAC3332"/>
    <w:rsid w:val="5ABF12A7"/>
    <w:rsid w:val="5AC3781F"/>
    <w:rsid w:val="5AD71A00"/>
    <w:rsid w:val="5B0D301D"/>
    <w:rsid w:val="5B242EC8"/>
    <w:rsid w:val="5B280C0A"/>
    <w:rsid w:val="5B3145E5"/>
    <w:rsid w:val="5B3E6680"/>
    <w:rsid w:val="5B413A7A"/>
    <w:rsid w:val="5B4325A2"/>
    <w:rsid w:val="5B4672E2"/>
    <w:rsid w:val="5B4E481E"/>
    <w:rsid w:val="5B601CC1"/>
    <w:rsid w:val="5B813346"/>
    <w:rsid w:val="5B871DD5"/>
    <w:rsid w:val="5BA46CE2"/>
    <w:rsid w:val="5BCE7981"/>
    <w:rsid w:val="5BD41136"/>
    <w:rsid w:val="5BD54692"/>
    <w:rsid w:val="5BD92F2A"/>
    <w:rsid w:val="5BE32D83"/>
    <w:rsid w:val="5BEA4FCD"/>
    <w:rsid w:val="5BEC1C38"/>
    <w:rsid w:val="5BF84A80"/>
    <w:rsid w:val="5BFA4B6A"/>
    <w:rsid w:val="5C003935"/>
    <w:rsid w:val="5C040806"/>
    <w:rsid w:val="5C043425"/>
    <w:rsid w:val="5C124BEB"/>
    <w:rsid w:val="5C1F498A"/>
    <w:rsid w:val="5C25339C"/>
    <w:rsid w:val="5C4B3416"/>
    <w:rsid w:val="5C4D0F4D"/>
    <w:rsid w:val="5C4F21C6"/>
    <w:rsid w:val="5C504241"/>
    <w:rsid w:val="5C6550CC"/>
    <w:rsid w:val="5C723474"/>
    <w:rsid w:val="5C7731D7"/>
    <w:rsid w:val="5C826B51"/>
    <w:rsid w:val="5CA61CCA"/>
    <w:rsid w:val="5CA61FE4"/>
    <w:rsid w:val="5CAC7619"/>
    <w:rsid w:val="5CC67A06"/>
    <w:rsid w:val="5CD718AB"/>
    <w:rsid w:val="5D131446"/>
    <w:rsid w:val="5D1551BE"/>
    <w:rsid w:val="5D213E13"/>
    <w:rsid w:val="5D301FF8"/>
    <w:rsid w:val="5D3D7B55"/>
    <w:rsid w:val="5D4D4B67"/>
    <w:rsid w:val="5D692B4A"/>
    <w:rsid w:val="5D760DFE"/>
    <w:rsid w:val="5D972077"/>
    <w:rsid w:val="5DA87DE0"/>
    <w:rsid w:val="5DAB1143"/>
    <w:rsid w:val="5DB17D02"/>
    <w:rsid w:val="5DC0337C"/>
    <w:rsid w:val="5DCF2503"/>
    <w:rsid w:val="5DD619A0"/>
    <w:rsid w:val="5DD97B2E"/>
    <w:rsid w:val="5DE33377"/>
    <w:rsid w:val="5E183CFF"/>
    <w:rsid w:val="5E1E394A"/>
    <w:rsid w:val="5E287173"/>
    <w:rsid w:val="5E2B7EEF"/>
    <w:rsid w:val="5E2C0A11"/>
    <w:rsid w:val="5E416216"/>
    <w:rsid w:val="5E4C10B3"/>
    <w:rsid w:val="5E52616B"/>
    <w:rsid w:val="5E67417C"/>
    <w:rsid w:val="5E6C3504"/>
    <w:rsid w:val="5E8048B9"/>
    <w:rsid w:val="5E912F6A"/>
    <w:rsid w:val="5E914D18"/>
    <w:rsid w:val="5E9345EC"/>
    <w:rsid w:val="5E961741"/>
    <w:rsid w:val="5EA05BE0"/>
    <w:rsid w:val="5EAE7678"/>
    <w:rsid w:val="5EBA601D"/>
    <w:rsid w:val="5EE673AD"/>
    <w:rsid w:val="5EF05EE3"/>
    <w:rsid w:val="5EF409B5"/>
    <w:rsid w:val="5F381638"/>
    <w:rsid w:val="5F5F0972"/>
    <w:rsid w:val="5F6441ED"/>
    <w:rsid w:val="5F6661A5"/>
    <w:rsid w:val="5F6A6AC8"/>
    <w:rsid w:val="5F6F6A29"/>
    <w:rsid w:val="5F84250C"/>
    <w:rsid w:val="5F866EC2"/>
    <w:rsid w:val="5F9A5E4E"/>
    <w:rsid w:val="5F9E1348"/>
    <w:rsid w:val="5FA12D39"/>
    <w:rsid w:val="5FAA42E4"/>
    <w:rsid w:val="5FC058B5"/>
    <w:rsid w:val="5FC41398"/>
    <w:rsid w:val="5FE311ED"/>
    <w:rsid w:val="5FE42E7C"/>
    <w:rsid w:val="5FF87C5D"/>
    <w:rsid w:val="600315B6"/>
    <w:rsid w:val="600E3B45"/>
    <w:rsid w:val="60273055"/>
    <w:rsid w:val="603242D9"/>
    <w:rsid w:val="60522285"/>
    <w:rsid w:val="605C5A30"/>
    <w:rsid w:val="60757548"/>
    <w:rsid w:val="60B149D0"/>
    <w:rsid w:val="60B70030"/>
    <w:rsid w:val="60C74A21"/>
    <w:rsid w:val="60D443A1"/>
    <w:rsid w:val="60DC2CC3"/>
    <w:rsid w:val="61167757"/>
    <w:rsid w:val="613720DD"/>
    <w:rsid w:val="614E6EF1"/>
    <w:rsid w:val="615755BD"/>
    <w:rsid w:val="615D2A65"/>
    <w:rsid w:val="61613BEB"/>
    <w:rsid w:val="61693D2A"/>
    <w:rsid w:val="61796574"/>
    <w:rsid w:val="617E7C88"/>
    <w:rsid w:val="61880654"/>
    <w:rsid w:val="6189617B"/>
    <w:rsid w:val="619E4563"/>
    <w:rsid w:val="61E06BEB"/>
    <w:rsid w:val="622B10BD"/>
    <w:rsid w:val="624F4CCC"/>
    <w:rsid w:val="625C0D21"/>
    <w:rsid w:val="62671448"/>
    <w:rsid w:val="62726C0F"/>
    <w:rsid w:val="62875A90"/>
    <w:rsid w:val="629762BF"/>
    <w:rsid w:val="62AD0C4A"/>
    <w:rsid w:val="62B56ACB"/>
    <w:rsid w:val="62C30852"/>
    <w:rsid w:val="62F200E4"/>
    <w:rsid w:val="62FA0C93"/>
    <w:rsid w:val="63065CD5"/>
    <w:rsid w:val="631421D2"/>
    <w:rsid w:val="631F6A84"/>
    <w:rsid w:val="633012F7"/>
    <w:rsid w:val="636C0637"/>
    <w:rsid w:val="63AB062A"/>
    <w:rsid w:val="63C65464"/>
    <w:rsid w:val="63DA0F0F"/>
    <w:rsid w:val="63DC4C88"/>
    <w:rsid w:val="640A6B8A"/>
    <w:rsid w:val="641F1628"/>
    <w:rsid w:val="64243F39"/>
    <w:rsid w:val="643423CE"/>
    <w:rsid w:val="64430863"/>
    <w:rsid w:val="64441708"/>
    <w:rsid w:val="644B2E9F"/>
    <w:rsid w:val="64805613"/>
    <w:rsid w:val="648A0240"/>
    <w:rsid w:val="64B11C70"/>
    <w:rsid w:val="64BD5DA3"/>
    <w:rsid w:val="64E42046"/>
    <w:rsid w:val="64EA5182"/>
    <w:rsid w:val="64EC297E"/>
    <w:rsid w:val="64F102BF"/>
    <w:rsid w:val="64FE364A"/>
    <w:rsid w:val="650D2C1F"/>
    <w:rsid w:val="65337EC4"/>
    <w:rsid w:val="654D7C2E"/>
    <w:rsid w:val="65505F7C"/>
    <w:rsid w:val="6593581A"/>
    <w:rsid w:val="659D7CC2"/>
    <w:rsid w:val="65C41297"/>
    <w:rsid w:val="65D969F1"/>
    <w:rsid w:val="65EF0C7D"/>
    <w:rsid w:val="65F468C3"/>
    <w:rsid w:val="66081D64"/>
    <w:rsid w:val="660B53B0"/>
    <w:rsid w:val="661669E2"/>
    <w:rsid w:val="661B76D3"/>
    <w:rsid w:val="662B74D0"/>
    <w:rsid w:val="662D3578"/>
    <w:rsid w:val="6639534B"/>
    <w:rsid w:val="663F14FE"/>
    <w:rsid w:val="66415147"/>
    <w:rsid w:val="664D7777"/>
    <w:rsid w:val="66763171"/>
    <w:rsid w:val="667D51BE"/>
    <w:rsid w:val="667E6793"/>
    <w:rsid w:val="66860EDB"/>
    <w:rsid w:val="669C0748"/>
    <w:rsid w:val="66A51361"/>
    <w:rsid w:val="66A80E51"/>
    <w:rsid w:val="66A8260B"/>
    <w:rsid w:val="66AB3962"/>
    <w:rsid w:val="66C12C09"/>
    <w:rsid w:val="66C15989"/>
    <w:rsid w:val="66C739CD"/>
    <w:rsid w:val="66C814F3"/>
    <w:rsid w:val="66DE6A20"/>
    <w:rsid w:val="66E6060C"/>
    <w:rsid w:val="67055E1B"/>
    <w:rsid w:val="672277D6"/>
    <w:rsid w:val="67290209"/>
    <w:rsid w:val="672F50CE"/>
    <w:rsid w:val="67355406"/>
    <w:rsid w:val="6739040E"/>
    <w:rsid w:val="675D60DF"/>
    <w:rsid w:val="676129D2"/>
    <w:rsid w:val="677B7C35"/>
    <w:rsid w:val="678673E4"/>
    <w:rsid w:val="678A6C8A"/>
    <w:rsid w:val="67955879"/>
    <w:rsid w:val="67B57CC9"/>
    <w:rsid w:val="67C021CA"/>
    <w:rsid w:val="67D971F6"/>
    <w:rsid w:val="67E916C6"/>
    <w:rsid w:val="67E934CF"/>
    <w:rsid w:val="67FE19E3"/>
    <w:rsid w:val="68071BA7"/>
    <w:rsid w:val="68125890"/>
    <w:rsid w:val="682E5386"/>
    <w:rsid w:val="683F7593"/>
    <w:rsid w:val="684352D5"/>
    <w:rsid w:val="684A6664"/>
    <w:rsid w:val="684F3C7A"/>
    <w:rsid w:val="68A67612"/>
    <w:rsid w:val="68AE414D"/>
    <w:rsid w:val="68C6767F"/>
    <w:rsid w:val="68EB171F"/>
    <w:rsid w:val="68FA6539"/>
    <w:rsid w:val="69045669"/>
    <w:rsid w:val="69061428"/>
    <w:rsid w:val="690F3409"/>
    <w:rsid w:val="6927078B"/>
    <w:rsid w:val="69286279"/>
    <w:rsid w:val="692A77D6"/>
    <w:rsid w:val="693F5EA4"/>
    <w:rsid w:val="69460607"/>
    <w:rsid w:val="694858F0"/>
    <w:rsid w:val="69550BFB"/>
    <w:rsid w:val="696A6B29"/>
    <w:rsid w:val="69715E72"/>
    <w:rsid w:val="69750E21"/>
    <w:rsid w:val="6985687C"/>
    <w:rsid w:val="699851AD"/>
    <w:rsid w:val="699C5518"/>
    <w:rsid w:val="69A048BD"/>
    <w:rsid w:val="69A71034"/>
    <w:rsid w:val="69A9560C"/>
    <w:rsid w:val="69C27B02"/>
    <w:rsid w:val="69E623BC"/>
    <w:rsid w:val="69ED6F02"/>
    <w:rsid w:val="69EE7223"/>
    <w:rsid w:val="69F75AD9"/>
    <w:rsid w:val="69FD14B4"/>
    <w:rsid w:val="6A0E1913"/>
    <w:rsid w:val="6A1C0949"/>
    <w:rsid w:val="6A2E3F76"/>
    <w:rsid w:val="6A2E73C3"/>
    <w:rsid w:val="6A426762"/>
    <w:rsid w:val="6A8120E5"/>
    <w:rsid w:val="6A987C6F"/>
    <w:rsid w:val="6AA93003"/>
    <w:rsid w:val="6AC00E5F"/>
    <w:rsid w:val="6AC33F7B"/>
    <w:rsid w:val="6AC87871"/>
    <w:rsid w:val="6AEB19C5"/>
    <w:rsid w:val="6AF40B09"/>
    <w:rsid w:val="6B15569D"/>
    <w:rsid w:val="6B3453A9"/>
    <w:rsid w:val="6B450D39"/>
    <w:rsid w:val="6B4A1FF9"/>
    <w:rsid w:val="6B633598"/>
    <w:rsid w:val="6B7E44A8"/>
    <w:rsid w:val="6B802B7B"/>
    <w:rsid w:val="6B851761"/>
    <w:rsid w:val="6B9D2F4E"/>
    <w:rsid w:val="6BA22313"/>
    <w:rsid w:val="6BB32772"/>
    <w:rsid w:val="6BB641D1"/>
    <w:rsid w:val="6BDD77EF"/>
    <w:rsid w:val="6BE75F78"/>
    <w:rsid w:val="6BFB26B9"/>
    <w:rsid w:val="6C003F58"/>
    <w:rsid w:val="6C057FAC"/>
    <w:rsid w:val="6C1E27FB"/>
    <w:rsid w:val="6C2125B9"/>
    <w:rsid w:val="6C45127D"/>
    <w:rsid w:val="6C477A48"/>
    <w:rsid w:val="6C4D6279"/>
    <w:rsid w:val="6C6B4DFB"/>
    <w:rsid w:val="6C80161C"/>
    <w:rsid w:val="6C8C7A1A"/>
    <w:rsid w:val="6C922387"/>
    <w:rsid w:val="6CAA1C24"/>
    <w:rsid w:val="6CC5763D"/>
    <w:rsid w:val="6CD7449F"/>
    <w:rsid w:val="6CF43A7A"/>
    <w:rsid w:val="6CF803B7"/>
    <w:rsid w:val="6D090D2A"/>
    <w:rsid w:val="6D281E21"/>
    <w:rsid w:val="6D295F60"/>
    <w:rsid w:val="6D347596"/>
    <w:rsid w:val="6D596E90"/>
    <w:rsid w:val="6D68758C"/>
    <w:rsid w:val="6D82064E"/>
    <w:rsid w:val="6DA07862"/>
    <w:rsid w:val="6DAE7C8E"/>
    <w:rsid w:val="6DC02F24"/>
    <w:rsid w:val="6DD864C0"/>
    <w:rsid w:val="6DE33684"/>
    <w:rsid w:val="6DE60B88"/>
    <w:rsid w:val="6DF33D76"/>
    <w:rsid w:val="6DF40A60"/>
    <w:rsid w:val="6DFD3487"/>
    <w:rsid w:val="6E061D25"/>
    <w:rsid w:val="6E0F7A08"/>
    <w:rsid w:val="6E2E4063"/>
    <w:rsid w:val="6E3C285F"/>
    <w:rsid w:val="6E5E6D9D"/>
    <w:rsid w:val="6E772037"/>
    <w:rsid w:val="6E846A90"/>
    <w:rsid w:val="6E9D5013"/>
    <w:rsid w:val="6ECB4CD8"/>
    <w:rsid w:val="6ECE1BA8"/>
    <w:rsid w:val="6ECF5D6D"/>
    <w:rsid w:val="6EE67590"/>
    <w:rsid w:val="6EEA69AD"/>
    <w:rsid w:val="6EF80849"/>
    <w:rsid w:val="6EFD1D73"/>
    <w:rsid w:val="6EFD5AB2"/>
    <w:rsid w:val="6F1B6067"/>
    <w:rsid w:val="6F2620DC"/>
    <w:rsid w:val="6F28453E"/>
    <w:rsid w:val="6F287F6F"/>
    <w:rsid w:val="6F4656AB"/>
    <w:rsid w:val="6F49551F"/>
    <w:rsid w:val="6F54601A"/>
    <w:rsid w:val="6F626E48"/>
    <w:rsid w:val="6F7C2E7B"/>
    <w:rsid w:val="6F812184"/>
    <w:rsid w:val="6F9401C4"/>
    <w:rsid w:val="6F970471"/>
    <w:rsid w:val="6F974654"/>
    <w:rsid w:val="6FC51A41"/>
    <w:rsid w:val="6FC532F8"/>
    <w:rsid w:val="6FE32EFA"/>
    <w:rsid w:val="6FEC1DAE"/>
    <w:rsid w:val="70300C7F"/>
    <w:rsid w:val="70385739"/>
    <w:rsid w:val="704020FA"/>
    <w:rsid w:val="70457711"/>
    <w:rsid w:val="704A5564"/>
    <w:rsid w:val="70751679"/>
    <w:rsid w:val="708522DC"/>
    <w:rsid w:val="70981E9C"/>
    <w:rsid w:val="709F2104"/>
    <w:rsid w:val="70A47E6A"/>
    <w:rsid w:val="70C36F04"/>
    <w:rsid w:val="70D319E7"/>
    <w:rsid w:val="70D75F53"/>
    <w:rsid w:val="70D80585"/>
    <w:rsid w:val="70EC468E"/>
    <w:rsid w:val="70EE7DA8"/>
    <w:rsid w:val="71202DBA"/>
    <w:rsid w:val="71902BFF"/>
    <w:rsid w:val="71A74762"/>
    <w:rsid w:val="71BA28B0"/>
    <w:rsid w:val="71D76943"/>
    <w:rsid w:val="72035AD5"/>
    <w:rsid w:val="72127AC6"/>
    <w:rsid w:val="72135D18"/>
    <w:rsid w:val="72190E55"/>
    <w:rsid w:val="724759C2"/>
    <w:rsid w:val="72516841"/>
    <w:rsid w:val="726A16B0"/>
    <w:rsid w:val="726F7761"/>
    <w:rsid w:val="72780225"/>
    <w:rsid w:val="72816D82"/>
    <w:rsid w:val="729C3F60"/>
    <w:rsid w:val="72B70089"/>
    <w:rsid w:val="72B73C27"/>
    <w:rsid w:val="72BD3ED6"/>
    <w:rsid w:val="72C7009D"/>
    <w:rsid w:val="731F249B"/>
    <w:rsid w:val="73253671"/>
    <w:rsid w:val="73306456"/>
    <w:rsid w:val="73317A27"/>
    <w:rsid w:val="733817AF"/>
    <w:rsid w:val="735B6DB7"/>
    <w:rsid w:val="735C2691"/>
    <w:rsid w:val="737353DE"/>
    <w:rsid w:val="73767F05"/>
    <w:rsid w:val="7379604F"/>
    <w:rsid w:val="73886292"/>
    <w:rsid w:val="73A62438"/>
    <w:rsid w:val="73A66A49"/>
    <w:rsid w:val="73BA3CC2"/>
    <w:rsid w:val="73BE02D8"/>
    <w:rsid w:val="73D50144"/>
    <w:rsid w:val="73F602AE"/>
    <w:rsid w:val="740D1EA9"/>
    <w:rsid w:val="741E5489"/>
    <w:rsid w:val="742F7A23"/>
    <w:rsid w:val="74325266"/>
    <w:rsid w:val="7452064E"/>
    <w:rsid w:val="745443C6"/>
    <w:rsid w:val="74582815"/>
    <w:rsid w:val="745D75EB"/>
    <w:rsid w:val="74685677"/>
    <w:rsid w:val="74895730"/>
    <w:rsid w:val="74943E9C"/>
    <w:rsid w:val="749B1FF5"/>
    <w:rsid w:val="74A0551B"/>
    <w:rsid w:val="74A30713"/>
    <w:rsid w:val="74CA6436"/>
    <w:rsid w:val="74EE481B"/>
    <w:rsid w:val="75241FEA"/>
    <w:rsid w:val="75275B9B"/>
    <w:rsid w:val="753560F9"/>
    <w:rsid w:val="754F1C3A"/>
    <w:rsid w:val="758A424E"/>
    <w:rsid w:val="758E3C4E"/>
    <w:rsid w:val="75947170"/>
    <w:rsid w:val="75B3511C"/>
    <w:rsid w:val="75B72D40"/>
    <w:rsid w:val="75BB6DDA"/>
    <w:rsid w:val="75BC0475"/>
    <w:rsid w:val="75E579CC"/>
    <w:rsid w:val="75E85141"/>
    <w:rsid w:val="760A3051"/>
    <w:rsid w:val="761262E7"/>
    <w:rsid w:val="76155DFB"/>
    <w:rsid w:val="76230272"/>
    <w:rsid w:val="76271066"/>
    <w:rsid w:val="76360227"/>
    <w:rsid w:val="76371C9A"/>
    <w:rsid w:val="76581B86"/>
    <w:rsid w:val="765A1DB4"/>
    <w:rsid w:val="765A68B9"/>
    <w:rsid w:val="7662023E"/>
    <w:rsid w:val="7684793E"/>
    <w:rsid w:val="76A235BC"/>
    <w:rsid w:val="76C02622"/>
    <w:rsid w:val="76F62536"/>
    <w:rsid w:val="76F63F8E"/>
    <w:rsid w:val="77541DD9"/>
    <w:rsid w:val="775B3563"/>
    <w:rsid w:val="77737259"/>
    <w:rsid w:val="77785FC0"/>
    <w:rsid w:val="777C69F4"/>
    <w:rsid w:val="779D6D1F"/>
    <w:rsid w:val="77B37656"/>
    <w:rsid w:val="77C3377A"/>
    <w:rsid w:val="77C35AEB"/>
    <w:rsid w:val="77C655DB"/>
    <w:rsid w:val="77C74EAF"/>
    <w:rsid w:val="77DE46D3"/>
    <w:rsid w:val="77E617D9"/>
    <w:rsid w:val="77F43EF6"/>
    <w:rsid w:val="78024049"/>
    <w:rsid w:val="780802FA"/>
    <w:rsid w:val="78177082"/>
    <w:rsid w:val="78212811"/>
    <w:rsid w:val="78632E2A"/>
    <w:rsid w:val="78727E4E"/>
    <w:rsid w:val="787B63C5"/>
    <w:rsid w:val="78886D34"/>
    <w:rsid w:val="78A23952"/>
    <w:rsid w:val="78AE072B"/>
    <w:rsid w:val="78AE0DB3"/>
    <w:rsid w:val="78C7160B"/>
    <w:rsid w:val="78CE6947"/>
    <w:rsid w:val="791D122B"/>
    <w:rsid w:val="79294073"/>
    <w:rsid w:val="792B7DEB"/>
    <w:rsid w:val="79387F17"/>
    <w:rsid w:val="793B3DA7"/>
    <w:rsid w:val="793F5645"/>
    <w:rsid w:val="79420C91"/>
    <w:rsid w:val="79821A9D"/>
    <w:rsid w:val="79A75DED"/>
    <w:rsid w:val="79BB0B66"/>
    <w:rsid w:val="79D02741"/>
    <w:rsid w:val="79F20909"/>
    <w:rsid w:val="7A096D9E"/>
    <w:rsid w:val="7A0E5017"/>
    <w:rsid w:val="7A116EA2"/>
    <w:rsid w:val="7A1350B3"/>
    <w:rsid w:val="7A2041A1"/>
    <w:rsid w:val="7A335389"/>
    <w:rsid w:val="7A4A42A1"/>
    <w:rsid w:val="7A4D2AE1"/>
    <w:rsid w:val="7A886B78"/>
    <w:rsid w:val="7A8D0632"/>
    <w:rsid w:val="7A940CEF"/>
    <w:rsid w:val="7A9479AC"/>
    <w:rsid w:val="7AB908C6"/>
    <w:rsid w:val="7AC06311"/>
    <w:rsid w:val="7AEF6BF7"/>
    <w:rsid w:val="7AF97A75"/>
    <w:rsid w:val="7AFB284F"/>
    <w:rsid w:val="7B5353D8"/>
    <w:rsid w:val="7B864A64"/>
    <w:rsid w:val="7B973491"/>
    <w:rsid w:val="7BB87930"/>
    <w:rsid w:val="7BD15117"/>
    <w:rsid w:val="7BD27A5D"/>
    <w:rsid w:val="7BDF0A19"/>
    <w:rsid w:val="7BE1477E"/>
    <w:rsid w:val="7BED5740"/>
    <w:rsid w:val="7BF302A3"/>
    <w:rsid w:val="7C010D1F"/>
    <w:rsid w:val="7C085991"/>
    <w:rsid w:val="7C445F6B"/>
    <w:rsid w:val="7C465062"/>
    <w:rsid w:val="7C4A67DB"/>
    <w:rsid w:val="7C550AA2"/>
    <w:rsid w:val="7C75137E"/>
    <w:rsid w:val="7C923CDE"/>
    <w:rsid w:val="7C9C1750"/>
    <w:rsid w:val="7CA0289E"/>
    <w:rsid w:val="7CB0778F"/>
    <w:rsid w:val="7CBC46C1"/>
    <w:rsid w:val="7D1564DB"/>
    <w:rsid w:val="7D1A3036"/>
    <w:rsid w:val="7D212011"/>
    <w:rsid w:val="7D2A660C"/>
    <w:rsid w:val="7D366731"/>
    <w:rsid w:val="7D3D1E9B"/>
    <w:rsid w:val="7D5353F5"/>
    <w:rsid w:val="7D7B1F42"/>
    <w:rsid w:val="7D8B6E4D"/>
    <w:rsid w:val="7D8E1243"/>
    <w:rsid w:val="7D935F5F"/>
    <w:rsid w:val="7DA95783"/>
    <w:rsid w:val="7DAA70EE"/>
    <w:rsid w:val="7DD32800"/>
    <w:rsid w:val="7DD52BE0"/>
    <w:rsid w:val="7DE26C6E"/>
    <w:rsid w:val="7DE467BB"/>
    <w:rsid w:val="7DFA7D8C"/>
    <w:rsid w:val="7E012B5A"/>
    <w:rsid w:val="7E09289C"/>
    <w:rsid w:val="7E133C92"/>
    <w:rsid w:val="7E150010"/>
    <w:rsid w:val="7E1A4D7A"/>
    <w:rsid w:val="7E2D63B4"/>
    <w:rsid w:val="7E4273E2"/>
    <w:rsid w:val="7E525835"/>
    <w:rsid w:val="7E5E47BF"/>
    <w:rsid w:val="7E5F4018"/>
    <w:rsid w:val="7E6943E0"/>
    <w:rsid w:val="7E7E10FB"/>
    <w:rsid w:val="7E8C712F"/>
    <w:rsid w:val="7E993502"/>
    <w:rsid w:val="7EA87DB4"/>
    <w:rsid w:val="7EAF7C44"/>
    <w:rsid w:val="7ECA3E11"/>
    <w:rsid w:val="7ED405DD"/>
    <w:rsid w:val="7ED62316"/>
    <w:rsid w:val="7EE36A72"/>
    <w:rsid w:val="7EFE1AFE"/>
    <w:rsid w:val="7F0A3FFF"/>
    <w:rsid w:val="7F0C5E53"/>
    <w:rsid w:val="7F196938"/>
    <w:rsid w:val="7F46773E"/>
    <w:rsid w:val="7F547970"/>
    <w:rsid w:val="7F7B4EFD"/>
    <w:rsid w:val="7FAE0E2E"/>
    <w:rsid w:val="7FEE1B73"/>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rPr>
      <w:sz w:val="28"/>
      <w:szCs w:val="28"/>
    </w:rPr>
  </w:style>
  <w:style w:type="paragraph" w:styleId="4">
    <w:name w:val="Body Text Indent"/>
    <w:basedOn w:val="1"/>
    <w:qFormat/>
    <w:uiPriority w:val="0"/>
    <w:pPr>
      <w:ind w:firstLine="720" w:firstLineChars="257"/>
    </w:pPr>
    <w:rPr>
      <w:rFonts w:ascii="Calibri" w:hAnsi="Calibri" w:cs="Times New Roman"/>
      <w:kern w:val="0"/>
      <w:sz w:val="20"/>
    </w:rPr>
  </w:style>
  <w:style w:type="paragraph" w:styleId="5">
    <w:name w:val="Body Text Indent 2"/>
    <w:basedOn w:val="1"/>
    <w:qFormat/>
    <w:uiPriority w:val="0"/>
    <w:pPr>
      <w:spacing w:after="120" w:line="480" w:lineRule="auto"/>
      <w:ind w:left="420" w:leftChars="200"/>
    </w:pPr>
  </w:style>
  <w:style w:type="paragraph" w:styleId="6">
    <w:name w:val="footer"/>
    <w:basedOn w:val="1"/>
    <w:unhideWhenUsed/>
    <w:qFormat/>
    <w:uiPriority w:val="99"/>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autoRedefine/>
    <w:qFormat/>
    <w:uiPriority w:val="0"/>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4"/>
    <w:qFormat/>
    <w:uiPriority w:val="0"/>
    <w:pPr>
      <w:ind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paragraph" w:customStyle="1" w:styleId="16">
    <w:name w:val="Table Text"/>
    <w:basedOn w:val="1"/>
    <w:autoRedefine/>
    <w:semiHidden/>
    <w:qFormat/>
    <w:uiPriority w:val="0"/>
    <w:rPr>
      <w:rFonts w:ascii="宋体" w:hAnsi="宋体" w:eastAsia="宋体" w:cs="宋体"/>
      <w:sz w:val="18"/>
      <w:szCs w:val="18"/>
      <w:lang w:val="en-US" w:eastAsia="en-US" w:bidi="ar-SA"/>
    </w:rPr>
  </w:style>
  <w:style w:type="character" w:customStyle="1" w:styleId="17">
    <w:name w:val="font41"/>
    <w:basedOn w:val="14"/>
    <w:autoRedefine/>
    <w:qFormat/>
    <w:uiPriority w:val="0"/>
    <w:rPr>
      <w:rFonts w:hint="eastAsia" w:ascii="宋体" w:hAnsi="宋体" w:eastAsia="宋体" w:cs="宋体"/>
      <w:color w:val="000000"/>
      <w:sz w:val="18"/>
      <w:szCs w:val="18"/>
      <w:u w:val="none"/>
    </w:rPr>
  </w:style>
  <w:style w:type="character" w:customStyle="1" w:styleId="18">
    <w:name w:val="font51"/>
    <w:basedOn w:val="14"/>
    <w:autoRedefine/>
    <w:qFormat/>
    <w:uiPriority w:val="0"/>
    <w:rPr>
      <w:rFonts w:hint="eastAsia" w:ascii="宋体" w:hAnsi="宋体" w:eastAsia="宋体" w:cs="宋体"/>
      <w:color w:val="000000"/>
      <w:sz w:val="18"/>
      <w:szCs w:val="18"/>
      <w:u w:val="none"/>
    </w:rPr>
  </w:style>
  <w:style w:type="character" w:customStyle="1" w:styleId="19">
    <w:name w:val="font11"/>
    <w:basedOn w:val="14"/>
    <w:qFormat/>
    <w:uiPriority w:val="0"/>
    <w:rPr>
      <w:rFonts w:hint="eastAsia" w:ascii="宋体" w:hAnsi="宋体" w:eastAsia="宋体" w:cs="宋体"/>
      <w:color w:val="000000"/>
      <w:sz w:val="22"/>
      <w:szCs w:val="22"/>
      <w:u w:val="none"/>
    </w:rPr>
  </w:style>
  <w:style w:type="character" w:customStyle="1" w:styleId="20">
    <w:name w:val="font21"/>
    <w:basedOn w:val="14"/>
    <w:qFormat/>
    <w:uiPriority w:val="0"/>
    <w:rPr>
      <w:rFonts w:hint="eastAsia" w:ascii="宋体" w:hAnsi="宋体" w:eastAsia="宋体" w:cs="宋体"/>
      <w:color w:val="000000"/>
      <w:sz w:val="21"/>
      <w:szCs w:val="21"/>
      <w:u w:val="none"/>
    </w:rPr>
  </w:style>
  <w:style w:type="character" w:customStyle="1" w:styleId="21">
    <w:name w:val="font0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0.jpeg"/><Relationship Id="rId26" Type="http://schemas.openxmlformats.org/officeDocument/2006/relationships/chart" Target="charts/chart11.xml"/><Relationship Id="rId25" Type="http://schemas.openxmlformats.org/officeDocument/2006/relationships/image" Target="media/image9.jpeg"/><Relationship Id="rId24" Type="http://schemas.openxmlformats.org/officeDocument/2006/relationships/chart" Target="charts/chart10.xml"/><Relationship Id="rId23" Type="http://schemas.openxmlformats.org/officeDocument/2006/relationships/chart" Target="charts/chart9.xml"/><Relationship Id="rId22" Type="http://schemas.openxmlformats.org/officeDocument/2006/relationships/image" Target="media/image8.jpeg"/><Relationship Id="rId21" Type="http://schemas.openxmlformats.org/officeDocument/2006/relationships/chart" Target="charts/chart8.xml"/><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image" Target="media/image6.jpeg"/><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7.10&#37096;&#38376;&#25972;&#20307;&#25903;&#20986;&#24213;&#31295;&#34920;&#26684;.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1&#21306;&#22996;&#32479;&#25112;&#37096;&#20973;&#35777;&#25277;&#26597;&#27719;&#24635;(1).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1&#21306;&#22996;&#32479;&#25112;&#37096;&#20973;&#35777;&#25277;&#26597;&#27719;&#24635;(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7.10&#37096;&#38376;&#25972;&#20307;&#25903;&#20986;&#24213;&#31295;&#34920;&#2668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1.1&#21306;&#22996;&#32479;&#25112;&#37096;&#37096;&#38376;&#25972;&#20307;&#25903;&#20986;&#32489;&#25928;&#32771;&#26680;&#25351;&#26631;(2)(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7.10&#37096;&#38376;&#25972;&#20307;&#25903;&#20986;&#24213;&#31295;&#34920;&#2668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D:\&#26032;&#26700;&#38754;&#25991;&#20214;\&#21306;&#22996;&#32479;&#25112;&#37096;&#22235;&#25968;&#23545;&#27604;&#36235;&#21183;&#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D:\&#26032;&#26700;&#38754;&#25991;&#20214;\&#21306;&#22996;&#32479;&#25112;&#37096;&#22235;&#25968;&#23545;&#27604;&#36235;&#21183;&#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D:\&#26032;&#26700;&#38754;&#25991;&#20214;\1.7.10&#37096;&#38376;&#25972;&#20307;&#25903;&#20986;&#24213;&#31295;&#34920;&#26684;.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26032;&#26700;&#38754;&#25991;&#20214;\1.7.10&#37096;&#38376;&#25972;&#20307;&#25903;&#20986;&#24213;&#31295;&#34920;&#26684;.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2025.2.1-2025.4.30\7.7.7&#32489;&#25928;&#25253;&#21578;&#31609;&#22791;&#38454;&#27573;&#21450;&#19994;&#21153;&#38454;&#27573;\1&#27491;&#24335;&#36164;&#26009;&#21450;&#35201;&#27714;&#23454;&#26045;&#38454;&#27573;\000004.8&#21306;&#32489;&#25928;&#35780;&#20215;&#36827;&#22330;&#19994;&#21153;&#21450;&#23567;&#32467;\1&#32489;&#25928;&#35780;&#20215;&#19994;&#21153;2025.4&#19994;&#21153;&#27719;&#24635;\D&#32452;&#24213;&#31295;\15.&#21306;&#32479;&#25112;&#37096;&#65288;&#27754;&#27915;-&#21016;&#20027;&#20219;&#65289;\1&#21306;&#22996;&#32479;&#25112;&#37096;&#20973;&#35777;&#25277;&#26597;&#27719;&#246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按部门经济内容分类的年初预算数占比</a:t>
            </a:r>
          </a:p>
        </c:rich>
      </c:tx>
      <c:layout/>
      <c:overlay val="0"/>
      <c:spPr>
        <a:noFill/>
        <a:ln>
          <a:noFill/>
        </a:ln>
        <a:effectLst/>
      </c:spPr>
    </c:title>
    <c:autoTitleDeleted val="0"/>
    <c:plotArea>
      <c:layout/>
      <c:pieChart>
        <c:varyColors val="1"/>
        <c:ser>
          <c:idx val="0"/>
          <c:order val="0"/>
          <c:tx>
            <c:strRef>
              <c:f>[7.10部门整体支出底稿表格.xlsx]本年度预算金额!$F$8</c:f>
              <c:strCache>
                <c:ptCount val="1"/>
                <c:pt idx="0">
                  <c:v>年初预算数（金额：元）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[7.10部门整体支出底稿表格.xlsx]本年度预算金额!$E$9:$E$11</c:f>
              <c:strCache>
                <c:ptCount val="3"/>
                <c:pt idx="0">
                  <c:v>人员经费</c:v>
                </c:pt>
                <c:pt idx="1">
                  <c:v>公用经费</c:v>
                </c:pt>
                <c:pt idx="2">
                  <c:v>按项目管理的商品和服务支出</c:v>
                </c:pt>
              </c:strCache>
            </c:strRef>
          </c:cat>
          <c:val>
            <c:numRef>
              <c:f>[7.10部门整体支出底稿表格.xlsx]本年度预算金额!$F$9:$F$11</c:f>
              <c:numCache>
                <c:formatCode>#,##0.00_ </c:formatCode>
                <c:ptCount val="3"/>
                <c:pt idx="0">
                  <c:v>138.31</c:v>
                </c:pt>
                <c:pt idx="1">
                  <c:v>11.52</c:v>
                </c:pt>
                <c:pt idx="2">
                  <c:v>37.58</c:v>
                </c:pt>
              </c:numCache>
            </c:numRef>
          </c:val>
        </c:ser>
        <c:ser>
          <c:idx val="1"/>
          <c:order val="1"/>
          <c:tx>
            <c:strRef>
              <c:f>[7.10部门整体支出底稿表格.xlsx]本年度预算金额!$G$8</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[7.10部门整体支出底稿表格.xlsx]本年度预算金额!$E$9:$E$11</c:f>
              <c:strCache>
                <c:ptCount val="3"/>
                <c:pt idx="0">
                  <c:v>人员经费</c:v>
                </c:pt>
                <c:pt idx="1">
                  <c:v>公用经费</c:v>
                </c:pt>
                <c:pt idx="2">
                  <c:v>按项目管理的商品和服务支出</c:v>
                </c:pt>
              </c:strCache>
            </c:strRef>
          </c:cat>
          <c:val>
            <c:numRef>
              <c:f>[7.10部门整体支出底稿表格.xlsx]本年度预算金额!$G$9:$G$11</c:f>
              <c:numCache>
                <c:formatCode>0.00%</c:formatCode>
                <c:ptCount val="3"/>
                <c:pt idx="0">
                  <c:v>0.738007576970279</c:v>
                </c:pt>
                <c:pt idx="1">
                  <c:v>0.061469505362574</c:v>
                </c:pt>
                <c:pt idx="2">
                  <c:v>0.200522917667147</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a868a14d-984f-4df0-be63-55657109be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办公经费用于日常与项目重分类占比（金额：元）</a:t>
            </a:r>
          </a:p>
        </c:rich>
      </c:tx>
      <c:layout/>
      <c:overlay val="0"/>
      <c:spPr>
        <a:noFill/>
        <a:ln>
          <a:noFill/>
        </a:ln>
        <a:effectLst/>
      </c:spPr>
    </c:title>
    <c:autoTitleDeleted val="0"/>
    <c:plotArea>
      <c:layout/>
      <c:pieChart>
        <c:varyColors val="1"/>
        <c:ser>
          <c:idx val="0"/>
          <c:order val="0"/>
          <c:tx>
            <c:strRef>
              <c:f>'[1区委统战部凭证抽查汇总(1).xlsx]项目支出-办公经费（办公费，印刷费，业务委托费，维修费，邮电）'!$C$44</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763489976021775"/>
                  <c:y val="0.121304011022216"/>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27401662306843"/>
                  <c:y val="-0.186867687265458"/>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'[1区委统战部凭证抽查汇总(1).xlsx]项目支出-办公经费（办公费，印刷费，业务委托费，维修费，邮电）'!$B$45:$B$47</c15:sqref>
                  </c15:fullRef>
                </c:ext>
              </c:extLst>
              <c:f>'[1区委统战部凭证抽查汇总(1).xlsx]项目支出-办公经费（办公费，印刷费，业务委托费，维修费，邮电）'!$B$45:$B$46</c:f>
              <c:strCache>
                <c:ptCount val="2"/>
                <c:pt idx="0">
                  <c:v>用于日常支出</c:v>
                </c:pt>
                <c:pt idx="1">
                  <c:v>用于项目支出</c:v>
                </c:pt>
              </c:strCache>
            </c:strRef>
          </c:cat>
          <c:val>
            <c:numRef>
              <c:extLst>
                <c:ext xmlns:c15="http://schemas.microsoft.com/office/drawing/2012/chart" uri="{02D57815-91ED-43cb-92C2-25804820EDAC}">
                  <c15:fullRef>
                    <c15:sqref>'项目支出-办公经费（办公费，印刷费，业务委托费，维修费，邮电）'!$C$45:$C$47</c15:sqref>
                  </c15:fullRef>
                </c:ext>
              </c:extLst>
              <c:f>'[1区委统战部凭证抽查汇总(1).xlsx]项目支出-办公经费（办公费，印刷费，业务委托费，维修费，邮电）'!$C$45:$C$46</c:f>
              <c:numCache>
                <c:formatCode>#,##0.00_ </c:formatCode>
                <c:ptCount val="2"/>
                <c:pt idx="0">
                  <c:v>15525</c:v>
                </c:pt>
                <c:pt idx="1">
                  <c:v>60479.41</c:v>
                </c:pt>
              </c:numCache>
            </c:numRef>
          </c:val>
        </c:ser>
        <c:dLbls>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'[1区委统战部凭证抽查汇总(1).xlsx]项目支出-办公经费（办公费，印刷费，业务委托费，维修费，邮电）'!$D$44</c15:sqref>
                        </c15:formulaRef>
                      </c:ext>
                    </c:extLst>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'[1区委统战部凭证抽查汇总(1).xlsx]项目支出-办公经费（办公费，印刷费，业务委托费，维修费，邮电）'!$B$45:$B$47</c15:sqref>
                        </c15:fullRef>
                        <c15:formulaRef>
                          <c15:sqref>'[1区委统战部凭证抽查汇总(1).xlsx]项目支出-办公经费（办公费，印刷费，业务委托费，维修费，邮电）'!$B$45:$B$46</c15:sqref>
                        </c15:formulaRef>
                      </c:ext>
                    </c:extLst>
                    <c:strCache>
                      <c:ptCount val="2"/>
                      <c:pt idx="0">
                        <c:v>用于日常支出</c:v>
                      </c:pt>
                      <c:pt idx="1">
                        <c:v>用于项目支出</c:v>
                      </c:pt>
                    </c:strCache>
                  </c:strRef>
                </c:cat>
                <c:val>
                  <c:numRef>
                    <c:extLst>
                      <c:ext uri="{02D57815-91ED-43cb-92C2-25804820EDAC}">
                        <c15:fullRef>
                          <c15:sqref>'项目支出-办公经费（办公费，印刷费，业务委托费，维修费，邮电）'!$D$45:$D$47</c15:sqref>
                        </c15:fullRef>
                        <c15:formulaRef>
                          <c15:sqref>{0.204264463075235,0.795735536924765}</c15:sqref>
                        </c15:formulaRef>
                      </c:ext>
                    </c:extLst>
                    <c:numCache>
                      <c:formatCode>0.00%</c:formatCode>
                      <c:ptCount val="2"/>
                      <c:pt idx="0">
                        <c:v>0.204264463075235</c:v>
                      </c:pt>
                      <c:pt idx="1">
                        <c:v>0.795735536924765</c:v>
                      </c:pt>
                    </c:numCache>
                  </c:numRef>
                </c:val>
              </c15:ser>
            </c15:filteredPieSeries>
          </c:ext>
        </c:extLst>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f51b12-d8ba-45d5-9a2e-c66e5ad1835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项目支出重分类后图（金额：元）</a:t>
            </a:r>
          </a:p>
        </c:rich>
      </c:tx>
      <c:layout/>
      <c:overlay val="0"/>
      <c:spPr>
        <a:noFill/>
        <a:ln>
          <a:noFill/>
        </a:ln>
        <a:effectLst/>
      </c:spPr>
    </c:title>
    <c:autoTitleDeleted val="0"/>
    <c:plotArea>
      <c:layout/>
      <c:barChart>
        <c:barDir val="col"/>
        <c:grouping val="clustered"/>
        <c:varyColors val="0"/>
        <c:ser>
          <c:idx val="0"/>
          <c:order val="0"/>
          <c:tx>
            <c:strRef>
              <c:f>'[1区委统战部凭证抽查汇总(1).xlsx]项目支出凭证汇总'!$L$17</c:f>
              <c:strCache>
                <c:ptCount val="1"/>
                <c:pt idx="0">
                  <c:v>金额</c:v>
                </c:pt>
              </c:strCache>
            </c:strRef>
          </c:tx>
          <c:spPr>
            <a:solidFill>
              <a:schemeClr val="accent1"/>
            </a:solidFill>
            <a:ln>
              <a:noFill/>
            </a:ln>
            <a:effectLst/>
          </c:spPr>
          <c:invertIfNegative val="0"/>
          <c:dLbls>
            <c:delete val="1"/>
          </c:dLbls>
          <c:cat>
            <c:strRef>
              <c:f>'[1区委统战部凭证抽查汇总(1).xlsx]项目支出凭证汇总'!$K$18:$K$28</c:f>
              <c:strCache>
                <c:ptCount val="11"/>
                <c:pt idx="0">
                  <c:v>项目经费</c:v>
                </c:pt>
                <c:pt idx="1">
                  <c:v>人员经费</c:v>
                </c:pt>
                <c:pt idx="2">
                  <c:v>餐费</c:v>
                </c:pt>
                <c:pt idx="3">
                  <c:v>统战人员慰问</c:v>
                </c:pt>
                <c:pt idx="4">
                  <c:v>春节物资</c:v>
                </c:pt>
                <c:pt idx="5">
                  <c:v>印刷费</c:v>
                </c:pt>
                <c:pt idx="6">
                  <c:v>办公费</c:v>
                </c:pt>
                <c:pt idx="7">
                  <c:v>委托业务费</c:v>
                </c:pt>
                <c:pt idx="8">
                  <c:v>公务接待费</c:v>
                </c:pt>
                <c:pt idx="9">
                  <c:v>维修（护）费</c:v>
                </c:pt>
                <c:pt idx="10">
                  <c:v>邮电费</c:v>
                </c:pt>
              </c:strCache>
            </c:strRef>
          </c:cat>
          <c:val>
            <c:numRef>
              <c:f>'[1区委统战部凭证抽查汇总(1).xlsx]项目支出凭证汇总'!$L$18:$L$28</c:f>
              <c:numCache>
                <c:formatCode>#,##0.00_ </c:formatCode>
                <c:ptCount val="11"/>
                <c:pt idx="0">
                  <c:v>124320</c:v>
                </c:pt>
                <c:pt idx="1">
                  <c:v>108546.82</c:v>
                </c:pt>
                <c:pt idx="2">
                  <c:v>55532.27</c:v>
                </c:pt>
                <c:pt idx="3">
                  <c:v>25600</c:v>
                </c:pt>
                <c:pt idx="4">
                  <c:v>1338.28</c:v>
                </c:pt>
                <c:pt idx="5">
                  <c:v>26013.4</c:v>
                </c:pt>
                <c:pt idx="6">
                  <c:v>34466.01</c:v>
                </c:pt>
                <c:pt idx="7">
                  <c:v>13700</c:v>
                </c:pt>
                <c:pt idx="8">
                  <c:v>8987</c:v>
                </c:pt>
                <c:pt idx="9">
                  <c:v>1225</c:v>
                </c:pt>
                <c:pt idx="10">
                  <c:v>600</c:v>
                </c:pt>
              </c:numCache>
            </c:numRef>
          </c:val>
        </c:ser>
        <c:ser>
          <c:idx val="1"/>
          <c:order val="1"/>
          <c:tx>
            <c:strRef>
              <c:f>'[1区委统战部凭证抽查汇总(1).xlsx]项目支出凭证汇总'!$M$17</c:f>
              <c:strCache>
                <c:ptCount val="1"/>
                <c:pt idx="0">
                  <c:v>占比</c:v>
                </c:pt>
              </c:strCache>
            </c:strRef>
          </c:tx>
          <c:spPr>
            <a:solidFill>
              <a:schemeClr val="accent2"/>
            </a:solidFill>
            <a:ln>
              <a:noFill/>
            </a:ln>
            <a:effectLst/>
          </c:spPr>
          <c:invertIfNegative val="0"/>
          <c:dLbls>
            <c:delete val="1"/>
          </c:dLbls>
          <c:cat>
            <c:strRef>
              <c:f>'[1区委统战部凭证抽查汇总(1).xlsx]项目支出凭证汇总'!$K$18:$K$28</c:f>
              <c:strCache>
                <c:ptCount val="11"/>
                <c:pt idx="0">
                  <c:v>项目经费</c:v>
                </c:pt>
                <c:pt idx="1">
                  <c:v>人员经费</c:v>
                </c:pt>
                <c:pt idx="2">
                  <c:v>餐费</c:v>
                </c:pt>
                <c:pt idx="3">
                  <c:v>统战人员慰问</c:v>
                </c:pt>
                <c:pt idx="4">
                  <c:v>春节物资</c:v>
                </c:pt>
                <c:pt idx="5">
                  <c:v>印刷费</c:v>
                </c:pt>
                <c:pt idx="6">
                  <c:v>办公费</c:v>
                </c:pt>
                <c:pt idx="7">
                  <c:v>委托业务费</c:v>
                </c:pt>
                <c:pt idx="8">
                  <c:v>公务接待费</c:v>
                </c:pt>
                <c:pt idx="9">
                  <c:v>维修（护）费</c:v>
                </c:pt>
                <c:pt idx="10">
                  <c:v>邮电费</c:v>
                </c:pt>
              </c:strCache>
            </c:strRef>
          </c:cat>
          <c:val>
            <c:numRef>
              <c:f>'[1区委统战部凭证抽查汇总(1).xlsx]项目支出凭证汇总'!$M$18:$M$28</c:f>
              <c:numCache>
                <c:formatCode>0.00%</c:formatCode>
                <c:ptCount val="11"/>
                <c:pt idx="0">
                  <c:v>0.310544747744591</c:v>
                </c:pt>
                <c:pt idx="1">
                  <c:v>0.271144183038751</c:v>
                </c:pt>
                <c:pt idx="2">
                  <c:v>0.138716656843907</c:v>
                </c:pt>
                <c:pt idx="3">
                  <c:v>0.0639474384030046</c:v>
                </c:pt>
                <c:pt idx="4">
                  <c:v>0.00334295226038957</c:v>
                </c:pt>
                <c:pt idx="5">
                  <c:v>0.0649800896153407</c:v>
                </c:pt>
                <c:pt idx="6">
                  <c:v>0.0860942598231384</c:v>
                </c:pt>
                <c:pt idx="7">
                  <c:v>0.034221871332858</c:v>
                </c:pt>
                <c:pt idx="8">
                  <c:v>0.0224490480049923</c:v>
                </c:pt>
                <c:pt idx="9">
                  <c:v>0.00305998484545628</c:v>
                </c:pt>
                <c:pt idx="10">
                  <c:v>0.00149876808757042</c:v>
                </c:pt>
              </c:numCache>
            </c:numRef>
          </c:val>
        </c:ser>
        <c:dLbls>
          <c:showLegendKey val="0"/>
          <c:showVal val="0"/>
          <c:showCatName val="0"/>
          <c:showSerName val="0"/>
          <c:showPercent val="0"/>
          <c:showBubbleSize val="0"/>
        </c:dLbls>
        <c:gapWidth val="216"/>
        <c:overlap val="-32"/>
        <c:axId val="942219232"/>
        <c:axId val="92364991"/>
      </c:barChart>
      <c:catAx>
        <c:axId val="9422192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364991"/>
        <c:crosses val="autoZero"/>
        <c:auto val="1"/>
        <c:lblAlgn val="ctr"/>
        <c:lblOffset val="100"/>
        <c:noMultiLvlLbl val="0"/>
      </c:catAx>
      <c:valAx>
        <c:axId val="92364991"/>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221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54d73085-0f6f-4ef3-ac45-3ec78f56d7c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按经济分类的年初预算数（金额：万元）</a:t>
            </a:r>
          </a:p>
        </c:rich>
      </c:tx>
      <c:layout/>
      <c:overlay val="0"/>
      <c:spPr>
        <a:noFill/>
        <a:ln>
          <a:noFill/>
        </a:ln>
        <a:effectLst/>
      </c:spPr>
    </c:title>
    <c:autoTitleDeleted val="0"/>
    <c:plotArea>
      <c:layout/>
      <c:barChart>
        <c:barDir val="col"/>
        <c:grouping val="clustered"/>
        <c:varyColors val="0"/>
        <c:ser>
          <c:idx val="0"/>
          <c:order val="0"/>
          <c:tx>
            <c:strRef>
              <c:f>[7.10部门整体支出底稿表格.xlsx]本年度预算金额!$G$25</c:f>
              <c:strCache>
                <c:ptCount val="1"/>
                <c:pt idx="0">
                  <c:v>年初预算数（金额：万元）</c:v>
                </c:pt>
              </c:strCache>
            </c:strRef>
          </c:tx>
          <c:spPr>
            <a:solidFill>
              <a:schemeClr val="accent1"/>
            </a:solidFill>
            <a:ln>
              <a:noFill/>
            </a:ln>
            <a:effectLst/>
          </c:spPr>
          <c:invertIfNegative val="0"/>
          <c:dLbls>
            <c:delete val="1"/>
          </c:dLbls>
          <c:cat>
            <c:strRef>
              <c:f>[7.10部门整体支出底稿表格.xlsx]本年度预算金额!$F$26:$F$33</c:f>
              <c:strCache>
                <c:ptCount val="8"/>
                <c:pt idx="0" c:formatCode="#,##0.00_ ">
                  <c:v>工资奖金津补贴</c:v>
                </c:pt>
                <c:pt idx="1" c:formatCode="#,##0.00_ ">
                  <c:v>社会保障缴费</c:v>
                </c:pt>
                <c:pt idx="2" c:formatCode="#,##0.00_ ">
                  <c:v>住房公积金</c:v>
                </c:pt>
                <c:pt idx="3" c:formatCode="#,##0.00_ ">
                  <c:v>其他工资福利支出</c:v>
                </c:pt>
                <c:pt idx="4" c:formatCode="#,##0.00_ ">
                  <c:v>对个人和家庭的补助（退休费）</c:v>
                </c:pt>
                <c:pt idx="5">
                  <c:v>办公经费</c:v>
                </c:pt>
                <c:pt idx="6">
                  <c:v>其他商品和服务支出</c:v>
                </c:pt>
                <c:pt idx="7">
                  <c:v>按项目管理的商品和服务支出</c:v>
                </c:pt>
              </c:strCache>
            </c:strRef>
          </c:cat>
          <c:val>
            <c:numRef>
              <c:f>[7.10部门整体支出底稿表格.xlsx]本年度预算金额!$G$26:$G$33</c:f>
              <c:numCache>
                <c:formatCode>#,##0.00_ </c:formatCode>
                <c:ptCount val="8"/>
                <c:pt idx="0">
                  <c:v>89.42</c:v>
                </c:pt>
                <c:pt idx="1">
                  <c:v>21.62</c:v>
                </c:pt>
                <c:pt idx="2">
                  <c:v>11.12</c:v>
                </c:pt>
                <c:pt idx="3">
                  <c:v>6.58</c:v>
                </c:pt>
                <c:pt idx="4">
                  <c:v>9.57</c:v>
                </c:pt>
                <c:pt idx="5">
                  <c:v>5</c:v>
                </c:pt>
                <c:pt idx="6">
                  <c:v>6.52</c:v>
                </c:pt>
                <c:pt idx="7">
                  <c:v>37.58</c:v>
                </c:pt>
              </c:numCache>
            </c:numRef>
          </c:val>
        </c:ser>
        <c:ser>
          <c:idx val="1"/>
          <c:order val="1"/>
          <c:tx>
            <c:strRef>
              <c:f>[7.10部门整体支出底稿表格.xlsx]本年度预算金额!$H$25</c:f>
              <c:strCache>
                <c:ptCount val="1"/>
                <c:pt idx="0">
                  <c:v>占比</c:v>
                </c:pt>
              </c:strCache>
            </c:strRef>
          </c:tx>
          <c:spPr>
            <a:solidFill>
              <a:schemeClr val="accent2"/>
            </a:solidFill>
            <a:ln>
              <a:noFill/>
            </a:ln>
            <a:effectLst/>
          </c:spPr>
          <c:invertIfNegative val="0"/>
          <c:dLbls>
            <c:delete val="1"/>
          </c:dLbls>
          <c:cat>
            <c:strRef>
              <c:f>[7.10部门整体支出底稿表格.xlsx]本年度预算金额!$F$26:$F$33</c:f>
              <c:strCache>
                <c:ptCount val="8"/>
                <c:pt idx="0" c:formatCode="#,##0.00_ ">
                  <c:v>工资奖金津补贴</c:v>
                </c:pt>
                <c:pt idx="1" c:formatCode="#,##0.00_ ">
                  <c:v>社会保障缴费</c:v>
                </c:pt>
                <c:pt idx="2" c:formatCode="#,##0.00_ ">
                  <c:v>住房公积金</c:v>
                </c:pt>
                <c:pt idx="3" c:formatCode="#,##0.00_ ">
                  <c:v>其他工资福利支出</c:v>
                </c:pt>
                <c:pt idx="4" c:formatCode="#,##0.00_ ">
                  <c:v>对个人和家庭的补助（退休费）</c:v>
                </c:pt>
                <c:pt idx="5">
                  <c:v>办公经费</c:v>
                </c:pt>
                <c:pt idx="6">
                  <c:v>其他商品和服务支出</c:v>
                </c:pt>
                <c:pt idx="7">
                  <c:v>按项目管理的商品和服务支出</c:v>
                </c:pt>
              </c:strCache>
            </c:strRef>
          </c:cat>
          <c:val>
            <c:numRef>
              <c:f>[7.10部门整体支出底稿表格.xlsx]本年度预算金额!$H$26:$H$33</c:f>
              <c:numCache>
                <c:formatCode>0.00%</c:formatCode>
                <c:ptCount val="8"/>
                <c:pt idx="0">
                  <c:v>0.47713569179873</c:v>
                </c:pt>
                <c:pt idx="1">
                  <c:v>0.115362040446081</c:v>
                </c:pt>
                <c:pt idx="2">
                  <c:v>0.0593351475374846</c:v>
                </c:pt>
                <c:pt idx="3">
                  <c:v>0.0351101862227202</c:v>
                </c:pt>
                <c:pt idx="4">
                  <c:v>0.0510645109652633</c:v>
                </c:pt>
                <c:pt idx="5">
                  <c:v>0.0266794728136172</c:v>
                </c:pt>
                <c:pt idx="6">
                  <c:v>0.0347900325489568</c:v>
                </c:pt>
                <c:pt idx="7">
                  <c:v>0.200522917667147</c:v>
                </c:pt>
              </c:numCache>
            </c:numRef>
          </c:val>
        </c:ser>
        <c:dLbls>
          <c:showLegendKey val="0"/>
          <c:showVal val="0"/>
          <c:showCatName val="0"/>
          <c:showSerName val="0"/>
          <c:showPercent val="0"/>
          <c:showBubbleSize val="0"/>
        </c:dLbls>
        <c:gapWidth val="216"/>
        <c:overlap val="-32"/>
        <c:axId val="376174640"/>
        <c:axId val="195109100"/>
      </c:barChart>
      <c:catAx>
        <c:axId val="376174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5109100"/>
        <c:crosses val="autoZero"/>
        <c:auto val="1"/>
        <c:lblAlgn val="ctr"/>
        <c:lblOffset val="100"/>
        <c:noMultiLvlLbl val="0"/>
      </c:catAx>
      <c:valAx>
        <c:axId val="195109100"/>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6174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b797c406-012c-4909-bf35-96c5f822ffc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60" b="1" i="0" u="none" strike="noStrike" kern="1200" baseline="0">
                <a:solidFill>
                  <a:schemeClr val="dk1">
                    <a:lumMod val="75000"/>
                    <a:lumOff val="25000"/>
                  </a:schemeClr>
                </a:solidFill>
                <a:latin typeface="+mn-lt"/>
                <a:ea typeface="+mn-ea"/>
                <a:cs typeface="+mn-cs"/>
              </a:defRPr>
            </a:pPr>
            <a:r>
              <a:rPr sz="1260"/>
              <a:t>资金指标支付占比（金额：元）</a:t>
            </a:r>
            <a:endParaRPr sz="1260"/>
          </a:p>
        </c:rich>
      </c:tx>
      <c:layout/>
      <c:overlay val="0"/>
      <c:spPr>
        <a:noFill/>
        <a:ln>
          <a:noFill/>
        </a:ln>
        <a:effectLst/>
      </c:spPr>
    </c:title>
    <c:autoTitleDeleted val="0"/>
    <c:plotArea>
      <c:layout/>
      <c:pieChart>
        <c:varyColors val="1"/>
        <c:ser>
          <c:idx val="0"/>
          <c:order val="0"/>
          <c:tx>
            <c:strRef>
              <c:f>'[1.1区委统战部部门整体支出绩效考核指标(2)(4).xlsx]Sheet3'!$E$4</c:f>
              <c:strCache>
                <c:ptCount val="1"/>
                <c:pt idx="0">
                  <c:v>金额（元）</c:v>
                </c:pt>
              </c:strCache>
            </c:strRef>
          </c:tx>
          <c:spPr/>
          <c:explosion val="0"/>
          <c:dPt>
            <c:idx val="0"/>
            <c:bubble3D val="0"/>
            <c:spPr>
              <a:solidFill>
                <a:schemeClr val="accent1"/>
              </a:soli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solidFill>
                <a:schemeClr val="accent2"/>
              </a:solidFill>
              <a:ln>
                <a:gradFill>
                  <a:gsLst>
                    <a:gs pos="0">
                      <a:schemeClr val="accent2">
                        <a:lumMod val="75000"/>
                        <a:hueOff val="-1670000"/>
                      </a:schemeClr>
                    </a:gs>
                    <a:gs pos="100000">
                      <a:schemeClr val="accent2">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5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5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5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extLst>
                <c:ext xmlns:c15="http://schemas.microsoft.com/office/drawing/2012/chart" uri="{02D57815-91ED-43cb-92C2-25804820EDAC}">
                  <c15:fullRef>
                    <c15:sqref>'[1.1区委统战部部门整体支出绩效考核指标(2)(4).xlsx]Sheet3'!$D$5:$D$7</c15:sqref>
                  </c15:fullRef>
                </c:ext>
              </c:extLst>
              <c:f>'[1.1区委统战部部门整体支出绩效考核指标(2)(4).xlsx]Sheet3'!$D$5:$D$6</c:f>
              <c:strCache>
                <c:ptCount val="2"/>
                <c:pt idx="0">
                  <c:v>财政零余额支付</c:v>
                </c:pt>
                <c:pt idx="1">
                  <c:v>单位零余额支付</c:v>
                </c:pt>
              </c:strCache>
            </c:strRef>
          </c:cat>
          <c:val>
            <c:numRef>
              <c:extLst>
                <c:ext xmlns:c15="http://schemas.microsoft.com/office/drawing/2012/chart" uri="{02D57815-91ED-43cb-92C2-25804820EDAC}">
                  <c15:fullRef>
                    <c15:sqref>Sheet3!$E$5:$E$7</c15:sqref>
                  </c15:fullRef>
                </c:ext>
              </c:extLst>
              <c:f>'[1.1区委统战部部门整体支出绩效考核指标(2)(4).xlsx]Sheet3'!$E$5:$E$6</c:f>
              <c:numCache>
                <c:formatCode>#,##0.00</c:formatCode>
                <c:ptCount val="2"/>
                <c:pt idx="0">
                  <c:v>733779</c:v>
                </c:pt>
                <c:pt idx="1">
                  <c:v>1524058.29</c:v>
                </c:pt>
              </c:numCache>
            </c:numRef>
          </c:val>
        </c:ser>
        <c:dLbls>
          <c:showLegendKey val="0"/>
          <c:showVal val="1"/>
          <c:showCatName val="0"/>
          <c:showSerName val="0"/>
          <c:showPercent val="0"/>
          <c:showBubbleSize val="0"/>
          <c:showLeaderLines val="1"/>
        </c:dLbls>
        <c:firstSliceAng val="23"/>
        <c:extLst>
          <c:ext xmlns:c15="http://schemas.microsoft.com/office/drawing/2012/chart" uri="{02D57815-91ED-43cb-92C2-25804820EDAC}">
            <c15:filteredPieSeries>
              <c15:ser>
                <c:idx val="1"/>
                <c:order val="1"/>
                <c:tx>
                  <c:strRef>
                    <c:extLst>
                      <c:ext uri="{02D57815-91ED-43cb-92C2-25804820EDAC}">
                        <c15:formulaRef>
                          <c15:sqref>'[1.1区委统战部部门整体支出绩效考核指标(2)(4).xlsx]Sheet3'!$F$4</c15:sqref>
                        </c15:formulaRef>
                      </c:ext>
                    </c:extLst>
                    <c:strCache>
                      <c:ptCount val="1"/>
                      <c:pt idx="0">
                        <c:v>占比</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5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5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5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extLst>
                      <c:ext uri="{02D57815-91ED-43cb-92C2-25804820EDAC}">
                        <c15:fullRef>
                          <c15:sqref>'[1.1区委统战部部门整体支出绩效考核指标(2)(4).xlsx]Sheet3'!$D$5:$D$7</c15:sqref>
                        </c15:fullRef>
                        <c15:formulaRef>
                          <c15:sqref>'[1.1区委统战部部门整体支出绩效考核指标(2)(4).xlsx]Sheet3'!$D$5:$D$6</c15:sqref>
                        </c15:formulaRef>
                      </c:ext>
                    </c:extLst>
                    <c:strCache>
                      <c:ptCount val="2"/>
                      <c:pt idx="0">
                        <c:v>财政零余额支付</c:v>
                      </c:pt>
                      <c:pt idx="1">
                        <c:v>单位零余额支付</c:v>
                      </c:pt>
                    </c:strCache>
                  </c:strRef>
                </c:cat>
                <c:val>
                  <c:numRef>
                    <c:extLst>
                      <c:ext uri="{02D57815-91ED-43cb-92C2-25804820EDAC}">
                        <c15:fullRef>
                          <c15:sqref>Sheet3!$F$5:$F$7</c15:sqref>
                        </c15:fullRef>
                        <c15:formulaRef>
                          <c15:sqref>{0.325,0.675}</c15:sqref>
                        </c15:formulaRef>
                      </c:ext>
                    </c:extLst>
                    <c:numCache>
                      <c:formatCode>0.00%</c:formatCode>
                      <c:ptCount val="2"/>
                      <c:pt idx="0">
                        <c:v>0.325</c:v>
                      </c:pt>
                      <c:pt idx="1">
                        <c:v>0.675</c:v>
                      </c:pt>
                    </c:numCache>
                  </c:numRef>
                </c:val>
              </c15:ser>
            </c15:filteredPieSeries>
          </c:ext>
        </c:extLst>
      </c:pieChart>
      <c:spPr>
        <a:noFill/>
        <a:ln>
          <a:noFill/>
        </a:ln>
        <a:effectLst/>
      </c:spPr>
    </c:plotArea>
    <c:plotVisOnly val="1"/>
    <c:dispBlanksAs val="gap"/>
    <c:showDLblsOverMax val="0"/>
    <c:extLst>
      <c:ext uri="{0b15fc19-7d7d-44ad-8c2d-2c3a37ce22c3}">
        <chartProps xmlns="https://web.wps.cn/et/2018/main" chartId="{e9e30c38-25a9-4d4f-9df0-8bf322c8a61f}"/>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sz="105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指标下达与指标使用对比图（金额：元）</a:t>
            </a:r>
          </a:p>
        </c:rich>
      </c:tx>
      <c:layout/>
      <c:overlay val="0"/>
      <c:spPr>
        <a:noFill/>
        <a:ln>
          <a:noFill/>
        </a:ln>
        <a:effectLst/>
      </c:spPr>
    </c:title>
    <c:autoTitleDeleted val="0"/>
    <c:plotArea>
      <c:layout/>
      <c:barChart>
        <c:barDir val="col"/>
        <c:grouping val="clustered"/>
        <c:varyColors val="0"/>
        <c:ser>
          <c:idx val="0"/>
          <c:order val="0"/>
          <c:tx>
            <c:strRef>
              <c:f>[7.10部门整体支出底稿表格.xlsx]下达资金与资金使用对比表!$I$2</c:f>
              <c:strCache>
                <c:ptCount val="1"/>
                <c:pt idx="0">
                  <c:v>指标下达数</c:v>
                </c:pt>
              </c:strCache>
            </c:strRef>
          </c:tx>
          <c:spPr>
            <a:solidFill>
              <a:schemeClr val="accent1">
                <a:lumMod val="75000"/>
              </a:schemeClr>
            </a:solidFill>
            <a:ln>
              <a:noFill/>
            </a:ln>
            <a:effectLst/>
          </c:spPr>
          <c:invertIfNegative val="0"/>
          <c:dLbls>
            <c:delete val="1"/>
          </c:dLbls>
          <c:cat>
            <c:strRef>
              <c:f>[7.10部门整体支出底稿表格.xlsx]下达资金与资金使用对比表!$H$3:$H$14</c:f>
              <c:strCache>
                <c:ptCount val="12"/>
                <c:pt idx="0" c:formatCode="#,##0.00_ ">
                  <c:v>1月</c:v>
                </c:pt>
                <c:pt idx="1" c:formatCode="#,##0.00_ ">
                  <c:v>2月</c:v>
                </c:pt>
                <c:pt idx="2" c:formatCode="#,##0.00_ ">
                  <c:v>3月</c:v>
                </c:pt>
                <c:pt idx="3" c:formatCode="#,##0.00_ ">
                  <c:v>4月</c:v>
                </c:pt>
                <c:pt idx="4" c:formatCode="#,##0.00_ ">
                  <c:v>5月</c:v>
                </c:pt>
                <c:pt idx="5" c:formatCode="#,##0.00_ ">
                  <c:v>6月</c:v>
                </c:pt>
                <c:pt idx="6" c:formatCode="#,##0.00_ ">
                  <c:v>7月</c:v>
                </c:pt>
                <c:pt idx="7" c:formatCode="#,##0.00_ ">
                  <c:v>8月</c:v>
                </c:pt>
                <c:pt idx="8" c:formatCode="#,##0.00_ ">
                  <c:v>9月</c:v>
                </c:pt>
                <c:pt idx="9" c:formatCode="#,##0.00_ ">
                  <c:v>10月</c:v>
                </c:pt>
                <c:pt idx="10" c:formatCode="#,##0.00_ ">
                  <c:v>11月</c:v>
                </c:pt>
                <c:pt idx="11" c:formatCode="#,##0.00_ ">
                  <c:v>12月</c:v>
                </c:pt>
              </c:strCache>
            </c:strRef>
          </c:cat>
          <c:val>
            <c:numRef>
              <c:f>[7.10部门整体支出底稿表格.xlsx]下达资金与资金使用对比表!$I$3:$I$14</c:f>
              <c:numCache>
                <c:formatCode>#,##0.00_ </c:formatCode>
                <c:ptCount val="12"/>
                <c:pt idx="0">
                  <c:v>1784038.02</c:v>
                </c:pt>
                <c:pt idx="1">
                  <c:v>65800</c:v>
                </c:pt>
                <c:pt idx="2">
                  <c:v>30000</c:v>
                </c:pt>
                <c:pt idx="3">
                  <c:v>0</c:v>
                </c:pt>
                <c:pt idx="4">
                  <c:v>0</c:v>
                </c:pt>
                <c:pt idx="5">
                  <c:v>0</c:v>
                </c:pt>
                <c:pt idx="6">
                  <c:v>10873.6</c:v>
                </c:pt>
                <c:pt idx="7">
                  <c:v>0</c:v>
                </c:pt>
                <c:pt idx="8">
                  <c:v>100000</c:v>
                </c:pt>
                <c:pt idx="9">
                  <c:v>0</c:v>
                </c:pt>
                <c:pt idx="10">
                  <c:v>105483</c:v>
                </c:pt>
                <c:pt idx="11">
                  <c:v>161651.14</c:v>
                </c:pt>
              </c:numCache>
            </c:numRef>
          </c:val>
        </c:ser>
        <c:ser>
          <c:idx val="1"/>
          <c:order val="1"/>
          <c:tx>
            <c:strRef>
              <c:f>[7.10部门整体支出底稿表格.xlsx]下达资金与资金使用对比表!$J$2</c:f>
              <c:strCache>
                <c:ptCount val="1"/>
                <c:pt idx="0">
                  <c:v>占比1</c:v>
                </c:pt>
              </c:strCache>
            </c:strRef>
          </c:tx>
          <c:spPr>
            <a:solidFill>
              <a:schemeClr val="accent2"/>
            </a:solidFill>
            <a:ln>
              <a:noFill/>
            </a:ln>
            <a:effectLst/>
          </c:spPr>
          <c:invertIfNegative val="0"/>
          <c:dLbls>
            <c:delete val="1"/>
          </c:dLbls>
          <c:cat>
            <c:strRef>
              <c:f>[7.10部门整体支出底稿表格.xlsx]下达资金与资金使用对比表!$H$3:$H$14</c:f>
              <c:strCache>
                <c:ptCount val="12"/>
                <c:pt idx="0" c:formatCode="#,##0.00_ ">
                  <c:v>1月</c:v>
                </c:pt>
                <c:pt idx="1" c:formatCode="#,##0.00_ ">
                  <c:v>2月</c:v>
                </c:pt>
                <c:pt idx="2" c:formatCode="#,##0.00_ ">
                  <c:v>3月</c:v>
                </c:pt>
                <c:pt idx="3" c:formatCode="#,##0.00_ ">
                  <c:v>4月</c:v>
                </c:pt>
                <c:pt idx="4" c:formatCode="#,##0.00_ ">
                  <c:v>5月</c:v>
                </c:pt>
                <c:pt idx="5" c:formatCode="#,##0.00_ ">
                  <c:v>6月</c:v>
                </c:pt>
                <c:pt idx="6" c:formatCode="#,##0.00_ ">
                  <c:v>7月</c:v>
                </c:pt>
                <c:pt idx="7" c:formatCode="#,##0.00_ ">
                  <c:v>8月</c:v>
                </c:pt>
                <c:pt idx="8" c:formatCode="#,##0.00_ ">
                  <c:v>9月</c:v>
                </c:pt>
                <c:pt idx="9" c:formatCode="#,##0.00_ ">
                  <c:v>10月</c:v>
                </c:pt>
                <c:pt idx="10" c:formatCode="#,##0.00_ ">
                  <c:v>11月</c:v>
                </c:pt>
                <c:pt idx="11" c:formatCode="#,##0.00_ ">
                  <c:v>12月</c:v>
                </c:pt>
              </c:strCache>
            </c:strRef>
          </c:cat>
          <c:val>
            <c:numRef>
              <c:f>[7.10部门整体支出底稿表格.xlsx]下达资金与资金使用对比表!$J$3:$J$14</c:f>
              <c:numCache>
                <c:formatCode>0.00%</c:formatCode>
                <c:ptCount val="12"/>
                <c:pt idx="0">
                  <c:v>0.790150528262834</c:v>
                </c:pt>
                <c:pt idx="1">
                  <c:v>0.0291428232901082</c:v>
                </c:pt>
                <c:pt idx="2">
                  <c:v>0.0132870015000493</c:v>
                </c:pt>
                <c:pt idx="6">
                  <c:v>0.00481591798369788</c:v>
                </c:pt>
                <c:pt idx="8">
                  <c:v>0.0442900050001644</c:v>
                </c:pt>
                <c:pt idx="10">
                  <c:v>0.0467184259743234</c:v>
                </c:pt>
                <c:pt idx="11">
                  <c:v>0.0715952979888227</c:v>
                </c:pt>
              </c:numCache>
            </c:numRef>
          </c:val>
        </c:ser>
        <c:ser>
          <c:idx val="2"/>
          <c:order val="2"/>
          <c:tx>
            <c:strRef>
              <c:f>[7.10部门整体支出底稿表格.xlsx]下达资金与资金使用对比表!$K$2</c:f>
              <c:strCache>
                <c:ptCount val="1"/>
                <c:pt idx="0">
                  <c:v>指标使用数</c:v>
                </c:pt>
              </c:strCache>
            </c:strRef>
          </c:tx>
          <c:spPr>
            <a:solidFill>
              <a:schemeClr val="accent4"/>
            </a:solidFill>
            <a:ln>
              <a:noFill/>
            </a:ln>
            <a:effectLst/>
          </c:spPr>
          <c:invertIfNegative val="0"/>
          <c:dLbls>
            <c:delete val="1"/>
          </c:dLbls>
          <c:cat>
            <c:strRef>
              <c:f>[7.10部门整体支出底稿表格.xlsx]下达资金与资金使用对比表!$H$3:$H$14</c:f>
              <c:strCache>
                <c:ptCount val="12"/>
                <c:pt idx="0" c:formatCode="#,##0.00_ ">
                  <c:v>1月</c:v>
                </c:pt>
                <c:pt idx="1" c:formatCode="#,##0.00_ ">
                  <c:v>2月</c:v>
                </c:pt>
                <c:pt idx="2" c:formatCode="#,##0.00_ ">
                  <c:v>3月</c:v>
                </c:pt>
                <c:pt idx="3" c:formatCode="#,##0.00_ ">
                  <c:v>4月</c:v>
                </c:pt>
                <c:pt idx="4" c:formatCode="#,##0.00_ ">
                  <c:v>5月</c:v>
                </c:pt>
                <c:pt idx="5" c:formatCode="#,##0.00_ ">
                  <c:v>6月</c:v>
                </c:pt>
                <c:pt idx="6" c:formatCode="#,##0.00_ ">
                  <c:v>7月</c:v>
                </c:pt>
                <c:pt idx="7" c:formatCode="#,##0.00_ ">
                  <c:v>8月</c:v>
                </c:pt>
                <c:pt idx="8" c:formatCode="#,##0.00_ ">
                  <c:v>9月</c:v>
                </c:pt>
                <c:pt idx="9" c:formatCode="#,##0.00_ ">
                  <c:v>10月</c:v>
                </c:pt>
                <c:pt idx="10" c:formatCode="#,##0.00_ ">
                  <c:v>11月</c:v>
                </c:pt>
                <c:pt idx="11" c:formatCode="#,##0.00_ ">
                  <c:v>12月</c:v>
                </c:pt>
              </c:strCache>
            </c:strRef>
          </c:cat>
          <c:val>
            <c:numRef>
              <c:f>[7.10部门整体支出底稿表格.xlsx]下达资金与资金使用对比表!$K$3:$K$14</c:f>
              <c:numCache>
                <c:formatCode>#,##0.00_ </c:formatCode>
                <c:ptCount val="12"/>
                <c:pt idx="0">
                  <c:v>192333.51</c:v>
                </c:pt>
                <c:pt idx="1">
                  <c:v>174442.99</c:v>
                </c:pt>
                <c:pt idx="2">
                  <c:v>159698.63</c:v>
                </c:pt>
                <c:pt idx="3">
                  <c:v>130026.85</c:v>
                </c:pt>
                <c:pt idx="4">
                  <c:v>189424.97</c:v>
                </c:pt>
                <c:pt idx="5">
                  <c:v>194318.21</c:v>
                </c:pt>
                <c:pt idx="6">
                  <c:v>134717.29</c:v>
                </c:pt>
                <c:pt idx="7">
                  <c:v>195511</c:v>
                </c:pt>
                <c:pt idx="8">
                  <c:v>193739.97</c:v>
                </c:pt>
                <c:pt idx="9">
                  <c:v>156174.06</c:v>
                </c:pt>
                <c:pt idx="10">
                  <c:v>142471.81</c:v>
                </c:pt>
                <c:pt idx="11">
                  <c:v>394978</c:v>
                </c:pt>
              </c:numCache>
            </c:numRef>
          </c:val>
        </c:ser>
        <c:ser>
          <c:idx val="3"/>
          <c:order val="3"/>
          <c:tx>
            <c:strRef>
              <c:f>[7.10部门整体支出底稿表格.xlsx]下达资金与资金使用对比表!$L$2</c:f>
              <c:strCache>
                <c:ptCount val="1"/>
                <c:pt idx="0">
                  <c:v>占比2</c:v>
                </c:pt>
              </c:strCache>
            </c:strRef>
          </c:tx>
          <c:spPr>
            <a:solidFill>
              <a:schemeClr val="accent4"/>
            </a:solidFill>
            <a:ln>
              <a:noFill/>
            </a:ln>
            <a:effectLst/>
          </c:spPr>
          <c:invertIfNegative val="0"/>
          <c:dLbls>
            <c:delete val="1"/>
          </c:dLbls>
          <c:cat>
            <c:strRef>
              <c:f>[7.10部门整体支出底稿表格.xlsx]下达资金与资金使用对比表!$H$3:$H$14</c:f>
              <c:strCache>
                <c:ptCount val="12"/>
                <c:pt idx="0" c:formatCode="#,##0.00_ ">
                  <c:v>1月</c:v>
                </c:pt>
                <c:pt idx="1" c:formatCode="#,##0.00_ ">
                  <c:v>2月</c:v>
                </c:pt>
                <c:pt idx="2" c:formatCode="#,##0.00_ ">
                  <c:v>3月</c:v>
                </c:pt>
                <c:pt idx="3" c:formatCode="#,##0.00_ ">
                  <c:v>4月</c:v>
                </c:pt>
                <c:pt idx="4" c:formatCode="#,##0.00_ ">
                  <c:v>5月</c:v>
                </c:pt>
                <c:pt idx="5" c:formatCode="#,##0.00_ ">
                  <c:v>6月</c:v>
                </c:pt>
                <c:pt idx="6" c:formatCode="#,##0.00_ ">
                  <c:v>7月</c:v>
                </c:pt>
                <c:pt idx="7" c:formatCode="#,##0.00_ ">
                  <c:v>8月</c:v>
                </c:pt>
                <c:pt idx="8" c:formatCode="#,##0.00_ ">
                  <c:v>9月</c:v>
                </c:pt>
                <c:pt idx="9" c:formatCode="#,##0.00_ ">
                  <c:v>10月</c:v>
                </c:pt>
                <c:pt idx="10" c:formatCode="#,##0.00_ ">
                  <c:v>11月</c:v>
                </c:pt>
                <c:pt idx="11" c:formatCode="#,##0.00_ ">
                  <c:v>12月</c:v>
                </c:pt>
              </c:strCache>
            </c:strRef>
          </c:cat>
          <c:val>
            <c:numRef>
              <c:f>[7.10部门整体支出底稿表格.xlsx]下达资金与资金使用对比表!$L$3:$L$14</c:f>
              <c:numCache>
                <c:formatCode>0.00%</c:formatCode>
                <c:ptCount val="12"/>
                <c:pt idx="0">
                  <c:v>0.0851848407552876</c:v>
                </c:pt>
                <c:pt idx="1">
                  <c:v>0.0772610988278965</c:v>
                </c:pt>
                <c:pt idx="2">
                  <c:v>0.0707307965491171</c:v>
                </c:pt>
                <c:pt idx="3">
                  <c:v>0.0575891144042536</c:v>
                </c:pt>
                <c:pt idx="4">
                  <c:v>0.0838966434113594</c:v>
                </c:pt>
                <c:pt idx="5">
                  <c:v>0.0860638677820756</c:v>
                </c:pt>
                <c:pt idx="6">
                  <c:v>0.0596665183078804</c:v>
                </c:pt>
                <c:pt idx="7">
                  <c:v>0.0865921565145201</c:v>
                </c:pt>
                <c:pt idx="8">
                  <c:v>0.0858077642964254</c:v>
                </c:pt>
                <c:pt idx="9">
                  <c:v>0.0691697584638617</c:v>
                </c:pt>
                <c:pt idx="10">
                  <c:v>0.06310100848764</c:v>
                </c:pt>
                <c:pt idx="11">
                  <c:v>0.174936432199683</c:v>
                </c:pt>
              </c:numCache>
            </c:numRef>
          </c:val>
        </c:ser>
        <c:dLbls>
          <c:showLegendKey val="0"/>
          <c:showVal val="0"/>
          <c:showCatName val="0"/>
          <c:showSerName val="0"/>
          <c:showPercent val="0"/>
          <c:showBubbleSize val="0"/>
        </c:dLbls>
        <c:gapWidth val="38"/>
        <c:overlap val="50"/>
        <c:axId val="838064893"/>
        <c:axId val="45792394"/>
      </c:barChart>
      <c:catAx>
        <c:axId val="8380648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792394"/>
        <c:crosses val="autoZero"/>
        <c:auto val="1"/>
        <c:lblAlgn val="ctr"/>
        <c:lblOffset val="100"/>
        <c:noMultiLvlLbl val="0"/>
      </c:catAx>
      <c:valAx>
        <c:axId val="45792394"/>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80648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9685dd-9ec8-434a-a40a-c20d3053fb46}"/>
      </c:ext>
    </c:extLst>
  </c:chart>
  <c:spPr>
    <a:solidFill>
      <a:schemeClr val="bg1"/>
    </a:solidFill>
    <a:ln w="9525" cap="flat" cmpd="sng" algn="ctr">
      <a:solidFill>
        <a:schemeClr val="tx1">
          <a:lumMod val="15000"/>
          <a:lumOff val="85000"/>
          <a:alpha val="53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预算数、账套数、决算数、重分类后决算数对比趋势图</a:t>
            </a:r>
          </a:p>
        </c:rich>
      </c:tx>
      <c:layout/>
      <c:overlay val="0"/>
      <c:spPr>
        <a:noFill/>
        <a:ln>
          <a:noFill/>
        </a:ln>
        <a:effectLst/>
      </c:spPr>
    </c:title>
    <c:autoTitleDeleted val="0"/>
    <c:plotArea>
      <c:layout/>
      <c:barChart>
        <c:barDir val="col"/>
        <c:grouping val="percentStacked"/>
        <c:varyColors val="0"/>
        <c:ser>
          <c:idx val="0"/>
          <c:order val="0"/>
          <c:tx>
            <c:strRef>
              <c:f>[区委统战部四数对比趋势图.xlsx]Sheet1!$H$51</c:f>
              <c:strCache>
                <c:ptCount val="1"/>
                <c:pt idx="0">
                  <c:v>基本支出-人员经费</c:v>
                </c:pt>
              </c:strCache>
            </c:strRef>
          </c:tx>
          <c:spPr>
            <a:solidFill>
              <a:schemeClr val="accent1"/>
            </a:solidFill>
            <a:ln>
              <a:gradFill>
                <a:gsLst>
                  <a:gs pos="87000">
                    <a:schemeClr val="accent1">
                      <a:lumMod val="75000"/>
                    </a:schemeClr>
                  </a:gs>
                  <a:gs pos="0">
                    <a:schemeClr val="accent1">
                      <a:lumMod val="75000"/>
                      <a:hueOff val="-1670000"/>
                    </a:schemeClr>
                  </a:gs>
                </a:gsLst>
                <a:lin ang="528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[区委统战部四数对比趋势图.xlsx]Sheet1!$I$50:$L$50</c:f>
              <c:strCache>
                <c:ptCount val="4"/>
                <c:pt idx="0">
                  <c:v>全年预算数</c:v>
                </c:pt>
                <c:pt idx="1">
                  <c:v>账套数</c:v>
                </c:pt>
                <c:pt idx="2">
                  <c:v>决算数</c:v>
                </c:pt>
                <c:pt idx="3">
                  <c:v>重分类后决算数</c:v>
                </c:pt>
              </c:strCache>
            </c:strRef>
          </c:cat>
          <c:val>
            <c:numRef>
              <c:f>[区委统战部四数对比趋势图.xlsx]Sheet1!$I$51:$L$51</c:f>
              <c:numCache>
                <c:formatCode>0.00%</c:formatCode>
                <c:ptCount val="4"/>
                <c:pt idx="0">
                  <c:v>0.805510854544994</c:v>
                </c:pt>
                <c:pt idx="1">
                  <c:v>0.8135712693451</c:v>
                </c:pt>
                <c:pt idx="2">
                  <c:v>0.805509993149241</c:v>
                </c:pt>
                <c:pt idx="3">
                  <c:v>0.853585565503704</c:v>
                </c:pt>
              </c:numCache>
            </c:numRef>
          </c:val>
        </c:ser>
        <c:ser>
          <c:idx val="1"/>
          <c:order val="1"/>
          <c:tx>
            <c:strRef>
              <c:f>[区委统战部四数对比趋势图.xlsx]Sheet1!$H$52</c:f>
              <c:strCache>
                <c:ptCount val="1"/>
                <c:pt idx="0">
                  <c:v>基本支出-公用经费</c:v>
                </c:pt>
              </c:strCache>
            </c:strRef>
          </c:tx>
          <c:spPr>
            <a:solidFill>
              <a:schemeClr val="accent3"/>
            </a:solidFill>
            <a:ln>
              <a:gradFill>
                <a:gsLst>
                  <a:gs pos="100000">
                    <a:schemeClr val="accent2">
                      <a:lumMod val="75000"/>
                    </a:schemeClr>
                  </a:gs>
                  <a:gs pos="0">
                    <a:schemeClr val="accent2">
                      <a:lumMod val="75000"/>
                      <a:hueOff val="-1670000"/>
                    </a:schemeClr>
                  </a:gs>
                </a:gsLst>
                <a:lin ang="528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[区委统战部四数对比趋势图.xlsx]Sheet1!$I$50:$L$50</c:f>
              <c:strCache>
                <c:ptCount val="4"/>
                <c:pt idx="0">
                  <c:v>全年预算数</c:v>
                </c:pt>
                <c:pt idx="1">
                  <c:v>账套数</c:v>
                </c:pt>
                <c:pt idx="2">
                  <c:v>决算数</c:v>
                </c:pt>
                <c:pt idx="3">
                  <c:v>重分类后决算数</c:v>
                </c:pt>
              </c:strCache>
            </c:strRef>
          </c:cat>
          <c:val>
            <c:numRef>
              <c:f>[区委统战部四数对比趋势图.xlsx]Sheet1!$I$52:$L$52</c:f>
              <c:numCache>
                <c:formatCode>0.00%</c:formatCode>
                <c:ptCount val="4"/>
                <c:pt idx="0">
                  <c:v>0.0171836289247002</c:v>
                </c:pt>
                <c:pt idx="1">
                  <c:v>0.0529394170826189</c:v>
                </c:pt>
                <c:pt idx="2">
                  <c:v>0.0171837050312868</c:v>
                </c:pt>
                <c:pt idx="3">
                  <c:v>0.0240597541021213</c:v>
                </c:pt>
              </c:numCache>
            </c:numRef>
          </c:val>
        </c:ser>
        <c:ser>
          <c:idx val="2"/>
          <c:order val="2"/>
          <c:tx>
            <c:strRef>
              <c:f>[区委统战部四数对比趋势图.xlsx]Sheet1!$H$53</c:f>
              <c:strCache>
                <c:ptCount val="1"/>
                <c:pt idx="0">
                  <c:v>项目支出</c:v>
                </c:pt>
              </c:strCache>
            </c:strRef>
          </c:tx>
          <c:spPr>
            <a:solidFill>
              <a:schemeClr val="accent2"/>
            </a:solidFill>
            <a:ln>
              <a:gradFill>
                <a:gsLst>
                  <a:gs pos="100000">
                    <a:schemeClr val="accent3">
                      <a:lumMod val="75000"/>
                    </a:schemeClr>
                  </a:gs>
                  <a:gs pos="0">
                    <a:schemeClr val="accent3">
                      <a:lumMod val="75000"/>
                      <a:hueOff val="-1670000"/>
                    </a:schemeClr>
                  </a:gs>
                </a:gsLst>
                <a:lin ang="528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bg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[区委统战部四数对比趋势图.xlsx]Sheet1!$I$50:$L$50</c:f>
              <c:strCache>
                <c:ptCount val="4"/>
                <c:pt idx="0">
                  <c:v>全年预算数</c:v>
                </c:pt>
                <c:pt idx="1">
                  <c:v>账套数</c:v>
                </c:pt>
                <c:pt idx="2">
                  <c:v>决算数</c:v>
                </c:pt>
                <c:pt idx="3">
                  <c:v>重分类后决算数</c:v>
                </c:pt>
              </c:strCache>
            </c:strRef>
          </c:cat>
          <c:val>
            <c:numRef>
              <c:f>[区委统战部四数对比趋势图.xlsx]Sheet1!$I$53:$L$53</c:f>
              <c:numCache>
                <c:formatCode>0.00%</c:formatCode>
                <c:ptCount val="4"/>
                <c:pt idx="0">
                  <c:v>0.177305516530305</c:v>
                </c:pt>
                <c:pt idx="1">
                  <c:v>0.133489313572281</c:v>
                </c:pt>
                <c:pt idx="2">
                  <c:v>0.177306301819473</c:v>
                </c:pt>
                <c:pt idx="3">
                  <c:v>0.122354680394175</c:v>
                </c:pt>
              </c:numCache>
            </c:numRef>
          </c:val>
        </c:ser>
        <c:dLbls>
          <c:showLegendKey val="0"/>
          <c:showVal val="1"/>
          <c:showCatName val="0"/>
          <c:showSerName val="0"/>
          <c:showPercent val="0"/>
          <c:showBubbleSize val="0"/>
        </c:dLbls>
        <c:gapWidth val="54"/>
        <c:overlap val="100"/>
        <c:serLines>
          <c:spPr>
            <a:ln w="9525">
              <a:solidFill>
                <a:srgbClr val="FF0000"/>
              </a:solidFill>
              <a:headEnd type="stealth"/>
            </a:ln>
            <a:effectLst/>
          </c:spPr>
        </c:serLines>
        <c:axId val="418057560"/>
        <c:axId val="206077113"/>
      </c:barChart>
      <c:catAx>
        <c:axId val="418057560"/>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206077113"/>
        <c:crosses val="autoZero"/>
        <c:auto val="1"/>
        <c:lblAlgn val="ctr"/>
        <c:lblOffset val="100"/>
        <c:noMultiLvlLbl val="0"/>
      </c:catAx>
      <c:valAx>
        <c:axId val="206077113"/>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18057560"/>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945ccc1a-05f9-4084-b453-eaf15e1d3532}"/>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整体支出账套数与决算数对比图（金额：元）</a:t>
            </a:r>
          </a:p>
        </c:rich>
      </c:tx>
      <c:layout>
        <c:manualLayout>
          <c:xMode val="edge"/>
          <c:yMode val="edge"/>
          <c:x val="0.189473684210526"/>
          <c:y val="0.0277777777777778"/>
        </c:manualLayout>
      </c:layout>
      <c:overlay val="0"/>
      <c:spPr>
        <a:noFill/>
        <a:ln>
          <a:noFill/>
        </a:ln>
        <a:effectLst/>
      </c:spPr>
    </c:title>
    <c:autoTitleDeleted val="0"/>
    <c:plotArea>
      <c:layout/>
      <c:barChart>
        <c:barDir val="col"/>
        <c:grouping val="clustered"/>
        <c:varyColors val="0"/>
        <c:ser>
          <c:idx val="0"/>
          <c:order val="0"/>
          <c:tx>
            <c:strRef>
              <c:f>[区委统战部四数对比趋势图.xlsx]Sheet1!$H$86</c:f>
              <c:strCache>
                <c:ptCount val="1"/>
                <c:pt idx="0">
                  <c:v>2024年账套数</c:v>
                </c:pt>
              </c:strCache>
            </c:strRef>
          </c:tx>
          <c:spPr>
            <a:solidFill>
              <a:schemeClr val="accent1"/>
            </a:solidFill>
            <a:ln>
              <a:noFill/>
            </a:ln>
            <a:effectLst/>
          </c:spPr>
          <c:invertIfNegative val="0"/>
          <c:dLbls>
            <c:delete val="1"/>
          </c:dLbls>
          <c:cat>
            <c:strRef>
              <c:f>[区委统战部四数对比趋势图.xlsx]Sheet1!$G$87:$G$89</c:f>
              <c:strCache>
                <c:ptCount val="3"/>
                <c:pt idx="0">
                  <c:v>基本支出-人员经费</c:v>
                </c:pt>
                <c:pt idx="1">
                  <c:v>基本支出-公用经费</c:v>
                </c:pt>
                <c:pt idx="2">
                  <c:v>项目支出</c:v>
                </c:pt>
              </c:strCache>
            </c:strRef>
          </c:cat>
          <c:val>
            <c:numRef>
              <c:f>[区委统战部四数对比趋势图.xlsx]Sheet1!$H$87:$H$89</c:f>
              <c:numCache>
                <c:formatCode>#,##0.00</c:formatCode>
                <c:ptCount val="3"/>
                <c:pt idx="0">
                  <c:v>1836911.55</c:v>
                </c:pt>
                <c:pt idx="1">
                  <c:v>119528.59</c:v>
                </c:pt>
                <c:pt idx="2">
                  <c:v>301397.15</c:v>
                </c:pt>
              </c:numCache>
            </c:numRef>
          </c:val>
        </c:ser>
        <c:dLbls>
          <c:showLegendKey val="0"/>
          <c:showVal val="0"/>
          <c:showCatName val="0"/>
          <c:showSerName val="0"/>
          <c:showPercent val="0"/>
          <c:showBubbleSize val="0"/>
        </c:dLbls>
        <c:gapWidth val="219"/>
        <c:overlap val="-27"/>
        <c:axId val="982968590"/>
        <c:axId val="125476197"/>
      </c:barChart>
      <c:lineChart>
        <c:grouping val="standard"/>
        <c:varyColors val="0"/>
        <c:ser>
          <c:idx val="1"/>
          <c:order val="1"/>
          <c:tx>
            <c:strRef>
              <c:f>[区委统战部四数对比趋势图.xlsx]Sheet1!$I$86</c:f>
              <c:strCache>
                <c:ptCount val="1"/>
                <c:pt idx="0">
                  <c:v>2024年决算数</c:v>
                </c:pt>
              </c:strCache>
            </c:strRef>
          </c:tx>
          <c:spPr>
            <a:ln w="28575" cap="rnd">
              <a:solidFill>
                <a:srgbClr val="FFFF00"/>
              </a:solidFill>
              <a:round/>
            </a:ln>
            <a:effectLst/>
          </c:spPr>
          <c:marker>
            <c:symbol val="circle"/>
            <c:size val="5"/>
            <c:spPr>
              <a:solidFill>
                <a:schemeClr val="accent6"/>
              </a:solidFill>
              <a:ln w="9525">
                <a:solidFill>
                  <a:schemeClr val="accent2"/>
                </a:solidFill>
              </a:ln>
              <a:effectLst/>
            </c:spPr>
          </c:marker>
          <c:dPt>
            <c:idx val="1"/>
            <c:marker>
              <c:symbol val="circle"/>
              <c:size val="5"/>
              <c:spPr>
                <a:solidFill>
                  <a:schemeClr val="accent6"/>
                </a:solidFill>
                <a:ln w="9525">
                  <a:solidFill>
                    <a:schemeClr val="accent2"/>
                  </a:solidFill>
                </a:ln>
                <a:effectLst/>
              </c:spPr>
            </c:marker>
            <c:bubble3D val="0"/>
            <c:spPr>
              <a:ln w="28575" cap="rnd" cmpd="sng">
                <a:solidFill>
                  <a:srgbClr val="FFFF00"/>
                </a:solidFill>
                <a:prstDash val="solid"/>
                <a:round/>
              </a:ln>
              <a:effectLst/>
              <a:sp3d contourW="28575"/>
            </c:spPr>
          </c:dPt>
          <c:dLbls>
            <c:delete val="1"/>
          </c:dLbls>
          <c:cat>
            <c:strRef>
              <c:f>[区委统战部四数对比趋势图.xlsx]Sheet1!$G$87:$G$89</c:f>
              <c:strCache>
                <c:ptCount val="3"/>
                <c:pt idx="0">
                  <c:v>基本支出-人员经费</c:v>
                </c:pt>
                <c:pt idx="1">
                  <c:v>基本支出-公用经费</c:v>
                </c:pt>
                <c:pt idx="2">
                  <c:v>项目支出</c:v>
                </c:pt>
              </c:strCache>
            </c:strRef>
          </c:cat>
          <c:val>
            <c:numRef>
              <c:f>[区委统战部四数对比趋势图.xlsx]Sheet1!$I$87:$I$89</c:f>
              <c:numCache>
                <c:formatCode>#,##0.00</c:formatCode>
                <c:ptCount val="3"/>
                <c:pt idx="0">
                  <c:v>1818710.5</c:v>
                </c:pt>
                <c:pt idx="1">
                  <c:v>38798.01</c:v>
                </c:pt>
                <c:pt idx="2">
                  <c:v>400328.78</c:v>
                </c:pt>
              </c:numCache>
            </c:numRef>
          </c:val>
          <c:smooth val="0"/>
        </c:ser>
        <c:dLbls>
          <c:showLegendKey val="0"/>
          <c:showVal val="0"/>
          <c:showCatName val="0"/>
          <c:showSerName val="0"/>
          <c:showPercent val="0"/>
          <c:showBubbleSize val="0"/>
        </c:dLbls>
        <c:marker val="1"/>
        <c:smooth val="0"/>
        <c:axId val="982968590"/>
        <c:axId val="125476197"/>
      </c:lineChart>
      <c:catAx>
        <c:axId val="9829685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5476197"/>
        <c:crosses val="autoZero"/>
        <c:auto val="1"/>
        <c:lblAlgn val="ctr"/>
        <c:lblOffset val="100"/>
        <c:noMultiLvlLbl val="0"/>
      </c:catAx>
      <c:valAx>
        <c:axId val="125476197"/>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29685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d4ebc86-3806-4ae5-bc4c-cc99f458142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基本支出</a:t>
            </a:r>
            <a:r>
              <a:rPr lang="en-US" altLang="zh-CN"/>
              <a:t>-</a:t>
            </a:r>
            <a:r>
              <a:rPr altLang="en-US"/>
              <a:t>人员支出决算图（金额：元）</a:t>
            </a:r>
            <a:endParaRPr lang="en-US" altLang="zh-CN"/>
          </a:p>
        </c:rich>
      </c:tx>
      <c:layout/>
      <c:overlay val="0"/>
      <c:spPr>
        <a:noFill/>
        <a:ln>
          <a:noFill/>
        </a:ln>
        <a:effectLst/>
      </c:spPr>
    </c:title>
    <c:autoTitleDeleted val="0"/>
    <c:plotArea>
      <c:layout/>
      <c:barChart>
        <c:barDir val="col"/>
        <c:grouping val="clustered"/>
        <c:varyColors val="0"/>
        <c:ser>
          <c:idx val="0"/>
          <c:order val="0"/>
          <c:tx>
            <c:strRef>
              <c:f>'[1.7.10部门整体支出底稿表格.xlsx]基本支出-人员经费调整过程'!$G$2</c:f>
              <c:strCache>
                <c:ptCount val="1"/>
                <c:pt idx="0">
                  <c:v>决算数</c:v>
                </c:pt>
              </c:strCache>
            </c:strRef>
          </c:tx>
          <c:spPr>
            <a:solidFill>
              <a:schemeClr val="accent1"/>
            </a:solidFill>
            <a:ln>
              <a:noFill/>
            </a:ln>
            <a:effectLst/>
          </c:spPr>
          <c:invertIfNegative val="0"/>
          <c:dLbls>
            <c:delete val="1"/>
          </c:dLbls>
          <c:cat>
            <c:strRef>
              <c:f>'[1.7.10部门整体支出底稿表格.xlsx]基本支出-人员经费调整过程'!$F$3:$F$12</c:f>
              <c:strCache>
                <c:ptCount val="10"/>
                <c:pt idx="0">
                  <c:v>基本工资</c:v>
                </c:pt>
                <c:pt idx="1">
                  <c:v>津贴补贴</c:v>
                </c:pt>
                <c:pt idx="2">
                  <c:v>奖金</c:v>
                </c:pt>
                <c:pt idx="3">
                  <c:v>机关事业单位基本养老保险缴费</c:v>
                </c:pt>
                <c:pt idx="4">
                  <c:v>职工基本医疗保险缴费</c:v>
                </c:pt>
                <c:pt idx="5">
                  <c:v>其他社会保障缴费</c:v>
                </c:pt>
                <c:pt idx="6">
                  <c:v>住房公积金</c:v>
                </c:pt>
                <c:pt idx="7">
                  <c:v>其他工资福利支出</c:v>
                </c:pt>
                <c:pt idx="8">
                  <c:v>其他交通费用</c:v>
                </c:pt>
                <c:pt idx="9">
                  <c:v>其他对个人和家庭的补助（退休费）</c:v>
                </c:pt>
              </c:strCache>
            </c:strRef>
          </c:cat>
          <c:val>
            <c:numRef>
              <c:f>'[1.7.10部门整体支出底稿表格.xlsx]基本支出-人员经费调整过程'!$G$3:$G$12</c:f>
              <c:numCache>
                <c:formatCode>#,##0.00</c:formatCode>
                <c:ptCount val="10"/>
                <c:pt idx="0">
                  <c:v>733779</c:v>
                </c:pt>
                <c:pt idx="1">
                  <c:v>271694.16</c:v>
                </c:pt>
                <c:pt idx="2">
                  <c:v>32368</c:v>
                </c:pt>
                <c:pt idx="3">
                  <c:v>162238.24</c:v>
                </c:pt>
                <c:pt idx="4">
                  <c:v>259046.83</c:v>
                </c:pt>
                <c:pt idx="5">
                  <c:v>3121.5</c:v>
                </c:pt>
                <c:pt idx="6">
                  <c:v>163615.77</c:v>
                </c:pt>
                <c:pt idx="7">
                  <c:v>94267</c:v>
                </c:pt>
                <c:pt idx="9">
                  <c:v>98580</c:v>
                </c:pt>
              </c:numCache>
            </c:numRef>
          </c:val>
        </c:ser>
        <c:ser>
          <c:idx val="1"/>
          <c:order val="1"/>
          <c:tx>
            <c:strRef>
              <c:f>'[1.7.10部门整体支出底稿表格.xlsx]基本支出-人员经费调整过程'!$H$2</c:f>
              <c:strCache>
                <c:ptCount val="1"/>
                <c:pt idx="0">
                  <c:v>占比</c:v>
                </c:pt>
              </c:strCache>
            </c:strRef>
          </c:tx>
          <c:spPr>
            <a:solidFill>
              <a:schemeClr val="accent2"/>
            </a:solidFill>
            <a:ln>
              <a:noFill/>
            </a:ln>
            <a:effectLst/>
          </c:spPr>
          <c:invertIfNegative val="0"/>
          <c:dLbls>
            <c:delete val="1"/>
          </c:dLbls>
          <c:cat>
            <c:strRef>
              <c:f>'[1.7.10部门整体支出底稿表格.xlsx]基本支出-人员经费调整过程'!$F$3:$F$12</c:f>
              <c:strCache>
                <c:ptCount val="10"/>
                <c:pt idx="0">
                  <c:v>基本工资</c:v>
                </c:pt>
                <c:pt idx="1">
                  <c:v>津贴补贴</c:v>
                </c:pt>
                <c:pt idx="2">
                  <c:v>奖金</c:v>
                </c:pt>
                <c:pt idx="3">
                  <c:v>机关事业单位基本养老保险缴费</c:v>
                </c:pt>
                <c:pt idx="4">
                  <c:v>职工基本医疗保险缴费</c:v>
                </c:pt>
                <c:pt idx="5">
                  <c:v>其他社会保障缴费</c:v>
                </c:pt>
                <c:pt idx="6">
                  <c:v>住房公积金</c:v>
                </c:pt>
                <c:pt idx="7">
                  <c:v>其他工资福利支出</c:v>
                </c:pt>
                <c:pt idx="8">
                  <c:v>其他交通费用</c:v>
                </c:pt>
                <c:pt idx="9">
                  <c:v>其他对个人和家庭的补助（退休费）</c:v>
                </c:pt>
              </c:strCache>
            </c:strRef>
          </c:cat>
          <c:val>
            <c:numRef>
              <c:f>'[1.7.10部门整体支出底稿表格.xlsx]基本支出-人员经费调整过程'!$H$3:$H$12</c:f>
              <c:numCache>
                <c:formatCode>0.00%</c:formatCode>
                <c:ptCount val="10"/>
                <c:pt idx="0">
                  <c:v>0.403461133588881</c:v>
                </c:pt>
                <c:pt idx="1">
                  <c:v>0.149388349602644</c:v>
                </c:pt>
                <c:pt idx="2">
                  <c:v>0.0177972250118972</c:v>
                </c:pt>
                <c:pt idx="3">
                  <c:v>0.0892050933889698</c:v>
                </c:pt>
                <c:pt idx="4">
                  <c:v>0.142434340154741</c:v>
                </c:pt>
                <c:pt idx="5">
                  <c:v>0.00171632593532616</c:v>
                </c:pt>
                <c:pt idx="6">
                  <c:v>0.0899625146498027</c:v>
                </c:pt>
                <c:pt idx="7">
                  <c:v>0.0518317786145733</c:v>
                </c:pt>
                <c:pt idx="8">
                  <c:v>0</c:v>
                </c:pt>
                <c:pt idx="9">
                  <c:v>0.0542032390531643</c:v>
                </c:pt>
              </c:numCache>
            </c:numRef>
          </c:val>
        </c:ser>
        <c:dLbls>
          <c:showLegendKey val="0"/>
          <c:showVal val="0"/>
          <c:showCatName val="0"/>
          <c:showSerName val="0"/>
          <c:showPercent val="0"/>
          <c:showBubbleSize val="0"/>
        </c:dLbls>
        <c:gapWidth val="216"/>
        <c:overlap val="-32"/>
        <c:axId val="437958150"/>
        <c:axId val="861057019"/>
      </c:barChart>
      <c:catAx>
        <c:axId val="43795815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1057019"/>
        <c:crosses val="autoZero"/>
        <c:auto val="1"/>
        <c:lblAlgn val="ctr"/>
        <c:lblOffset val="100"/>
        <c:noMultiLvlLbl val="0"/>
      </c:catAx>
      <c:valAx>
        <c:axId val="861057019"/>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795815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a4664a25-51f9-4069-9902-401c142936b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基本支出</a:t>
            </a:r>
            <a:r>
              <a:rPr lang="en-US" altLang="zh-CN"/>
              <a:t>-</a:t>
            </a:r>
            <a:r>
              <a:rPr altLang="en-US"/>
              <a:t>公用经费决算数（金额：元）</a:t>
            </a:r>
            <a:endParaRPr lang="en-US" altLang="zh-CN"/>
          </a:p>
        </c:rich>
      </c:tx>
      <c:layout/>
      <c:overlay val="0"/>
      <c:spPr>
        <a:noFill/>
        <a:ln>
          <a:noFill/>
        </a:ln>
        <a:effectLst/>
      </c:spPr>
    </c:title>
    <c:autoTitleDeleted val="0"/>
    <c:plotArea>
      <c:layout/>
      <c:barChart>
        <c:barDir val="col"/>
        <c:grouping val="clustered"/>
        <c:varyColors val="0"/>
        <c:ser>
          <c:idx val="0"/>
          <c:order val="0"/>
          <c:tx>
            <c:strRef>
              <c:f>'[1.7.10部门整体支出底稿表格.xlsx]基本支出-公用经费调整过程'!$F$16</c:f>
              <c:strCache>
                <c:ptCount val="1"/>
                <c:pt idx="0">
                  <c:v>决算数</c:v>
                </c:pt>
              </c:strCache>
            </c:strRef>
          </c:tx>
          <c:spPr>
            <a:solidFill>
              <a:schemeClr val="accent1"/>
            </a:solidFill>
            <a:ln>
              <a:noFill/>
            </a:ln>
            <a:effectLst/>
          </c:spPr>
          <c:invertIfNegative val="0"/>
          <c:dLbls>
            <c:delete val="1"/>
          </c:dLbls>
          <c:cat>
            <c:strRef>
              <c:f>'[1.7.10部门整体支出底稿表格.xlsx]基本支出-公用经费调整过程'!$E$17:$E$19</c:f>
              <c:strCache>
                <c:ptCount val="3"/>
                <c:pt idx="0">
                  <c:v>其他商品和服务支出</c:v>
                </c:pt>
                <c:pt idx="1">
                  <c:v>工会经费</c:v>
                </c:pt>
                <c:pt idx="2">
                  <c:v>差旅费</c:v>
                </c:pt>
              </c:strCache>
            </c:strRef>
          </c:cat>
          <c:val>
            <c:numRef>
              <c:f>'[1.7.10部门整体支出底稿表格.xlsx]基本支出-公用经费调整过程'!$F$17:$F$19</c:f>
              <c:numCache>
                <c:formatCode>General</c:formatCode>
                <c:ptCount val="3"/>
                <c:pt idx="0">
                  <c:v>276.01</c:v>
                </c:pt>
                <c:pt idx="1" c:formatCode="#,##0.00">
                  <c:v>38000</c:v>
                </c:pt>
                <c:pt idx="2">
                  <c:v>522</c:v>
                </c:pt>
              </c:numCache>
            </c:numRef>
          </c:val>
        </c:ser>
        <c:ser>
          <c:idx val="1"/>
          <c:order val="1"/>
          <c:tx>
            <c:strRef>
              <c:f>'[1.7.10部门整体支出底稿表格.xlsx]基本支出-公用经费调整过程'!$G$16</c:f>
              <c:strCache>
                <c:ptCount val="1"/>
                <c:pt idx="0">
                  <c:v>占比</c:v>
                </c:pt>
              </c:strCache>
            </c:strRef>
          </c:tx>
          <c:spPr>
            <a:solidFill>
              <a:schemeClr val="accent2"/>
            </a:solidFill>
            <a:ln>
              <a:noFill/>
            </a:ln>
            <a:effectLst/>
          </c:spPr>
          <c:invertIfNegative val="0"/>
          <c:dLbls>
            <c:delete val="1"/>
          </c:dLbls>
          <c:cat>
            <c:strRef>
              <c:f>'[1.7.10部门整体支出底稿表格.xlsx]基本支出-公用经费调整过程'!$E$17:$E$19</c:f>
              <c:strCache>
                <c:ptCount val="3"/>
                <c:pt idx="0">
                  <c:v>其他商品和服务支出</c:v>
                </c:pt>
                <c:pt idx="1">
                  <c:v>工会经费</c:v>
                </c:pt>
                <c:pt idx="2">
                  <c:v>差旅费</c:v>
                </c:pt>
              </c:strCache>
            </c:strRef>
          </c:cat>
          <c:val>
            <c:numRef>
              <c:f>'[1.7.10部门整体支出底稿表格.xlsx]基本支出-公用经费调整过程'!$G$17:$G$19</c:f>
              <c:numCache>
                <c:formatCode>0.00%</c:formatCode>
                <c:ptCount val="3"/>
                <c:pt idx="0">
                  <c:v>0.00711402466260512</c:v>
                </c:pt>
                <c:pt idx="1">
                  <c:v>0.979431677037044</c:v>
                </c:pt>
                <c:pt idx="2">
                  <c:v>0.013454298300351</c:v>
                </c:pt>
              </c:numCache>
            </c:numRef>
          </c:val>
        </c:ser>
        <c:dLbls>
          <c:showLegendKey val="0"/>
          <c:showVal val="0"/>
          <c:showCatName val="0"/>
          <c:showSerName val="0"/>
          <c:showPercent val="0"/>
          <c:showBubbleSize val="0"/>
        </c:dLbls>
        <c:gapWidth val="216"/>
        <c:overlap val="-32"/>
        <c:axId val="810678448"/>
        <c:axId val="279423385"/>
      </c:barChart>
      <c:catAx>
        <c:axId val="8106784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9423385"/>
        <c:crosses val="autoZero"/>
        <c:auto val="1"/>
        <c:lblAlgn val="ctr"/>
        <c:lblOffset val="100"/>
        <c:noMultiLvlLbl val="0"/>
      </c:catAx>
      <c:valAx>
        <c:axId val="279423385"/>
        <c:scaling>
          <c:orientation val="minMax"/>
        </c:scaling>
        <c:delete val="0"/>
        <c:axPos val="l"/>
        <c:majorGridlines>
          <c:spPr>
            <a:ln w="9525" cap="flat" cmpd="sng" algn="ctr">
              <a:solidFill>
                <a:schemeClr val="lt1">
                  <a:lumMod val="902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0678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5365e8c1-ccbf-4ba4-b29f-f8e65085094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办公经费分类汇总图（金额：元）</a:t>
            </a:r>
          </a:p>
        </c:rich>
      </c:tx>
      <c:layout/>
      <c:overlay val="0"/>
      <c:spPr>
        <a:noFill/>
        <a:ln>
          <a:noFill/>
        </a:ln>
        <a:effectLst/>
      </c:spPr>
    </c:title>
    <c:autoTitleDeleted val="0"/>
    <c:plotArea>
      <c:layout/>
      <c:barChart>
        <c:barDir val="col"/>
        <c:grouping val="clustered"/>
        <c:varyColors val="0"/>
        <c:ser>
          <c:idx val="0"/>
          <c:order val="0"/>
          <c:tx>
            <c:strRef>
              <c:f>'[1区委统战部凭证抽查汇总(1).xlsx]项目支出-办公经费（办公费，印刷费，业务委托费，维修费，邮电）'!$I$69</c:f>
              <c:strCache>
                <c:ptCount val="1"/>
                <c:pt idx="0">
                  <c:v>合计</c:v>
                </c:pt>
              </c:strCache>
            </c:strRef>
          </c:tx>
          <c:spPr>
            <a:solidFill>
              <a:schemeClr val="accent1"/>
            </a:solidFill>
            <a:ln>
              <a:noFill/>
            </a:ln>
            <a:effectLst/>
          </c:spPr>
          <c:invertIfNegative val="0"/>
          <c:dLbls>
            <c:delete val="1"/>
          </c:dLbls>
          <c:cat>
            <c:strRef>
              <c:f>'[1区委统战部凭证抽查汇总(1).xlsx]项目支出-办公经费（办公费，印刷费，业务委托费，维修费，邮电）'!$H$70:$H$74</c:f>
              <c:strCache>
                <c:ptCount val="5"/>
                <c:pt idx="0">
                  <c:v>办公费/杂志报刊费</c:v>
                </c:pt>
                <c:pt idx="1">
                  <c:v>印刷费</c:v>
                </c:pt>
                <c:pt idx="2">
                  <c:v>业务委托费/财务报告</c:v>
                </c:pt>
                <c:pt idx="3">
                  <c:v>维修费</c:v>
                </c:pt>
                <c:pt idx="4">
                  <c:v>邮电费/电话费</c:v>
                </c:pt>
              </c:strCache>
            </c:strRef>
          </c:cat>
          <c:val>
            <c:numRef>
              <c:f>'[1区委统战部凭证抽查汇总(1).xlsx]项目支出-办公经费（办公费，印刷费，业务委托费，维修费，邮电）'!$I$70:$I$74</c:f>
              <c:numCache>
                <c:formatCode>#,##0.00_ </c:formatCode>
                <c:ptCount val="5"/>
                <c:pt idx="0">
                  <c:v>34466.01</c:v>
                </c:pt>
                <c:pt idx="1">
                  <c:v>26013.4</c:v>
                </c:pt>
                <c:pt idx="2">
                  <c:v>13700</c:v>
                </c:pt>
                <c:pt idx="3">
                  <c:v>1225</c:v>
                </c:pt>
                <c:pt idx="4">
                  <c:v>600</c:v>
                </c:pt>
              </c:numCache>
            </c:numRef>
          </c:val>
        </c:ser>
        <c:ser>
          <c:idx val="1"/>
          <c:order val="1"/>
          <c:tx>
            <c:strRef>
              <c:f>'[1区委统战部凭证抽查汇总(1).xlsx]项目支出-办公经费（办公费，印刷费，业务委托费，维修费，邮电）'!$J$69</c:f>
              <c:strCache>
                <c:ptCount val="1"/>
                <c:pt idx="0">
                  <c:v>占比</c:v>
                </c:pt>
              </c:strCache>
            </c:strRef>
          </c:tx>
          <c:spPr>
            <a:solidFill>
              <a:schemeClr val="accent2"/>
            </a:solidFill>
            <a:ln>
              <a:noFill/>
            </a:ln>
            <a:effectLst/>
          </c:spPr>
          <c:invertIfNegative val="0"/>
          <c:dLbls>
            <c:delete val="1"/>
          </c:dLbls>
          <c:cat>
            <c:strRef>
              <c:f>'[1区委统战部凭证抽查汇总(1).xlsx]项目支出-办公经费（办公费，印刷费，业务委托费，维修费，邮电）'!$H$70:$H$74</c:f>
              <c:strCache>
                <c:ptCount val="5"/>
                <c:pt idx="0">
                  <c:v>办公费/杂志报刊费</c:v>
                </c:pt>
                <c:pt idx="1">
                  <c:v>印刷费</c:v>
                </c:pt>
                <c:pt idx="2">
                  <c:v>业务委托费/财务报告</c:v>
                </c:pt>
                <c:pt idx="3">
                  <c:v>维修费</c:v>
                </c:pt>
                <c:pt idx="4">
                  <c:v>邮电费/电话费</c:v>
                </c:pt>
              </c:strCache>
            </c:strRef>
          </c:cat>
          <c:val>
            <c:numRef>
              <c:f>'[1区委统战部凭证抽查汇总(1).xlsx]项目支出-办公经费（办公费，印刷费，业务委托费，维修费，邮电）'!$J$70:$J$74</c:f>
              <c:numCache>
                <c:formatCode>0.00%</c:formatCode>
                <c:ptCount val="5"/>
                <c:pt idx="0">
                  <c:v>0.453473818163972</c:v>
                </c:pt>
                <c:pt idx="1">
                  <c:v>0.342261718760793</c:v>
                </c:pt>
                <c:pt idx="2">
                  <c:v>0.180252698494732</c:v>
                </c:pt>
                <c:pt idx="3">
                  <c:v>0.01611748581431</c:v>
                </c:pt>
                <c:pt idx="4">
                  <c:v>0.00789427876619265</c:v>
                </c:pt>
              </c:numCache>
            </c:numRef>
          </c:val>
        </c:ser>
        <c:dLbls>
          <c:showLegendKey val="0"/>
          <c:showVal val="0"/>
          <c:showCatName val="0"/>
          <c:showSerName val="0"/>
          <c:showPercent val="0"/>
          <c:showBubbleSize val="0"/>
        </c:dLbls>
        <c:gapWidth val="216"/>
        <c:overlap val="-32"/>
        <c:axId val="172512992"/>
        <c:axId val="703791965"/>
      </c:barChart>
      <c:catAx>
        <c:axId val="1725129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3791965"/>
        <c:crosses val="autoZero"/>
        <c:auto val="1"/>
        <c:lblAlgn val="ctr"/>
        <c:lblOffset val="100"/>
        <c:noMultiLvlLbl val="0"/>
      </c:catAx>
      <c:valAx>
        <c:axId val="703791965"/>
        <c:scaling>
          <c:orientation val="minMax"/>
        </c:scaling>
        <c:delete val="0"/>
        <c:axPos val="l"/>
        <c:majorGridlines>
          <c:spPr>
            <a:ln w="9525" cap="flat" cmpd="sng" algn="ctr">
              <a:solidFill>
                <a:schemeClr val="lt1">
                  <a:lumMod val="902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2512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ba7b8b58-1c31-4b39-9c98-b30e875d1fd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27">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528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7081</Words>
  <Characters>7669</Characters>
  <Lines>0</Lines>
  <Paragraphs>0</Paragraphs>
  <TotalTime>2</TotalTime>
  <ScaleCrop>false</ScaleCrop>
  <LinksUpToDate>false</LinksUpToDate>
  <CharactersWithSpaces>7719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2023-01-11T06:30:00Z</dcterms:created>
  <dc:creator>符敏（书魁）</dc:creator>
  <cp:lastModifiedBy>邓婷</cp:lastModifiedBy>
  <cp:lastPrinted>2025-07-24T02:37:00Z</cp:lastPrinted>
  <dcterms:modified xsi:type="dcterms:W3CDTF">2026-07-24T02:06:30Z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0BE1205AC04443599B61E6507FA12E2A_13</vt:lpwstr>
  </property>
  <property fmtid="{D5CDD505-2E9C-101B-9397-08002B2CF9AE}" pid="4" name="KSOTemplateDocerSaveRecord">
    <vt:lpwstr>eyJoZGlkIjoiN2Y2YTkzM2Q3ZjFmZDA3MzYxZmZlNThiZjdiNmYxNGYiLCJ1c2VySWQiOiIxMDY5MjgzMDcxIn0=</vt:lpwstr>
  </property>
</Properties>
</file>