
<file path=[Content_Types].xml><?xml version="1.0" encoding="utf-8"?>
<Types xmlns="http://schemas.openxmlformats.org/package/2006/content-types">
  <Default Extension="xml" ContentType="application/xml"/>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846A6">
      <w:pPr>
        <w:widowControl w:val="0"/>
        <w:jc w:val="distribute"/>
        <w:rPr>
          <w:rFonts w:hint="eastAsia" w:ascii="仿宋" w:hAnsi="仿宋" w:eastAsia="仿宋" w:cs="仿宋"/>
          <w:b/>
          <w:bCs/>
          <w:sz w:val="36"/>
          <w:szCs w:val="36"/>
          <w:lang w:eastAsia="zh-CN"/>
        </w:rPr>
      </w:pPr>
      <w:bookmarkStart w:id="57" w:name="_GoBack"/>
      <w:bookmarkEnd w:id="57"/>
      <w:r>
        <w:rPr>
          <w:sz w:val="36"/>
        </w:rPr>
        <mc:AlternateContent>
          <mc:Choice Requires="wps">
            <w:drawing>
              <wp:anchor distT="0" distB="0" distL="114300" distR="114300" simplePos="0" relativeHeight="251662336" behindDoc="0" locked="0" layoutInCell="1" allowOverlap="1">
                <wp:simplePos x="0" y="0"/>
                <wp:positionH relativeFrom="column">
                  <wp:posOffset>5339715</wp:posOffset>
                </wp:positionH>
                <wp:positionV relativeFrom="paragraph">
                  <wp:posOffset>-565150</wp:posOffset>
                </wp:positionV>
                <wp:extent cx="666750" cy="592455"/>
                <wp:effectExtent l="0" t="0" r="0" b="17145"/>
                <wp:wrapNone/>
                <wp:docPr id="40" name="文本框 40"/>
                <wp:cNvGraphicFramePr/>
                <a:graphic xmlns:a="http://schemas.openxmlformats.org/drawingml/2006/main">
                  <a:graphicData uri="http://schemas.microsoft.com/office/word/2010/wordprocessingShape">
                    <wps:wsp>
                      <wps:cNvSpPr txBox="1"/>
                      <wps:spPr>
                        <a:xfrm>
                          <a:off x="0" y="0"/>
                          <a:ext cx="666750" cy="5924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DD29C4">
                            <w:pPr>
                              <w:jc w:val="center"/>
                              <w:rPr>
                                <w:rFonts w:hint="default"/>
                                <w:b/>
                                <w:bCs/>
                                <w:sz w:val="32"/>
                                <w:szCs w:val="32"/>
                                <w:lang w:val="en-US" w:eastAsia="zh-CN"/>
                              </w:rPr>
                            </w:pPr>
                            <w:r>
                              <w:rPr>
                                <w:rFonts w:hint="eastAsia"/>
                                <w:b/>
                                <w:bCs/>
                                <w:sz w:val="32"/>
                                <w:szCs w:val="32"/>
                                <w:lang w:val="en-US" w:eastAsia="zh-CN"/>
                              </w:rPr>
                              <w:t>C6</w:t>
                            </w:r>
                          </w:p>
                          <w:p w14:paraId="2C473F4B">
                            <w:pPr>
                              <w:jc w:val="center"/>
                              <w:rPr>
                                <w:rFonts w:hint="default"/>
                                <w:b/>
                                <w:bCs/>
                                <w:sz w:val="32"/>
                                <w:szCs w:val="32"/>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0.45pt;margin-top:-44.5pt;height:46.65pt;width:52.5pt;z-index:251662336;mso-width-relative:page;mso-height-relative:page;" fillcolor="#FFFFFF [3201]" filled="t" stroked="f" coordsize="21600,21600" o:gfxdata="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CWtbdrVAAAACQEAAA8AAAAAAAAA&#10;AQAgAAAAIgAAAGRycy9kb3ducmV2LnhtbFBLAQIUABQAAAAIAIdO4kC8koLiTQIAAJAEAAAOAAAA&#10;AAAAAAEAIAAAACQBAABkcnMvZTJvRG9jLnhtbFBLBQYAAAAABgAGAFkBAADjBQAAAAA=&#10;">
                <v:fill on="t" focussize="0,0"/>
                <v:stroke on="f" weight="0.5pt"/>
                <v:imagedata o:title=""/>
                <o:lock v:ext="edit" aspectratio="f"/>
                <v:textbox>
                  <w:txbxContent>
                    <w:p w14:paraId="47DD29C4">
                      <w:pPr>
                        <w:jc w:val="center"/>
                        <w:rPr>
                          <w:rFonts w:hint="default"/>
                          <w:b/>
                          <w:bCs/>
                          <w:sz w:val="32"/>
                          <w:szCs w:val="32"/>
                          <w:lang w:val="en-US" w:eastAsia="zh-CN"/>
                        </w:rPr>
                      </w:pPr>
                      <w:r>
                        <w:rPr>
                          <w:rFonts w:hint="eastAsia"/>
                          <w:b/>
                          <w:bCs/>
                          <w:sz w:val="32"/>
                          <w:szCs w:val="32"/>
                          <w:lang w:val="en-US" w:eastAsia="zh-CN"/>
                        </w:rPr>
                        <w:t>C6</w:t>
                      </w:r>
                    </w:p>
                    <w:p w14:paraId="2C473F4B">
                      <w:pPr>
                        <w:jc w:val="center"/>
                        <w:rPr>
                          <w:rFonts w:hint="default"/>
                          <w:b/>
                          <w:bCs/>
                          <w:sz w:val="32"/>
                          <w:szCs w:val="32"/>
                          <w:lang w:val="en-US" w:eastAsia="zh-CN"/>
                        </w:rPr>
                      </w:pPr>
                    </w:p>
                  </w:txbxContent>
                </v:textbox>
              </v:shape>
            </w:pict>
          </mc:Fallback>
        </mc:AlternateContent>
      </w:r>
      <w:r>
        <w:rPr>
          <w:rFonts w:hint="eastAsia" w:ascii="仿宋" w:hAnsi="仿宋" w:eastAsia="仿宋" w:cs="仿宋"/>
          <w:b/>
          <w:bCs/>
          <w:sz w:val="36"/>
          <w:szCs w:val="36"/>
          <w:lang w:eastAsia="zh-CN"/>
        </w:rPr>
        <w:t>湖南浩元会计师事务所（普通合伙）</w:t>
      </w:r>
    </w:p>
    <w:p w14:paraId="2EE52B05">
      <w:pPr>
        <w:widowControl w:val="0"/>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HunanHaoyuanCertifiedPublicAccountantsGP</w:t>
      </w:r>
    </w:p>
    <w:p w14:paraId="05C4277D">
      <w:pPr>
        <w:widowControl w:val="0"/>
        <w:jc w:val="center"/>
        <w:rPr>
          <w:rFonts w:hint="eastAsia" w:ascii="仿宋" w:hAnsi="仿宋" w:eastAsia="仿宋" w:cs="仿宋"/>
          <w:sz w:val="32"/>
          <w:szCs w:val="32"/>
          <w:lang w:eastAsia="zh-CN"/>
        </w:rPr>
      </w:pPr>
    </w:p>
    <w:p w14:paraId="2CE24707">
      <w:pPr>
        <w:widowControl w:val="0"/>
        <w:jc w:val="both"/>
        <w:rPr>
          <w:rFonts w:hint="eastAsia" w:ascii="仿宋" w:hAnsi="仿宋" w:eastAsia="仿宋" w:cs="仿宋"/>
          <w:sz w:val="32"/>
          <w:szCs w:val="32"/>
          <w:lang w:eastAsia="zh-CN"/>
        </w:rPr>
      </w:pPr>
    </w:p>
    <w:p w14:paraId="4BA2C105">
      <w:pPr>
        <w:widowControl w:val="0"/>
        <w:jc w:val="both"/>
        <w:rPr>
          <w:rFonts w:hint="eastAsia" w:ascii="仿宋" w:hAnsi="仿宋" w:eastAsia="仿宋" w:cs="仿宋"/>
          <w:sz w:val="32"/>
          <w:szCs w:val="32"/>
          <w:lang w:eastAsia="zh-CN"/>
        </w:rPr>
      </w:pPr>
    </w:p>
    <w:p w14:paraId="7F0AE20D">
      <w:pPr>
        <w:widowControl w:val="0"/>
        <w:jc w:val="center"/>
        <w:rPr>
          <w:rFonts w:hint="eastAsia" w:ascii="方正隶二简体" w:hAnsi="方正隶二简体" w:eastAsia="方正隶二简体" w:cs="方正隶二简体"/>
          <w:sz w:val="72"/>
          <w:szCs w:val="72"/>
          <w:lang w:eastAsia="zh-CN"/>
        </w:rPr>
      </w:pPr>
      <w:r>
        <w:rPr>
          <w:rFonts w:hint="eastAsia" w:ascii="方正隶二简体" w:hAnsi="方正隶二简体" w:eastAsia="方正隶二简体" w:cs="方正隶二简体"/>
          <w:sz w:val="72"/>
          <w:szCs w:val="72"/>
          <w:lang w:val="en-US" w:eastAsia="zh-CN"/>
        </w:rPr>
        <w:t>绩效评价</w:t>
      </w:r>
      <w:r>
        <w:rPr>
          <w:rFonts w:hint="eastAsia" w:ascii="方正隶二简体" w:hAnsi="方正隶二简体" w:eastAsia="方正隶二简体" w:cs="方正隶二简体"/>
          <w:sz w:val="72"/>
          <w:szCs w:val="72"/>
          <w:lang w:eastAsia="zh-CN"/>
        </w:rPr>
        <w:t>报告</w:t>
      </w:r>
    </w:p>
    <w:p w14:paraId="59FC2698">
      <w:pPr>
        <w:widowControl w:val="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湘浩元</w:t>
      </w:r>
      <w:r>
        <w:rPr>
          <w:rFonts w:hint="eastAsia" w:ascii="仿宋" w:hAnsi="仿宋" w:eastAsia="仿宋" w:cs="仿宋"/>
          <w:sz w:val="32"/>
          <w:szCs w:val="32"/>
          <w:lang w:val="en-US" w:eastAsia="zh-CN"/>
        </w:rPr>
        <w:t>评</w:t>
      </w:r>
      <w:r>
        <w:rPr>
          <w:rFonts w:hint="eastAsia" w:ascii="仿宋" w:hAnsi="仿宋" w:eastAsia="仿宋" w:cs="仿宋"/>
          <w:sz w:val="32"/>
          <w:szCs w:val="32"/>
          <w:lang w:eastAsia="zh-CN"/>
        </w:rPr>
        <w:t>字[202</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]第号</w:t>
      </w:r>
    </w:p>
    <w:p w14:paraId="5FA7B718">
      <w:pPr>
        <w:widowControl w:val="0"/>
        <w:jc w:val="center"/>
        <w:rPr>
          <w:rFonts w:hint="eastAsia" w:ascii="仿宋" w:hAnsi="仿宋" w:eastAsia="仿宋" w:cs="仿宋"/>
          <w:sz w:val="32"/>
          <w:szCs w:val="32"/>
          <w:lang w:eastAsia="zh-CN"/>
        </w:rPr>
      </w:pPr>
    </w:p>
    <w:p w14:paraId="24348FBC">
      <w:pPr>
        <w:widowControl w:val="0"/>
        <w:jc w:val="both"/>
        <w:rPr>
          <w:rFonts w:hint="eastAsia" w:ascii="仿宋" w:hAnsi="仿宋" w:eastAsia="仿宋" w:cs="仿宋"/>
          <w:sz w:val="32"/>
          <w:szCs w:val="32"/>
          <w:lang w:eastAsia="zh-CN"/>
        </w:rPr>
      </w:pPr>
    </w:p>
    <w:p w14:paraId="60A0E5B7">
      <w:pPr>
        <w:widowControl w:val="0"/>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2024年雁峰区科学技术协会</w:t>
      </w:r>
    </w:p>
    <w:p w14:paraId="08E74D41">
      <w:pPr>
        <w:widowControl w:val="0"/>
        <w:jc w:val="center"/>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部门整体支出</w:t>
      </w:r>
    </w:p>
    <w:p w14:paraId="4B8D29C5">
      <w:pPr>
        <w:keepNext w:val="0"/>
        <w:keepLines w:val="0"/>
        <w:pageBreakBefore w:val="0"/>
        <w:widowControl/>
        <w:kinsoku/>
        <w:wordWrap/>
        <w:overflowPunct/>
        <w:topLinePunct w:val="0"/>
        <w:autoSpaceDE/>
        <w:autoSpaceDN/>
        <w:bidi w:val="0"/>
        <w:adjustRightInd/>
        <w:snapToGrid/>
        <w:spacing w:before="567" w:line="360" w:lineRule="auto"/>
        <w:jc w:val="both"/>
        <w:textAlignment w:val="auto"/>
        <w:rPr>
          <w:rFonts w:hint="eastAsia" w:ascii="黑体" w:hAnsi="黑体" w:eastAsia="黑体" w:cs="黑体"/>
          <w:sz w:val="52"/>
          <w:szCs w:val="52"/>
          <w:u w:val="none"/>
          <w:lang w:eastAsia="zh-CN"/>
        </w:rPr>
      </w:pPr>
    </w:p>
    <w:p w14:paraId="73DC98AA">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default"/>
          <w:u w:val="none"/>
          <w:lang w:val="en-US" w:eastAsia="zh-CN"/>
        </w:rPr>
      </w:pPr>
    </w:p>
    <w:p w14:paraId="568F011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sz w:val="32"/>
          <w:szCs w:val="32"/>
          <w:u w:val="none"/>
          <w:lang w:val="en-US" w:eastAsia="zh-CN"/>
        </w:rPr>
      </w:pPr>
    </w:p>
    <w:p w14:paraId="69164F4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sz w:val="32"/>
          <w:szCs w:val="32"/>
          <w:u w:val="none"/>
          <w:lang w:val="en-US" w:eastAsia="zh-CN"/>
        </w:rPr>
      </w:pPr>
    </w:p>
    <w:p w14:paraId="2214E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b/>
          <w:bCs/>
          <w:sz w:val="32"/>
          <w:szCs w:val="32"/>
          <w:u w:val="none"/>
          <w:lang w:val="en-US" w:eastAsia="zh-CN"/>
        </w:rPr>
      </w:pPr>
      <w:r>
        <w:rPr>
          <w:rFonts w:hint="eastAsia" w:ascii="宋体" w:hAnsi="宋体" w:eastAsia="宋体" w:cs="宋体"/>
          <w:b/>
          <w:bCs/>
          <w:sz w:val="32"/>
          <w:szCs w:val="32"/>
          <w:u w:val="none"/>
          <w:lang w:val="en-US" w:eastAsia="zh-CN"/>
        </w:rPr>
        <w:t>项目单位：雁峰区科学技术协会</w:t>
      </w:r>
    </w:p>
    <w:p w14:paraId="4665F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b/>
          <w:bCs/>
          <w:sz w:val="32"/>
          <w:szCs w:val="32"/>
          <w:u w:val="none"/>
          <w:lang w:val="en-US" w:eastAsia="zh-CN"/>
        </w:rPr>
      </w:pPr>
      <w:r>
        <w:rPr>
          <w:rFonts w:hint="eastAsia" w:ascii="宋体" w:hAnsi="宋体" w:eastAsia="宋体" w:cs="宋体"/>
          <w:b/>
          <w:bCs/>
          <w:sz w:val="32"/>
          <w:szCs w:val="32"/>
          <w:u w:val="none"/>
          <w:lang w:val="en-US" w:eastAsia="zh-CN"/>
        </w:rPr>
        <w:t>主管单位</w:t>
      </w:r>
      <w:r>
        <w:rPr>
          <w:rFonts w:hint="eastAsia" w:ascii="宋体" w:hAnsi="宋体" w:eastAsia="宋体" w:cs="宋体"/>
          <w:b/>
          <w:bCs/>
          <w:sz w:val="32"/>
          <w:szCs w:val="32"/>
          <w:highlight w:val="none"/>
          <w:u w:val="none"/>
          <w:lang w:val="en-US" w:eastAsia="zh-CN"/>
        </w:rPr>
        <w:t>：雁峰区人民政府</w:t>
      </w:r>
    </w:p>
    <w:p w14:paraId="7BC4045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sz w:val="32"/>
          <w:szCs w:val="32"/>
          <w:u w:val="none"/>
          <w:lang w:val="en-US" w:eastAsia="zh-CN"/>
        </w:rPr>
      </w:pPr>
      <w:r>
        <w:rPr>
          <w:rFonts w:hint="eastAsia" w:ascii="宋体" w:hAnsi="宋体" w:eastAsia="宋体" w:cs="宋体"/>
          <w:b/>
          <w:bCs/>
          <w:sz w:val="32"/>
          <w:szCs w:val="32"/>
          <w:u w:val="none"/>
          <w:lang w:val="en-US" w:eastAsia="zh-CN"/>
        </w:rPr>
        <w:t>委托单位：雁峰区财政局</w:t>
      </w:r>
    </w:p>
    <w:p w14:paraId="0179B9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b/>
          <w:bCs/>
          <w:sz w:val="32"/>
          <w:szCs w:val="32"/>
          <w:u w:val="none"/>
          <w:lang w:val="en-US" w:eastAsia="zh-CN"/>
        </w:rPr>
      </w:pPr>
      <w:r>
        <w:rPr>
          <w:rFonts w:hint="eastAsia" w:ascii="宋体" w:hAnsi="宋体" w:eastAsia="宋体" w:cs="宋体"/>
          <w:b/>
          <w:bCs/>
          <w:spacing w:val="320"/>
          <w:kern w:val="0"/>
          <w:sz w:val="32"/>
          <w:szCs w:val="32"/>
          <w:u w:val="none"/>
          <w:fitText w:val="1280" w:id="2085554003"/>
          <w:lang w:val="en-US" w:eastAsia="zh-CN"/>
        </w:rPr>
        <w:t>日</w:t>
      </w:r>
      <w:r>
        <w:rPr>
          <w:rFonts w:hint="eastAsia" w:ascii="宋体" w:hAnsi="宋体" w:eastAsia="宋体" w:cs="宋体"/>
          <w:b/>
          <w:bCs/>
          <w:spacing w:val="0"/>
          <w:kern w:val="0"/>
          <w:sz w:val="32"/>
          <w:szCs w:val="32"/>
          <w:u w:val="none"/>
          <w:fitText w:val="1280" w:id="2085554003"/>
          <w:lang w:val="en-US" w:eastAsia="zh-CN"/>
        </w:rPr>
        <w:t>期</w:t>
      </w:r>
      <w:r>
        <w:rPr>
          <w:rFonts w:hint="eastAsia" w:ascii="宋体" w:hAnsi="宋体" w:eastAsia="宋体" w:cs="宋体"/>
          <w:b/>
          <w:bCs/>
          <w:sz w:val="32"/>
          <w:szCs w:val="32"/>
          <w:u w:val="none"/>
          <w:lang w:val="en-US" w:eastAsia="zh-CN"/>
        </w:rPr>
        <w:t>：2025年10月21日</w:t>
      </w:r>
    </w:p>
    <w:p w14:paraId="482C60CD">
      <w:pPr>
        <w:pStyle w:val="10"/>
        <w:tabs>
          <w:tab w:val="right" w:leader="dot" w:pos="8306"/>
        </w:tabs>
        <w:ind w:firstLine="643" w:firstLineChars="200"/>
        <w:jc w:val="center"/>
        <w:rPr>
          <w:rFonts w:hint="default" w:asciiTheme="minorAscii" w:hAnsiTheme="minorAscii" w:eastAsiaTheme="minorEastAsia"/>
          <w:b/>
          <w:bCs/>
          <w:sz w:val="32"/>
          <w:szCs w:val="36"/>
          <w:u w:val="none"/>
          <w:lang w:val="en-US" w:eastAsia="zh-CN"/>
        </w:rPr>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32" w:charSpace="0"/>
        </w:sectPr>
      </w:pPr>
    </w:p>
    <w:p w14:paraId="3EF9BD3A">
      <w:pPr>
        <w:pStyle w:val="10"/>
        <w:keepNext w:val="0"/>
        <w:keepLines w:val="0"/>
        <w:pageBreakBefore w:val="0"/>
        <w:widowControl/>
        <w:tabs>
          <w:tab w:val="center" w:pos="4210"/>
          <w:tab w:val="left" w:pos="5980"/>
          <w:tab w:val="right" w:leader="dot" w:pos="8300"/>
        </w:tabs>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pacing w:val="280"/>
          <w:kern w:val="0"/>
          <w:sz w:val="44"/>
          <w:szCs w:val="44"/>
          <w:fitText w:val="1440" w:id="1955599196"/>
          <w:lang w:val="en-US" w:eastAsia="zh-CN"/>
        </w:rPr>
        <w:t>目</w:t>
      </w:r>
      <w:r>
        <w:rPr>
          <w:rFonts w:hint="eastAsia" w:ascii="方正小标宋简体" w:hAnsi="方正小标宋简体" w:eastAsia="方正小标宋简体" w:cs="方正小标宋简体"/>
          <w:b/>
          <w:bCs/>
          <w:spacing w:val="0"/>
          <w:kern w:val="0"/>
          <w:sz w:val="44"/>
          <w:szCs w:val="44"/>
          <w:fitText w:val="1440" w:id="1955599196"/>
          <w:lang w:val="en-US" w:eastAsia="zh-CN"/>
        </w:rPr>
        <w:t>录</w:t>
      </w:r>
    </w:p>
    <w:p w14:paraId="2C76882B">
      <w:pPr>
        <w:pStyle w:val="10"/>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TOC \o "1-3" \h \u </w:instrText>
      </w:r>
      <w:r>
        <w:rPr>
          <w:rFonts w:hint="default"/>
          <w:sz w:val="32"/>
          <w:szCs w:val="32"/>
          <w:lang w:val="en-US" w:eastAsia="zh-CN"/>
        </w:rPr>
        <w:fldChar w:fldCharType="separate"/>
      </w:r>
      <w:r>
        <w:rPr>
          <w:rFonts w:hint="default"/>
          <w:sz w:val="32"/>
          <w:szCs w:val="32"/>
          <w:lang w:val="en-US" w:eastAsia="zh-CN"/>
        </w:rPr>
        <w:fldChar w:fldCharType="begin"/>
      </w:r>
      <w:r>
        <w:rPr>
          <w:rFonts w:hint="default"/>
          <w:sz w:val="32"/>
          <w:szCs w:val="32"/>
          <w:lang w:val="en-US" w:eastAsia="zh-CN"/>
        </w:rPr>
        <w:instrText xml:space="preserve"> HYPERLINK \l _Toc10813 </w:instrText>
      </w:r>
      <w:r>
        <w:rPr>
          <w:rFonts w:hint="default"/>
          <w:sz w:val="32"/>
          <w:szCs w:val="32"/>
          <w:lang w:val="en-US" w:eastAsia="zh-CN"/>
        </w:rPr>
        <w:fldChar w:fldCharType="separate"/>
      </w:r>
      <w:r>
        <w:rPr>
          <w:rFonts w:hint="eastAsia" w:ascii="黑体" w:hAnsi="黑体" w:eastAsia="黑体" w:cs="黑体"/>
          <w:sz w:val="32"/>
          <w:szCs w:val="32"/>
          <w:lang w:eastAsia="zh-CN"/>
        </w:rPr>
        <w:t>一、</w:t>
      </w:r>
      <w:r>
        <w:rPr>
          <w:rFonts w:hint="eastAsia" w:ascii="黑体" w:hAnsi="黑体" w:eastAsia="黑体" w:cs="黑体"/>
          <w:sz w:val="32"/>
          <w:szCs w:val="32"/>
          <w:lang w:val="en-US" w:eastAsia="zh-CN"/>
        </w:rPr>
        <w:t>绩效评价基本</w:t>
      </w:r>
      <w:r>
        <w:rPr>
          <w:rFonts w:hint="eastAsia" w:ascii="黑体" w:hAnsi="黑体" w:eastAsia="黑体" w:cs="黑体"/>
          <w:sz w:val="32"/>
          <w:szCs w:val="32"/>
        </w:rPr>
        <w:t>情况</w:t>
      </w:r>
      <w:r>
        <w:rPr>
          <w:sz w:val="32"/>
          <w:szCs w:val="32"/>
        </w:rPr>
        <w:tab/>
      </w:r>
      <w:r>
        <w:rPr>
          <w:sz w:val="32"/>
          <w:szCs w:val="32"/>
        </w:rPr>
        <w:fldChar w:fldCharType="begin"/>
      </w:r>
      <w:r>
        <w:rPr>
          <w:sz w:val="32"/>
          <w:szCs w:val="32"/>
        </w:rPr>
        <w:instrText xml:space="preserve"> PAGEREF _Toc10813 \h </w:instrText>
      </w:r>
      <w:r>
        <w:rPr>
          <w:sz w:val="32"/>
          <w:szCs w:val="32"/>
        </w:rPr>
        <w:fldChar w:fldCharType="separate"/>
      </w:r>
      <w:r>
        <w:rPr>
          <w:sz w:val="32"/>
          <w:szCs w:val="32"/>
        </w:rPr>
        <w:t>1</w:t>
      </w:r>
      <w:r>
        <w:rPr>
          <w:sz w:val="32"/>
          <w:szCs w:val="32"/>
        </w:rPr>
        <w:fldChar w:fldCharType="end"/>
      </w:r>
      <w:r>
        <w:rPr>
          <w:rFonts w:hint="default"/>
          <w:sz w:val="32"/>
          <w:szCs w:val="32"/>
          <w:lang w:val="en-US" w:eastAsia="zh-CN"/>
        </w:rPr>
        <w:fldChar w:fldCharType="end"/>
      </w:r>
    </w:p>
    <w:p w14:paraId="69A40E2A">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_Toc26235 </w:instrText>
      </w:r>
      <w:r>
        <w:rPr>
          <w:rFonts w:hint="default"/>
          <w:sz w:val="32"/>
          <w:szCs w:val="32"/>
          <w:lang w:val="en-US" w:eastAsia="zh-CN"/>
        </w:rPr>
        <w:fldChar w:fldCharType="separate"/>
      </w:r>
      <w:r>
        <w:rPr>
          <w:rFonts w:hint="eastAsia" w:ascii="楷体" w:hAnsi="楷体" w:eastAsia="楷体" w:cs="楷体"/>
          <w:bCs/>
          <w:sz w:val="32"/>
          <w:szCs w:val="32"/>
        </w:rPr>
        <w:t>（一）</w:t>
      </w:r>
      <w:r>
        <w:rPr>
          <w:rFonts w:hint="eastAsia" w:ascii="楷体" w:hAnsi="楷体" w:eastAsia="楷体" w:cs="楷体"/>
          <w:bCs/>
          <w:sz w:val="32"/>
          <w:szCs w:val="32"/>
          <w:lang w:val="en-US" w:eastAsia="zh-CN"/>
        </w:rPr>
        <w:t>评价</w:t>
      </w:r>
      <w:r>
        <w:rPr>
          <w:rFonts w:hint="eastAsia" w:ascii="楷体" w:hAnsi="楷体" w:eastAsia="楷体" w:cs="楷体"/>
          <w:bCs/>
          <w:sz w:val="32"/>
          <w:szCs w:val="32"/>
        </w:rPr>
        <w:t>对象和范围</w:t>
      </w:r>
      <w:r>
        <w:rPr>
          <w:sz w:val="32"/>
          <w:szCs w:val="32"/>
        </w:rPr>
        <w:tab/>
      </w:r>
      <w:r>
        <w:rPr>
          <w:sz w:val="32"/>
          <w:szCs w:val="32"/>
        </w:rPr>
        <w:fldChar w:fldCharType="begin"/>
      </w:r>
      <w:r>
        <w:rPr>
          <w:sz w:val="32"/>
          <w:szCs w:val="32"/>
        </w:rPr>
        <w:instrText xml:space="preserve"> PAGEREF _Toc26235 \h </w:instrText>
      </w:r>
      <w:r>
        <w:rPr>
          <w:sz w:val="32"/>
          <w:szCs w:val="32"/>
        </w:rPr>
        <w:fldChar w:fldCharType="separate"/>
      </w:r>
      <w:r>
        <w:rPr>
          <w:sz w:val="32"/>
          <w:szCs w:val="32"/>
        </w:rPr>
        <w:t>1</w:t>
      </w:r>
      <w:r>
        <w:rPr>
          <w:sz w:val="32"/>
          <w:szCs w:val="32"/>
        </w:rPr>
        <w:fldChar w:fldCharType="end"/>
      </w:r>
      <w:r>
        <w:rPr>
          <w:rFonts w:hint="default"/>
          <w:sz w:val="32"/>
          <w:szCs w:val="32"/>
          <w:lang w:val="en-US" w:eastAsia="zh-CN"/>
        </w:rPr>
        <w:fldChar w:fldCharType="end"/>
      </w:r>
    </w:p>
    <w:p w14:paraId="2C433A6F">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_Toc7616 </w:instrText>
      </w:r>
      <w:r>
        <w:rPr>
          <w:rFonts w:hint="default"/>
          <w:sz w:val="32"/>
          <w:szCs w:val="32"/>
          <w:lang w:val="en-US" w:eastAsia="zh-CN"/>
        </w:rPr>
        <w:fldChar w:fldCharType="separate"/>
      </w:r>
      <w:r>
        <w:rPr>
          <w:rFonts w:hint="eastAsia" w:ascii="楷体" w:hAnsi="楷体" w:eastAsia="楷体" w:cs="楷体"/>
          <w:bCs/>
          <w:sz w:val="32"/>
          <w:szCs w:val="32"/>
        </w:rPr>
        <w:t>（二）</w:t>
      </w:r>
      <w:r>
        <w:rPr>
          <w:rFonts w:hint="eastAsia" w:ascii="楷体" w:hAnsi="楷体" w:eastAsia="楷体" w:cs="楷体"/>
          <w:bCs/>
          <w:sz w:val="32"/>
          <w:szCs w:val="32"/>
          <w:lang w:val="en-US" w:eastAsia="zh-CN"/>
        </w:rPr>
        <w:t>评价</w:t>
      </w:r>
      <w:r>
        <w:rPr>
          <w:rFonts w:hint="eastAsia" w:ascii="楷体" w:hAnsi="楷体" w:eastAsia="楷体" w:cs="楷体"/>
          <w:bCs/>
          <w:sz w:val="32"/>
          <w:szCs w:val="32"/>
        </w:rPr>
        <w:t>依据</w:t>
      </w:r>
      <w:r>
        <w:rPr>
          <w:sz w:val="32"/>
          <w:szCs w:val="32"/>
        </w:rPr>
        <w:tab/>
      </w:r>
      <w:r>
        <w:rPr>
          <w:sz w:val="32"/>
          <w:szCs w:val="32"/>
        </w:rPr>
        <w:fldChar w:fldCharType="begin"/>
      </w:r>
      <w:r>
        <w:rPr>
          <w:sz w:val="32"/>
          <w:szCs w:val="32"/>
        </w:rPr>
        <w:instrText xml:space="preserve"> PAGEREF _Toc7616 \h </w:instrText>
      </w:r>
      <w:r>
        <w:rPr>
          <w:sz w:val="32"/>
          <w:szCs w:val="32"/>
        </w:rPr>
        <w:fldChar w:fldCharType="separate"/>
      </w:r>
      <w:r>
        <w:rPr>
          <w:sz w:val="32"/>
          <w:szCs w:val="32"/>
        </w:rPr>
        <w:t>2</w:t>
      </w:r>
      <w:r>
        <w:rPr>
          <w:sz w:val="32"/>
          <w:szCs w:val="32"/>
        </w:rPr>
        <w:fldChar w:fldCharType="end"/>
      </w:r>
      <w:r>
        <w:rPr>
          <w:rFonts w:hint="default"/>
          <w:sz w:val="32"/>
          <w:szCs w:val="32"/>
          <w:lang w:val="en-US" w:eastAsia="zh-CN"/>
        </w:rPr>
        <w:fldChar w:fldCharType="end"/>
      </w:r>
    </w:p>
    <w:p w14:paraId="230A7BA4">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_Toc5924 </w:instrText>
      </w:r>
      <w:r>
        <w:rPr>
          <w:rFonts w:hint="default"/>
          <w:sz w:val="32"/>
          <w:szCs w:val="32"/>
          <w:lang w:val="en-US" w:eastAsia="zh-CN"/>
        </w:rPr>
        <w:fldChar w:fldCharType="separate"/>
      </w:r>
      <w:r>
        <w:rPr>
          <w:rFonts w:hint="eastAsia" w:ascii="楷体" w:hAnsi="楷体" w:eastAsia="楷体" w:cs="楷体"/>
          <w:bCs/>
          <w:sz w:val="32"/>
          <w:szCs w:val="32"/>
        </w:rPr>
        <w:t>（三）</w:t>
      </w:r>
      <w:r>
        <w:rPr>
          <w:rFonts w:hint="eastAsia" w:ascii="楷体" w:hAnsi="楷体" w:eastAsia="楷体" w:cs="楷体"/>
          <w:bCs/>
          <w:sz w:val="32"/>
          <w:szCs w:val="32"/>
          <w:lang w:val="en-US" w:eastAsia="zh-CN"/>
        </w:rPr>
        <w:t>评价方法和目的</w:t>
      </w:r>
      <w:r>
        <w:rPr>
          <w:sz w:val="32"/>
          <w:szCs w:val="32"/>
        </w:rPr>
        <w:tab/>
      </w:r>
      <w:r>
        <w:rPr>
          <w:sz w:val="32"/>
          <w:szCs w:val="32"/>
        </w:rPr>
        <w:fldChar w:fldCharType="begin"/>
      </w:r>
      <w:r>
        <w:rPr>
          <w:sz w:val="32"/>
          <w:szCs w:val="32"/>
        </w:rPr>
        <w:instrText xml:space="preserve"> PAGEREF _Toc5924 \h </w:instrText>
      </w:r>
      <w:r>
        <w:rPr>
          <w:sz w:val="32"/>
          <w:szCs w:val="32"/>
        </w:rPr>
        <w:fldChar w:fldCharType="separate"/>
      </w:r>
      <w:r>
        <w:rPr>
          <w:sz w:val="32"/>
          <w:szCs w:val="32"/>
        </w:rPr>
        <w:t>3</w:t>
      </w:r>
      <w:r>
        <w:rPr>
          <w:sz w:val="32"/>
          <w:szCs w:val="32"/>
        </w:rPr>
        <w:fldChar w:fldCharType="end"/>
      </w:r>
      <w:r>
        <w:rPr>
          <w:rFonts w:hint="default"/>
          <w:sz w:val="32"/>
          <w:szCs w:val="32"/>
          <w:lang w:val="en-US" w:eastAsia="zh-CN"/>
        </w:rPr>
        <w:fldChar w:fldCharType="end"/>
      </w:r>
    </w:p>
    <w:p w14:paraId="48FB7220">
      <w:pPr>
        <w:pStyle w:val="10"/>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_Toc25552 </w:instrText>
      </w:r>
      <w:r>
        <w:rPr>
          <w:rFonts w:hint="default"/>
          <w:sz w:val="32"/>
          <w:szCs w:val="32"/>
          <w:lang w:val="en-US" w:eastAsia="zh-CN"/>
        </w:rPr>
        <w:fldChar w:fldCharType="separate"/>
      </w:r>
      <w:r>
        <w:rPr>
          <w:rFonts w:hint="eastAsia" w:ascii="黑体" w:hAnsi="黑体" w:eastAsia="黑体" w:cs="黑体"/>
          <w:sz w:val="32"/>
          <w:szCs w:val="32"/>
          <w:lang w:eastAsia="zh-CN"/>
        </w:rPr>
        <w:t>二、</w:t>
      </w:r>
      <w:r>
        <w:rPr>
          <w:rFonts w:hint="eastAsia" w:ascii="黑体" w:hAnsi="黑体" w:eastAsia="黑体" w:cs="黑体"/>
          <w:sz w:val="32"/>
          <w:szCs w:val="32"/>
          <w:lang w:val="en-US" w:eastAsia="zh-CN"/>
        </w:rPr>
        <w:t>部门基本</w:t>
      </w:r>
      <w:r>
        <w:rPr>
          <w:rFonts w:hint="eastAsia" w:ascii="黑体" w:hAnsi="黑体" w:eastAsia="黑体" w:cs="黑体"/>
          <w:sz w:val="32"/>
          <w:szCs w:val="32"/>
          <w:lang w:eastAsia="zh-CN"/>
        </w:rPr>
        <w:t>情况</w:t>
      </w:r>
      <w:r>
        <w:rPr>
          <w:sz w:val="32"/>
          <w:szCs w:val="32"/>
        </w:rPr>
        <w:tab/>
      </w:r>
      <w:r>
        <w:rPr>
          <w:sz w:val="32"/>
          <w:szCs w:val="32"/>
        </w:rPr>
        <w:fldChar w:fldCharType="begin"/>
      </w:r>
      <w:r>
        <w:rPr>
          <w:sz w:val="32"/>
          <w:szCs w:val="32"/>
        </w:rPr>
        <w:instrText xml:space="preserve"> PAGEREF _Toc25552 \h </w:instrText>
      </w:r>
      <w:r>
        <w:rPr>
          <w:sz w:val="32"/>
          <w:szCs w:val="32"/>
        </w:rPr>
        <w:fldChar w:fldCharType="separate"/>
      </w:r>
      <w:r>
        <w:rPr>
          <w:sz w:val="32"/>
          <w:szCs w:val="32"/>
        </w:rPr>
        <w:t>4</w:t>
      </w:r>
      <w:r>
        <w:rPr>
          <w:sz w:val="32"/>
          <w:szCs w:val="32"/>
        </w:rPr>
        <w:fldChar w:fldCharType="end"/>
      </w:r>
      <w:r>
        <w:rPr>
          <w:rFonts w:hint="default"/>
          <w:sz w:val="32"/>
          <w:szCs w:val="32"/>
          <w:lang w:val="en-US" w:eastAsia="zh-CN"/>
        </w:rPr>
        <w:fldChar w:fldCharType="end"/>
      </w:r>
    </w:p>
    <w:p w14:paraId="0A97331E">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_Toc20468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（一）</w:t>
      </w:r>
      <w:r>
        <w:rPr>
          <w:rFonts w:hint="eastAsia" w:ascii="楷体" w:hAnsi="楷体" w:eastAsia="楷体" w:cs="楷体"/>
          <w:bCs/>
          <w:sz w:val="32"/>
          <w:szCs w:val="32"/>
          <w:lang w:eastAsia="zh-CN"/>
        </w:rPr>
        <w:t>部门</w:t>
      </w:r>
      <w:r>
        <w:rPr>
          <w:rFonts w:hint="eastAsia" w:ascii="楷体" w:hAnsi="楷体" w:eastAsia="楷体" w:cs="楷体"/>
          <w:bCs/>
          <w:sz w:val="32"/>
          <w:szCs w:val="32"/>
          <w:lang w:val="en-US" w:eastAsia="zh-CN"/>
        </w:rPr>
        <w:t>基本信息</w:t>
      </w:r>
      <w:r>
        <w:rPr>
          <w:sz w:val="32"/>
          <w:szCs w:val="32"/>
        </w:rPr>
        <w:tab/>
      </w:r>
      <w:r>
        <w:rPr>
          <w:sz w:val="32"/>
          <w:szCs w:val="32"/>
        </w:rPr>
        <w:fldChar w:fldCharType="begin"/>
      </w:r>
      <w:r>
        <w:rPr>
          <w:sz w:val="32"/>
          <w:szCs w:val="32"/>
        </w:rPr>
        <w:instrText xml:space="preserve"> PAGEREF _Toc20468 \h </w:instrText>
      </w:r>
      <w:r>
        <w:rPr>
          <w:sz w:val="32"/>
          <w:szCs w:val="32"/>
        </w:rPr>
        <w:fldChar w:fldCharType="separate"/>
      </w:r>
      <w:r>
        <w:rPr>
          <w:sz w:val="32"/>
          <w:szCs w:val="32"/>
        </w:rPr>
        <w:t>4</w:t>
      </w:r>
      <w:r>
        <w:rPr>
          <w:sz w:val="32"/>
          <w:szCs w:val="32"/>
        </w:rPr>
        <w:fldChar w:fldCharType="end"/>
      </w:r>
      <w:r>
        <w:rPr>
          <w:rFonts w:hint="default"/>
          <w:sz w:val="32"/>
          <w:szCs w:val="32"/>
          <w:lang w:val="en-US" w:eastAsia="zh-CN"/>
        </w:rPr>
        <w:fldChar w:fldCharType="end"/>
      </w:r>
    </w:p>
    <w:p w14:paraId="240C8886">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_Toc24316 </w:instrText>
      </w:r>
      <w:r>
        <w:rPr>
          <w:rFonts w:hint="default"/>
          <w:sz w:val="32"/>
          <w:szCs w:val="32"/>
          <w:lang w:val="en-US" w:eastAsia="zh-CN"/>
        </w:rPr>
        <w:fldChar w:fldCharType="separate"/>
      </w:r>
      <w:r>
        <w:rPr>
          <w:rFonts w:hint="eastAsia" w:ascii="楷体" w:hAnsi="楷体" w:eastAsia="楷体" w:cs="楷体"/>
          <w:bCs/>
          <w:sz w:val="32"/>
          <w:szCs w:val="32"/>
          <w:highlight w:val="none"/>
          <w:lang w:eastAsia="zh-CN"/>
        </w:rPr>
        <w:t>（</w:t>
      </w:r>
      <w:r>
        <w:rPr>
          <w:rFonts w:hint="eastAsia" w:ascii="楷体" w:hAnsi="楷体" w:eastAsia="楷体" w:cs="楷体"/>
          <w:bCs/>
          <w:sz w:val="32"/>
          <w:szCs w:val="32"/>
          <w:highlight w:val="none"/>
          <w:lang w:val="en-US" w:eastAsia="zh-CN"/>
        </w:rPr>
        <w:t>二</w:t>
      </w:r>
      <w:r>
        <w:rPr>
          <w:rFonts w:hint="eastAsia" w:ascii="楷体" w:hAnsi="楷体" w:eastAsia="楷体" w:cs="楷体"/>
          <w:bCs/>
          <w:sz w:val="32"/>
          <w:szCs w:val="32"/>
          <w:highlight w:val="none"/>
          <w:lang w:eastAsia="zh-CN"/>
        </w:rPr>
        <w:t>）部门</w:t>
      </w:r>
      <w:r>
        <w:rPr>
          <w:rFonts w:hint="eastAsia" w:ascii="楷体" w:hAnsi="楷体" w:eastAsia="楷体" w:cs="楷体"/>
          <w:bCs/>
          <w:sz w:val="32"/>
          <w:szCs w:val="32"/>
          <w:highlight w:val="none"/>
          <w:lang w:val="en-US" w:eastAsia="zh-CN"/>
        </w:rPr>
        <w:t>主要职责</w:t>
      </w:r>
      <w:r>
        <w:rPr>
          <w:sz w:val="32"/>
          <w:szCs w:val="32"/>
        </w:rPr>
        <w:tab/>
      </w:r>
      <w:r>
        <w:rPr>
          <w:sz w:val="32"/>
          <w:szCs w:val="32"/>
        </w:rPr>
        <w:fldChar w:fldCharType="begin"/>
      </w:r>
      <w:r>
        <w:rPr>
          <w:sz w:val="32"/>
          <w:szCs w:val="32"/>
        </w:rPr>
        <w:instrText xml:space="preserve"> PAGEREF _Toc24316 \h </w:instrText>
      </w:r>
      <w:r>
        <w:rPr>
          <w:sz w:val="32"/>
          <w:szCs w:val="32"/>
        </w:rPr>
        <w:fldChar w:fldCharType="separate"/>
      </w:r>
      <w:r>
        <w:rPr>
          <w:sz w:val="32"/>
          <w:szCs w:val="32"/>
        </w:rPr>
        <w:t>4</w:t>
      </w:r>
      <w:r>
        <w:rPr>
          <w:sz w:val="32"/>
          <w:szCs w:val="32"/>
        </w:rPr>
        <w:fldChar w:fldCharType="end"/>
      </w:r>
      <w:r>
        <w:rPr>
          <w:rFonts w:hint="default"/>
          <w:sz w:val="32"/>
          <w:szCs w:val="32"/>
          <w:lang w:val="en-US" w:eastAsia="zh-CN"/>
        </w:rPr>
        <w:fldChar w:fldCharType="end"/>
      </w:r>
    </w:p>
    <w:p w14:paraId="3CEB2CED">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_Toc6589 </w:instrText>
      </w:r>
      <w:r>
        <w:rPr>
          <w:rFonts w:hint="default"/>
          <w:sz w:val="32"/>
          <w:szCs w:val="32"/>
          <w:lang w:val="en-US" w:eastAsia="zh-CN"/>
        </w:rPr>
        <w:fldChar w:fldCharType="separate"/>
      </w:r>
      <w:r>
        <w:rPr>
          <w:rFonts w:hint="eastAsia" w:ascii="楷体" w:hAnsi="楷体" w:eastAsia="楷体" w:cs="楷体"/>
          <w:bCs/>
          <w:sz w:val="32"/>
          <w:szCs w:val="32"/>
          <w:lang w:eastAsia="zh-CN"/>
        </w:rPr>
        <w:t>（</w:t>
      </w:r>
      <w:r>
        <w:rPr>
          <w:rFonts w:hint="eastAsia" w:ascii="楷体" w:hAnsi="楷体" w:eastAsia="楷体" w:cs="楷体"/>
          <w:bCs/>
          <w:sz w:val="32"/>
          <w:szCs w:val="32"/>
          <w:lang w:val="en-US" w:eastAsia="zh-CN"/>
        </w:rPr>
        <w:t>三</w:t>
      </w:r>
      <w:r>
        <w:rPr>
          <w:rFonts w:hint="eastAsia" w:ascii="楷体" w:hAnsi="楷体" w:eastAsia="楷体" w:cs="楷体"/>
          <w:bCs/>
          <w:sz w:val="32"/>
          <w:szCs w:val="32"/>
          <w:lang w:eastAsia="zh-CN"/>
        </w:rPr>
        <w:t>）</w:t>
      </w:r>
      <w:r>
        <w:rPr>
          <w:rFonts w:hint="eastAsia" w:ascii="楷体" w:hAnsi="楷体" w:eastAsia="楷体" w:cs="楷体"/>
          <w:bCs/>
          <w:sz w:val="32"/>
          <w:szCs w:val="32"/>
          <w:lang w:val="en-US" w:eastAsia="zh-CN"/>
        </w:rPr>
        <w:t>部门</w:t>
      </w:r>
      <w:r>
        <w:rPr>
          <w:rFonts w:hint="eastAsia" w:ascii="楷体" w:hAnsi="楷体" w:eastAsia="楷体" w:cs="楷体"/>
          <w:bCs/>
          <w:sz w:val="32"/>
          <w:szCs w:val="32"/>
          <w:lang w:eastAsia="zh-CN"/>
        </w:rPr>
        <w:t>组织架构与人员</w:t>
      </w:r>
      <w:r>
        <w:rPr>
          <w:sz w:val="32"/>
          <w:szCs w:val="32"/>
        </w:rPr>
        <w:tab/>
      </w:r>
      <w:r>
        <w:rPr>
          <w:sz w:val="32"/>
          <w:szCs w:val="32"/>
        </w:rPr>
        <w:fldChar w:fldCharType="begin"/>
      </w:r>
      <w:r>
        <w:rPr>
          <w:sz w:val="32"/>
          <w:szCs w:val="32"/>
        </w:rPr>
        <w:instrText xml:space="preserve"> PAGEREF _Toc6589 \h </w:instrText>
      </w:r>
      <w:r>
        <w:rPr>
          <w:sz w:val="32"/>
          <w:szCs w:val="32"/>
        </w:rPr>
        <w:fldChar w:fldCharType="separate"/>
      </w:r>
      <w:r>
        <w:rPr>
          <w:sz w:val="32"/>
          <w:szCs w:val="32"/>
        </w:rPr>
        <w:t>5</w:t>
      </w:r>
      <w:r>
        <w:rPr>
          <w:sz w:val="32"/>
          <w:szCs w:val="32"/>
        </w:rPr>
        <w:fldChar w:fldCharType="end"/>
      </w:r>
      <w:r>
        <w:rPr>
          <w:rFonts w:hint="default"/>
          <w:sz w:val="32"/>
          <w:szCs w:val="32"/>
          <w:lang w:val="en-US" w:eastAsia="zh-CN"/>
        </w:rPr>
        <w:fldChar w:fldCharType="end"/>
      </w:r>
    </w:p>
    <w:p w14:paraId="644A4CCC">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_Toc19298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（四）部门2024年度职责履行及履职效益</w:t>
      </w:r>
      <w:r>
        <w:rPr>
          <w:sz w:val="32"/>
          <w:szCs w:val="32"/>
        </w:rPr>
        <w:tab/>
      </w:r>
      <w:r>
        <w:rPr>
          <w:sz w:val="32"/>
          <w:szCs w:val="32"/>
        </w:rPr>
        <w:fldChar w:fldCharType="begin"/>
      </w:r>
      <w:r>
        <w:rPr>
          <w:sz w:val="32"/>
          <w:szCs w:val="32"/>
        </w:rPr>
        <w:instrText xml:space="preserve"> PAGEREF _Toc19298 \h </w:instrText>
      </w:r>
      <w:r>
        <w:rPr>
          <w:sz w:val="32"/>
          <w:szCs w:val="32"/>
        </w:rPr>
        <w:fldChar w:fldCharType="separate"/>
      </w:r>
      <w:r>
        <w:rPr>
          <w:sz w:val="32"/>
          <w:szCs w:val="32"/>
        </w:rPr>
        <w:t>5</w:t>
      </w:r>
      <w:r>
        <w:rPr>
          <w:sz w:val="32"/>
          <w:szCs w:val="32"/>
        </w:rPr>
        <w:fldChar w:fldCharType="end"/>
      </w:r>
      <w:r>
        <w:rPr>
          <w:rFonts w:hint="default"/>
          <w:sz w:val="32"/>
          <w:szCs w:val="32"/>
          <w:lang w:val="en-US" w:eastAsia="zh-CN"/>
        </w:rPr>
        <w:fldChar w:fldCharType="end"/>
      </w:r>
    </w:p>
    <w:p w14:paraId="420E8C69">
      <w:pPr>
        <w:pStyle w:val="10"/>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_Toc1126 </w:instrText>
      </w:r>
      <w:r>
        <w:rPr>
          <w:rFonts w:hint="default"/>
          <w:sz w:val="32"/>
          <w:szCs w:val="32"/>
          <w:lang w:val="en-US" w:eastAsia="zh-CN"/>
        </w:rPr>
        <w:fldChar w:fldCharType="separate"/>
      </w:r>
      <w:r>
        <w:rPr>
          <w:rFonts w:hint="eastAsia" w:ascii="黑体" w:hAnsi="黑体" w:eastAsia="黑体" w:cs="黑体"/>
          <w:sz w:val="32"/>
          <w:szCs w:val="32"/>
          <w:lang w:eastAsia="zh-CN"/>
        </w:rPr>
        <w:t>三、部门</w:t>
      </w:r>
      <w:r>
        <w:rPr>
          <w:rFonts w:hint="eastAsia" w:ascii="黑体" w:hAnsi="黑体" w:eastAsia="黑体" w:cs="黑体"/>
          <w:sz w:val="32"/>
          <w:szCs w:val="32"/>
          <w:lang w:val="en-US" w:eastAsia="zh-CN"/>
        </w:rPr>
        <w:t>预算及</w:t>
      </w:r>
      <w:r>
        <w:rPr>
          <w:rFonts w:hint="eastAsia" w:ascii="黑体" w:hAnsi="黑体" w:eastAsia="黑体" w:cs="黑体"/>
          <w:sz w:val="32"/>
          <w:szCs w:val="32"/>
          <w:lang w:eastAsia="zh-CN"/>
        </w:rPr>
        <w:t>整体支出概况</w:t>
      </w:r>
      <w:r>
        <w:rPr>
          <w:sz w:val="32"/>
          <w:szCs w:val="32"/>
        </w:rPr>
        <w:tab/>
      </w:r>
      <w:r>
        <w:rPr>
          <w:sz w:val="32"/>
          <w:szCs w:val="32"/>
        </w:rPr>
        <w:fldChar w:fldCharType="begin"/>
      </w:r>
      <w:r>
        <w:rPr>
          <w:sz w:val="32"/>
          <w:szCs w:val="32"/>
        </w:rPr>
        <w:instrText xml:space="preserve"> PAGEREF _Toc1126 \h </w:instrText>
      </w:r>
      <w:r>
        <w:rPr>
          <w:sz w:val="32"/>
          <w:szCs w:val="32"/>
        </w:rPr>
        <w:fldChar w:fldCharType="separate"/>
      </w:r>
      <w:r>
        <w:rPr>
          <w:sz w:val="32"/>
          <w:szCs w:val="32"/>
        </w:rPr>
        <w:t>10</w:t>
      </w:r>
      <w:r>
        <w:rPr>
          <w:sz w:val="32"/>
          <w:szCs w:val="32"/>
        </w:rPr>
        <w:fldChar w:fldCharType="end"/>
      </w:r>
      <w:r>
        <w:rPr>
          <w:rFonts w:hint="default"/>
          <w:sz w:val="32"/>
          <w:szCs w:val="32"/>
          <w:lang w:val="en-US" w:eastAsia="zh-CN"/>
        </w:rPr>
        <w:fldChar w:fldCharType="end"/>
      </w:r>
    </w:p>
    <w:p w14:paraId="344DA207">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_Toc21614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（一）</w:t>
      </w:r>
      <w:r>
        <w:rPr>
          <w:rFonts w:hint="eastAsia" w:ascii="楷体" w:hAnsi="楷体" w:eastAsia="楷体" w:cs="楷体"/>
          <w:bCs/>
          <w:sz w:val="32"/>
          <w:szCs w:val="32"/>
          <w:lang w:eastAsia="zh-CN"/>
        </w:rPr>
        <w:t>预算</w:t>
      </w:r>
      <w:r>
        <w:rPr>
          <w:rFonts w:hint="eastAsia" w:ascii="楷体" w:hAnsi="楷体" w:eastAsia="楷体" w:cs="楷体"/>
          <w:bCs/>
          <w:sz w:val="32"/>
          <w:szCs w:val="32"/>
          <w:lang w:val="en-US" w:eastAsia="zh-CN"/>
        </w:rPr>
        <w:t>配置</w:t>
      </w:r>
      <w:r>
        <w:rPr>
          <w:rFonts w:hint="eastAsia" w:ascii="楷体" w:hAnsi="楷体" w:eastAsia="楷体" w:cs="楷体"/>
          <w:bCs/>
          <w:sz w:val="32"/>
          <w:szCs w:val="32"/>
          <w:lang w:eastAsia="zh-CN"/>
        </w:rPr>
        <w:t>情况</w:t>
      </w:r>
      <w:r>
        <w:rPr>
          <w:rFonts w:hint="eastAsia" w:ascii="楷体" w:hAnsi="楷体" w:eastAsia="楷体" w:cs="楷体"/>
          <w:bCs/>
          <w:sz w:val="32"/>
          <w:szCs w:val="32"/>
          <w:lang w:val="en-US" w:eastAsia="zh-CN"/>
        </w:rPr>
        <w:t>及分析</w:t>
      </w:r>
      <w:r>
        <w:rPr>
          <w:sz w:val="32"/>
          <w:szCs w:val="32"/>
        </w:rPr>
        <w:tab/>
      </w:r>
      <w:r>
        <w:rPr>
          <w:sz w:val="32"/>
          <w:szCs w:val="32"/>
        </w:rPr>
        <w:fldChar w:fldCharType="begin"/>
      </w:r>
      <w:r>
        <w:rPr>
          <w:sz w:val="32"/>
          <w:szCs w:val="32"/>
        </w:rPr>
        <w:instrText xml:space="preserve"> PAGEREF _Toc21614 \h </w:instrText>
      </w:r>
      <w:r>
        <w:rPr>
          <w:sz w:val="32"/>
          <w:szCs w:val="32"/>
        </w:rPr>
        <w:fldChar w:fldCharType="separate"/>
      </w:r>
      <w:r>
        <w:rPr>
          <w:sz w:val="32"/>
          <w:szCs w:val="32"/>
        </w:rPr>
        <w:t>10</w:t>
      </w:r>
      <w:r>
        <w:rPr>
          <w:sz w:val="32"/>
          <w:szCs w:val="32"/>
        </w:rPr>
        <w:fldChar w:fldCharType="end"/>
      </w:r>
      <w:r>
        <w:rPr>
          <w:rFonts w:hint="default"/>
          <w:sz w:val="32"/>
          <w:szCs w:val="32"/>
          <w:lang w:val="en-US" w:eastAsia="zh-CN"/>
        </w:rPr>
        <w:fldChar w:fldCharType="end"/>
      </w:r>
    </w:p>
    <w:p w14:paraId="7322EBA4">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_Toc1103 </w:instrText>
      </w:r>
      <w:r>
        <w:rPr>
          <w:rFonts w:hint="default"/>
          <w:sz w:val="32"/>
          <w:szCs w:val="32"/>
          <w:lang w:val="en-US" w:eastAsia="zh-CN"/>
        </w:rPr>
        <w:fldChar w:fldCharType="separate"/>
      </w:r>
      <w:r>
        <w:rPr>
          <w:rFonts w:hint="eastAsia" w:ascii="楷体" w:hAnsi="楷体" w:eastAsia="楷体" w:cs="楷体"/>
          <w:bCs/>
          <w:sz w:val="32"/>
          <w:szCs w:val="32"/>
          <w:lang w:eastAsia="zh-CN"/>
        </w:rPr>
        <w:t>（二）预算执行</w:t>
      </w:r>
      <w:r>
        <w:rPr>
          <w:rFonts w:hint="eastAsia" w:ascii="楷体" w:hAnsi="楷体" w:eastAsia="楷体" w:cs="楷体"/>
          <w:bCs/>
          <w:sz w:val="32"/>
          <w:szCs w:val="32"/>
          <w:lang w:val="en-US" w:eastAsia="zh-CN"/>
        </w:rPr>
        <w:t>情况及分析</w:t>
      </w:r>
      <w:r>
        <w:rPr>
          <w:sz w:val="32"/>
          <w:szCs w:val="32"/>
        </w:rPr>
        <w:tab/>
      </w:r>
      <w:r>
        <w:rPr>
          <w:sz w:val="32"/>
          <w:szCs w:val="32"/>
        </w:rPr>
        <w:fldChar w:fldCharType="begin"/>
      </w:r>
      <w:r>
        <w:rPr>
          <w:sz w:val="32"/>
          <w:szCs w:val="32"/>
        </w:rPr>
        <w:instrText xml:space="preserve"> PAGEREF _Toc1103 \h </w:instrText>
      </w:r>
      <w:r>
        <w:rPr>
          <w:sz w:val="32"/>
          <w:szCs w:val="32"/>
        </w:rPr>
        <w:fldChar w:fldCharType="separate"/>
      </w:r>
      <w:r>
        <w:rPr>
          <w:sz w:val="32"/>
          <w:szCs w:val="32"/>
        </w:rPr>
        <w:t>11</w:t>
      </w:r>
      <w:r>
        <w:rPr>
          <w:sz w:val="32"/>
          <w:szCs w:val="32"/>
        </w:rPr>
        <w:fldChar w:fldCharType="end"/>
      </w:r>
      <w:r>
        <w:rPr>
          <w:rFonts w:hint="default"/>
          <w:sz w:val="32"/>
          <w:szCs w:val="32"/>
          <w:lang w:val="en-US" w:eastAsia="zh-CN"/>
        </w:rPr>
        <w:fldChar w:fldCharType="end"/>
      </w:r>
    </w:p>
    <w:p w14:paraId="77598D2F">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_Toc8497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（三）整体支出汇总及分析</w:t>
      </w:r>
      <w:r>
        <w:rPr>
          <w:sz w:val="32"/>
          <w:szCs w:val="32"/>
        </w:rPr>
        <w:tab/>
      </w:r>
      <w:r>
        <w:rPr>
          <w:sz w:val="32"/>
          <w:szCs w:val="32"/>
        </w:rPr>
        <w:fldChar w:fldCharType="begin"/>
      </w:r>
      <w:r>
        <w:rPr>
          <w:sz w:val="32"/>
          <w:szCs w:val="32"/>
        </w:rPr>
        <w:instrText xml:space="preserve"> PAGEREF _Toc8497 \h </w:instrText>
      </w:r>
      <w:r>
        <w:rPr>
          <w:sz w:val="32"/>
          <w:szCs w:val="32"/>
        </w:rPr>
        <w:fldChar w:fldCharType="separate"/>
      </w:r>
      <w:r>
        <w:rPr>
          <w:sz w:val="32"/>
          <w:szCs w:val="32"/>
        </w:rPr>
        <w:t>14</w:t>
      </w:r>
      <w:r>
        <w:rPr>
          <w:sz w:val="32"/>
          <w:szCs w:val="32"/>
        </w:rPr>
        <w:fldChar w:fldCharType="end"/>
      </w:r>
      <w:r>
        <w:rPr>
          <w:rFonts w:hint="default"/>
          <w:sz w:val="32"/>
          <w:szCs w:val="32"/>
          <w:lang w:val="en-US" w:eastAsia="zh-CN"/>
        </w:rPr>
        <w:fldChar w:fldCharType="end"/>
      </w:r>
    </w:p>
    <w:p w14:paraId="3F5A23C2">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_Toc24487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（四）</w:t>
      </w:r>
      <w:r>
        <w:rPr>
          <w:rFonts w:hint="eastAsia" w:ascii="楷体" w:hAnsi="楷体" w:eastAsia="楷体" w:cs="楷体"/>
          <w:bCs/>
          <w:sz w:val="32"/>
          <w:szCs w:val="32"/>
          <w:lang w:eastAsia="zh-CN"/>
        </w:rPr>
        <w:t>预算</w:t>
      </w:r>
      <w:r>
        <w:rPr>
          <w:rFonts w:hint="eastAsia" w:ascii="楷体" w:hAnsi="楷体" w:eastAsia="楷体" w:cs="楷体"/>
          <w:bCs/>
          <w:sz w:val="32"/>
          <w:szCs w:val="32"/>
          <w:lang w:val="en-US" w:eastAsia="zh-CN"/>
        </w:rPr>
        <w:t>管理情况及分析</w:t>
      </w:r>
      <w:r>
        <w:rPr>
          <w:sz w:val="32"/>
          <w:szCs w:val="32"/>
        </w:rPr>
        <w:tab/>
      </w:r>
      <w:r>
        <w:rPr>
          <w:sz w:val="32"/>
          <w:szCs w:val="32"/>
        </w:rPr>
        <w:fldChar w:fldCharType="begin"/>
      </w:r>
      <w:r>
        <w:rPr>
          <w:sz w:val="32"/>
          <w:szCs w:val="32"/>
        </w:rPr>
        <w:instrText xml:space="preserve"> PAGEREF _Toc24487 \h </w:instrText>
      </w:r>
      <w:r>
        <w:rPr>
          <w:sz w:val="32"/>
          <w:szCs w:val="32"/>
        </w:rPr>
        <w:fldChar w:fldCharType="separate"/>
      </w:r>
      <w:r>
        <w:rPr>
          <w:sz w:val="32"/>
          <w:szCs w:val="32"/>
        </w:rPr>
        <w:t>19</w:t>
      </w:r>
      <w:r>
        <w:rPr>
          <w:sz w:val="32"/>
          <w:szCs w:val="32"/>
        </w:rPr>
        <w:fldChar w:fldCharType="end"/>
      </w:r>
      <w:r>
        <w:rPr>
          <w:rFonts w:hint="default"/>
          <w:sz w:val="32"/>
          <w:szCs w:val="32"/>
          <w:lang w:val="en-US" w:eastAsia="zh-CN"/>
        </w:rPr>
        <w:fldChar w:fldCharType="end"/>
      </w:r>
    </w:p>
    <w:p w14:paraId="6F7F38D3">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_Toc21731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（五）工资管理情况及分析</w:t>
      </w:r>
      <w:r>
        <w:rPr>
          <w:sz w:val="32"/>
          <w:szCs w:val="32"/>
        </w:rPr>
        <w:tab/>
      </w:r>
      <w:r>
        <w:rPr>
          <w:sz w:val="32"/>
          <w:szCs w:val="32"/>
        </w:rPr>
        <w:fldChar w:fldCharType="begin"/>
      </w:r>
      <w:r>
        <w:rPr>
          <w:sz w:val="32"/>
          <w:szCs w:val="32"/>
        </w:rPr>
        <w:instrText xml:space="preserve"> PAGEREF _Toc21731 \h </w:instrText>
      </w:r>
      <w:r>
        <w:rPr>
          <w:sz w:val="32"/>
          <w:szCs w:val="32"/>
        </w:rPr>
        <w:fldChar w:fldCharType="separate"/>
      </w:r>
      <w:r>
        <w:rPr>
          <w:sz w:val="32"/>
          <w:szCs w:val="32"/>
        </w:rPr>
        <w:t>20</w:t>
      </w:r>
      <w:r>
        <w:rPr>
          <w:sz w:val="32"/>
          <w:szCs w:val="32"/>
        </w:rPr>
        <w:fldChar w:fldCharType="end"/>
      </w:r>
      <w:r>
        <w:rPr>
          <w:rFonts w:hint="default"/>
          <w:sz w:val="32"/>
          <w:szCs w:val="32"/>
          <w:lang w:val="en-US" w:eastAsia="zh-CN"/>
        </w:rPr>
        <w:fldChar w:fldCharType="end"/>
      </w:r>
    </w:p>
    <w:p w14:paraId="2CD2CEAF">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_Toc21380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（六）项目支出管理情况及分析</w:t>
      </w:r>
      <w:r>
        <w:rPr>
          <w:sz w:val="32"/>
          <w:szCs w:val="32"/>
        </w:rPr>
        <w:tab/>
      </w:r>
      <w:r>
        <w:rPr>
          <w:sz w:val="32"/>
          <w:szCs w:val="32"/>
        </w:rPr>
        <w:fldChar w:fldCharType="begin"/>
      </w:r>
      <w:r>
        <w:rPr>
          <w:sz w:val="32"/>
          <w:szCs w:val="32"/>
        </w:rPr>
        <w:instrText xml:space="preserve"> PAGEREF _Toc21380 \h </w:instrText>
      </w:r>
      <w:r>
        <w:rPr>
          <w:sz w:val="32"/>
          <w:szCs w:val="32"/>
        </w:rPr>
        <w:fldChar w:fldCharType="separate"/>
      </w:r>
      <w:r>
        <w:rPr>
          <w:sz w:val="32"/>
          <w:szCs w:val="32"/>
        </w:rPr>
        <w:t>22</w:t>
      </w:r>
      <w:r>
        <w:rPr>
          <w:sz w:val="32"/>
          <w:szCs w:val="32"/>
        </w:rPr>
        <w:fldChar w:fldCharType="end"/>
      </w:r>
      <w:r>
        <w:rPr>
          <w:rFonts w:hint="default"/>
          <w:sz w:val="32"/>
          <w:szCs w:val="32"/>
          <w:lang w:val="en-US" w:eastAsia="zh-CN"/>
        </w:rPr>
        <w:fldChar w:fldCharType="end"/>
      </w:r>
    </w:p>
    <w:p w14:paraId="100B0A46">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_Toc11281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（七）</w:t>
      </w:r>
      <w:r>
        <w:rPr>
          <w:rFonts w:hint="eastAsia" w:ascii="楷体" w:hAnsi="楷体" w:eastAsia="楷体" w:cs="楷体"/>
          <w:bCs/>
          <w:sz w:val="32"/>
          <w:szCs w:val="32"/>
          <w:highlight w:val="none"/>
          <w:lang w:val="en-US" w:eastAsia="zh-CN"/>
        </w:rPr>
        <w:t>固定资产管理情况及分析</w:t>
      </w:r>
      <w:r>
        <w:rPr>
          <w:sz w:val="32"/>
          <w:szCs w:val="32"/>
        </w:rPr>
        <w:tab/>
      </w:r>
      <w:r>
        <w:rPr>
          <w:sz w:val="32"/>
          <w:szCs w:val="32"/>
        </w:rPr>
        <w:fldChar w:fldCharType="begin"/>
      </w:r>
      <w:r>
        <w:rPr>
          <w:sz w:val="32"/>
          <w:szCs w:val="32"/>
        </w:rPr>
        <w:instrText xml:space="preserve"> PAGEREF _Toc11281 \h </w:instrText>
      </w:r>
      <w:r>
        <w:rPr>
          <w:sz w:val="32"/>
          <w:szCs w:val="32"/>
        </w:rPr>
        <w:fldChar w:fldCharType="separate"/>
      </w:r>
      <w:r>
        <w:rPr>
          <w:sz w:val="32"/>
          <w:szCs w:val="32"/>
        </w:rPr>
        <w:t>24</w:t>
      </w:r>
      <w:r>
        <w:rPr>
          <w:sz w:val="32"/>
          <w:szCs w:val="32"/>
        </w:rPr>
        <w:fldChar w:fldCharType="end"/>
      </w:r>
      <w:r>
        <w:rPr>
          <w:rFonts w:hint="default"/>
          <w:sz w:val="32"/>
          <w:szCs w:val="32"/>
          <w:lang w:val="en-US" w:eastAsia="zh-CN"/>
        </w:rPr>
        <w:fldChar w:fldCharType="end"/>
      </w:r>
    </w:p>
    <w:p w14:paraId="7966171C">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_Toc5832 </w:instrText>
      </w:r>
      <w:r>
        <w:rPr>
          <w:rFonts w:hint="default"/>
          <w:sz w:val="32"/>
          <w:szCs w:val="32"/>
          <w:lang w:val="en-US" w:eastAsia="zh-CN"/>
        </w:rPr>
        <w:fldChar w:fldCharType="separate"/>
      </w:r>
      <w:r>
        <w:rPr>
          <w:rFonts w:hint="eastAsia" w:ascii="楷体" w:hAnsi="楷体" w:eastAsia="楷体" w:cs="楷体"/>
          <w:bCs/>
          <w:sz w:val="32"/>
          <w:szCs w:val="32"/>
          <w:highlight w:val="none"/>
          <w:lang w:val="en-US" w:eastAsia="zh-CN"/>
        </w:rPr>
        <w:t>（八）厉行节约保障措施的执行情况及其政策效果</w:t>
      </w:r>
      <w:r>
        <w:rPr>
          <w:sz w:val="32"/>
          <w:szCs w:val="32"/>
        </w:rPr>
        <w:tab/>
      </w:r>
      <w:r>
        <w:rPr>
          <w:sz w:val="32"/>
          <w:szCs w:val="32"/>
        </w:rPr>
        <w:fldChar w:fldCharType="begin"/>
      </w:r>
      <w:r>
        <w:rPr>
          <w:sz w:val="32"/>
          <w:szCs w:val="32"/>
        </w:rPr>
        <w:instrText xml:space="preserve"> PAGEREF _Toc5832 \h </w:instrText>
      </w:r>
      <w:r>
        <w:rPr>
          <w:sz w:val="32"/>
          <w:szCs w:val="32"/>
        </w:rPr>
        <w:fldChar w:fldCharType="separate"/>
      </w:r>
      <w:r>
        <w:rPr>
          <w:sz w:val="32"/>
          <w:szCs w:val="32"/>
        </w:rPr>
        <w:t>25</w:t>
      </w:r>
      <w:r>
        <w:rPr>
          <w:sz w:val="32"/>
          <w:szCs w:val="32"/>
        </w:rPr>
        <w:fldChar w:fldCharType="end"/>
      </w:r>
      <w:r>
        <w:rPr>
          <w:rFonts w:hint="default"/>
          <w:sz w:val="32"/>
          <w:szCs w:val="32"/>
          <w:lang w:val="en-US" w:eastAsia="zh-CN"/>
        </w:rPr>
        <w:fldChar w:fldCharType="end"/>
      </w:r>
    </w:p>
    <w:p w14:paraId="2E7DEABA">
      <w:pPr>
        <w:pStyle w:val="10"/>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_Toc25722 </w:instrText>
      </w:r>
      <w:r>
        <w:rPr>
          <w:rFonts w:hint="default"/>
          <w:sz w:val="32"/>
          <w:szCs w:val="32"/>
          <w:lang w:val="en-US" w:eastAsia="zh-CN"/>
        </w:rPr>
        <w:fldChar w:fldCharType="separate"/>
      </w: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lang w:val="en-US" w:eastAsia="zh-CN"/>
        </w:rPr>
        <w:t>部门</w:t>
      </w:r>
      <w:r>
        <w:rPr>
          <w:rFonts w:hint="eastAsia" w:ascii="黑体" w:hAnsi="黑体" w:eastAsia="黑体" w:cs="黑体"/>
          <w:sz w:val="32"/>
          <w:szCs w:val="32"/>
          <w:highlight w:val="none"/>
          <w:lang w:eastAsia="zh-CN"/>
        </w:rPr>
        <w:t>绩效目标</w:t>
      </w:r>
      <w:r>
        <w:rPr>
          <w:sz w:val="32"/>
          <w:szCs w:val="32"/>
        </w:rPr>
        <w:tab/>
      </w:r>
      <w:r>
        <w:rPr>
          <w:sz w:val="32"/>
          <w:szCs w:val="32"/>
        </w:rPr>
        <w:fldChar w:fldCharType="begin"/>
      </w:r>
      <w:r>
        <w:rPr>
          <w:sz w:val="32"/>
          <w:szCs w:val="32"/>
        </w:rPr>
        <w:instrText xml:space="preserve"> PAGEREF _Toc25722 \h </w:instrText>
      </w:r>
      <w:r>
        <w:rPr>
          <w:sz w:val="32"/>
          <w:szCs w:val="32"/>
        </w:rPr>
        <w:fldChar w:fldCharType="separate"/>
      </w:r>
      <w:r>
        <w:rPr>
          <w:sz w:val="32"/>
          <w:szCs w:val="32"/>
        </w:rPr>
        <w:t>26</w:t>
      </w:r>
      <w:r>
        <w:rPr>
          <w:sz w:val="32"/>
          <w:szCs w:val="32"/>
        </w:rPr>
        <w:fldChar w:fldCharType="end"/>
      </w:r>
      <w:r>
        <w:rPr>
          <w:rFonts w:hint="default"/>
          <w:sz w:val="32"/>
          <w:szCs w:val="32"/>
          <w:lang w:val="en-US" w:eastAsia="zh-CN"/>
        </w:rPr>
        <w:fldChar w:fldCharType="end"/>
      </w:r>
    </w:p>
    <w:p w14:paraId="44B697C5">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_Toc20753 </w:instrText>
      </w:r>
      <w:r>
        <w:rPr>
          <w:rFonts w:hint="default"/>
          <w:sz w:val="32"/>
          <w:szCs w:val="32"/>
          <w:lang w:val="en-US" w:eastAsia="zh-CN"/>
        </w:rPr>
        <w:fldChar w:fldCharType="separate"/>
      </w:r>
      <w:r>
        <w:rPr>
          <w:rFonts w:hint="eastAsia" w:ascii="楷体" w:hAnsi="楷体" w:eastAsia="楷体" w:cs="楷体"/>
          <w:bCs/>
          <w:sz w:val="32"/>
          <w:szCs w:val="32"/>
          <w:lang w:eastAsia="zh-CN"/>
        </w:rPr>
        <w:t>（一）总体目标</w:t>
      </w:r>
      <w:r>
        <w:rPr>
          <w:sz w:val="32"/>
          <w:szCs w:val="32"/>
        </w:rPr>
        <w:tab/>
      </w:r>
      <w:r>
        <w:rPr>
          <w:sz w:val="32"/>
          <w:szCs w:val="32"/>
        </w:rPr>
        <w:fldChar w:fldCharType="begin"/>
      </w:r>
      <w:r>
        <w:rPr>
          <w:sz w:val="32"/>
          <w:szCs w:val="32"/>
        </w:rPr>
        <w:instrText xml:space="preserve"> PAGEREF _Toc20753 \h </w:instrText>
      </w:r>
      <w:r>
        <w:rPr>
          <w:sz w:val="32"/>
          <w:szCs w:val="32"/>
        </w:rPr>
        <w:fldChar w:fldCharType="separate"/>
      </w:r>
      <w:r>
        <w:rPr>
          <w:sz w:val="32"/>
          <w:szCs w:val="32"/>
        </w:rPr>
        <w:t>26</w:t>
      </w:r>
      <w:r>
        <w:rPr>
          <w:sz w:val="32"/>
          <w:szCs w:val="32"/>
        </w:rPr>
        <w:fldChar w:fldCharType="end"/>
      </w:r>
      <w:r>
        <w:rPr>
          <w:rFonts w:hint="default"/>
          <w:sz w:val="32"/>
          <w:szCs w:val="32"/>
          <w:lang w:val="en-US" w:eastAsia="zh-CN"/>
        </w:rPr>
        <w:fldChar w:fldCharType="end"/>
      </w:r>
    </w:p>
    <w:p w14:paraId="43C0F156">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_Toc19636 </w:instrText>
      </w:r>
      <w:r>
        <w:rPr>
          <w:rFonts w:hint="default"/>
          <w:sz w:val="32"/>
          <w:szCs w:val="32"/>
          <w:lang w:val="en-US" w:eastAsia="zh-CN"/>
        </w:rPr>
        <w:fldChar w:fldCharType="separate"/>
      </w:r>
      <w:r>
        <w:rPr>
          <w:rFonts w:hint="eastAsia" w:ascii="楷体" w:hAnsi="楷体" w:eastAsia="楷体" w:cs="楷体"/>
          <w:bCs/>
          <w:sz w:val="32"/>
          <w:szCs w:val="32"/>
          <w:lang w:eastAsia="zh-CN"/>
        </w:rPr>
        <w:t>（二）分类目标</w:t>
      </w:r>
      <w:r>
        <w:rPr>
          <w:sz w:val="32"/>
          <w:szCs w:val="32"/>
        </w:rPr>
        <w:tab/>
      </w:r>
      <w:r>
        <w:rPr>
          <w:sz w:val="32"/>
          <w:szCs w:val="32"/>
        </w:rPr>
        <w:fldChar w:fldCharType="begin"/>
      </w:r>
      <w:r>
        <w:rPr>
          <w:sz w:val="32"/>
          <w:szCs w:val="32"/>
        </w:rPr>
        <w:instrText xml:space="preserve"> PAGEREF _Toc19636 \h </w:instrText>
      </w:r>
      <w:r>
        <w:rPr>
          <w:sz w:val="32"/>
          <w:szCs w:val="32"/>
        </w:rPr>
        <w:fldChar w:fldCharType="separate"/>
      </w:r>
      <w:r>
        <w:rPr>
          <w:sz w:val="32"/>
          <w:szCs w:val="32"/>
        </w:rPr>
        <w:t>27</w:t>
      </w:r>
      <w:r>
        <w:rPr>
          <w:sz w:val="32"/>
          <w:szCs w:val="32"/>
        </w:rPr>
        <w:fldChar w:fldCharType="end"/>
      </w:r>
      <w:r>
        <w:rPr>
          <w:rFonts w:hint="default"/>
          <w:sz w:val="32"/>
          <w:szCs w:val="32"/>
          <w:lang w:val="en-US" w:eastAsia="zh-CN"/>
        </w:rPr>
        <w:fldChar w:fldCharType="end"/>
      </w:r>
    </w:p>
    <w:p w14:paraId="0E04FAA2">
      <w:pPr>
        <w:pStyle w:val="10"/>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_Toc3655 </w:instrText>
      </w:r>
      <w:r>
        <w:rPr>
          <w:rFonts w:hint="default"/>
          <w:sz w:val="32"/>
          <w:szCs w:val="32"/>
          <w:lang w:val="en-US" w:eastAsia="zh-CN"/>
        </w:rPr>
        <w:fldChar w:fldCharType="separate"/>
      </w:r>
      <w:r>
        <w:rPr>
          <w:rFonts w:hint="eastAsia" w:ascii="黑体" w:hAnsi="黑体" w:eastAsia="黑体" w:cs="黑体"/>
          <w:sz w:val="32"/>
          <w:szCs w:val="32"/>
          <w:highlight w:val="none"/>
          <w:lang w:val="en-US" w:eastAsia="zh-CN"/>
        </w:rPr>
        <w:t>五、部门</w:t>
      </w:r>
      <w:r>
        <w:rPr>
          <w:rFonts w:hint="eastAsia" w:ascii="黑体" w:hAnsi="黑体" w:eastAsia="黑体" w:cs="黑体"/>
          <w:sz w:val="32"/>
          <w:szCs w:val="32"/>
          <w:highlight w:val="none"/>
          <w:lang w:eastAsia="zh-CN"/>
        </w:rPr>
        <w:t>绩效考评情况</w:t>
      </w:r>
      <w:r>
        <w:rPr>
          <w:sz w:val="32"/>
          <w:szCs w:val="32"/>
        </w:rPr>
        <w:tab/>
      </w:r>
      <w:r>
        <w:rPr>
          <w:sz w:val="32"/>
          <w:szCs w:val="32"/>
        </w:rPr>
        <w:fldChar w:fldCharType="begin"/>
      </w:r>
      <w:r>
        <w:rPr>
          <w:sz w:val="32"/>
          <w:szCs w:val="32"/>
        </w:rPr>
        <w:instrText xml:space="preserve"> PAGEREF _Toc3655 \h </w:instrText>
      </w:r>
      <w:r>
        <w:rPr>
          <w:sz w:val="32"/>
          <w:szCs w:val="32"/>
        </w:rPr>
        <w:fldChar w:fldCharType="separate"/>
      </w:r>
      <w:r>
        <w:rPr>
          <w:sz w:val="32"/>
          <w:szCs w:val="32"/>
        </w:rPr>
        <w:t>29</w:t>
      </w:r>
      <w:r>
        <w:rPr>
          <w:sz w:val="32"/>
          <w:szCs w:val="32"/>
        </w:rPr>
        <w:fldChar w:fldCharType="end"/>
      </w:r>
      <w:r>
        <w:rPr>
          <w:rFonts w:hint="default"/>
          <w:sz w:val="32"/>
          <w:szCs w:val="32"/>
          <w:lang w:val="en-US" w:eastAsia="zh-CN"/>
        </w:rPr>
        <w:fldChar w:fldCharType="end"/>
      </w:r>
    </w:p>
    <w:p w14:paraId="1BF8DB87">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_Toc519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（一）评价框架</w:t>
      </w:r>
      <w:r>
        <w:rPr>
          <w:sz w:val="32"/>
          <w:szCs w:val="32"/>
        </w:rPr>
        <w:tab/>
      </w:r>
      <w:r>
        <w:rPr>
          <w:sz w:val="32"/>
          <w:szCs w:val="32"/>
        </w:rPr>
        <w:fldChar w:fldCharType="begin"/>
      </w:r>
      <w:r>
        <w:rPr>
          <w:sz w:val="32"/>
          <w:szCs w:val="32"/>
        </w:rPr>
        <w:instrText xml:space="preserve"> PAGEREF _Toc519 \h </w:instrText>
      </w:r>
      <w:r>
        <w:rPr>
          <w:sz w:val="32"/>
          <w:szCs w:val="32"/>
        </w:rPr>
        <w:fldChar w:fldCharType="separate"/>
      </w:r>
      <w:r>
        <w:rPr>
          <w:sz w:val="32"/>
          <w:szCs w:val="32"/>
        </w:rPr>
        <w:t>29</w:t>
      </w:r>
      <w:r>
        <w:rPr>
          <w:sz w:val="32"/>
          <w:szCs w:val="32"/>
        </w:rPr>
        <w:fldChar w:fldCharType="end"/>
      </w:r>
      <w:r>
        <w:rPr>
          <w:rFonts w:hint="default"/>
          <w:sz w:val="32"/>
          <w:szCs w:val="32"/>
          <w:lang w:val="en-US" w:eastAsia="zh-CN"/>
        </w:rPr>
        <w:fldChar w:fldCharType="end"/>
      </w:r>
    </w:p>
    <w:p w14:paraId="5BA949F8">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_Toc15243 </w:instrText>
      </w:r>
      <w:r>
        <w:rPr>
          <w:rFonts w:hint="default"/>
          <w:sz w:val="32"/>
          <w:szCs w:val="32"/>
          <w:lang w:val="en-US" w:eastAsia="zh-CN"/>
        </w:rPr>
        <w:fldChar w:fldCharType="separate"/>
      </w:r>
      <w:r>
        <w:rPr>
          <w:rFonts w:hint="eastAsia" w:ascii="楷体" w:hAnsi="楷体" w:eastAsia="楷体" w:cs="楷体"/>
          <w:bCs/>
          <w:sz w:val="32"/>
          <w:szCs w:val="32"/>
          <w:highlight w:val="none"/>
          <w:lang w:val="en-US" w:eastAsia="zh-CN"/>
        </w:rPr>
        <w:t>（二）评价分析</w:t>
      </w:r>
      <w:r>
        <w:rPr>
          <w:sz w:val="32"/>
          <w:szCs w:val="32"/>
        </w:rPr>
        <w:tab/>
      </w:r>
      <w:r>
        <w:rPr>
          <w:sz w:val="32"/>
          <w:szCs w:val="32"/>
        </w:rPr>
        <w:fldChar w:fldCharType="begin"/>
      </w:r>
      <w:r>
        <w:rPr>
          <w:sz w:val="32"/>
          <w:szCs w:val="32"/>
        </w:rPr>
        <w:instrText xml:space="preserve"> PAGEREF _Toc15243 \h </w:instrText>
      </w:r>
      <w:r>
        <w:rPr>
          <w:sz w:val="32"/>
          <w:szCs w:val="32"/>
        </w:rPr>
        <w:fldChar w:fldCharType="separate"/>
      </w:r>
      <w:r>
        <w:rPr>
          <w:sz w:val="32"/>
          <w:szCs w:val="32"/>
        </w:rPr>
        <w:t>30</w:t>
      </w:r>
      <w:r>
        <w:rPr>
          <w:sz w:val="32"/>
          <w:szCs w:val="32"/>
        </w:rPr>
        <w:fldChar w:fldCharType="end"/>
      </w:r>
      <w:r>
        <w:rPr>
          <w:rFonts w:hint="default"/>
          <w:sz w:val="32"/>
          <w:szCs w:val="32"/>
          <w:lang w:val="en-US" w:eastAsia="zh-CN"/>
        </w:rPr>
        <w:fldChar w:fldCharType="end"/>
      </w:r>
    </w:p>
    <w:p w14:paraId="21528E76">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_Toc22056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（三）评价结果</w:t>
      </w:r>
      <w:r>
        <w:rPr>
          <w:sz w:val="32"/>
          <w:szCs w:val="32"/>
        </w:rPr>
        <w:tab/>
      </w:r>
      <w:r>
        <w:rPr>
          <w:sz w:val="32"/>
          <w:szCs w:val="32"/>
        </w:rPr>
        <w:fldChar w:fldCharType="begin"/>
      </w:r>
      <w:r>
        <w:rPr>
          <w:sz w:val="32"/>
          <w:szCs w:val="32"/>
        </w:rPr>
        <w:instrText xml:space="preserve"> PAGEREF _Toc22056 \h </w:instrText>
      </w:r>
      <w:r>
        <w:rPr>
          <w:sz w:val="32"/>
          <w:szCs w:val="32"/>
        </w:rPr>
        <w:fldChar w:fldCharType="separate"/>
      </w:r>
      <w:r>
        <w:rPr>
          <w:sz w:val="32"/>
          <w:szCs w:val="32"/>
        </w:rPr>
        <w:t>42</w:t>
      </w:r>
      <w:r>
        <w:rPr>
          <w:sz w:val="32"/>
          <w:szCs w:val="32"/>
        </w:rPr>
        <w:fldChar w:fldCharType="end"/>
      </w:r>
      <w:r>
        <w:rPr>
          <w:rFonts w:hint="default"/>
          <w:sz w:val="32"/>
          <w:szCs w:val="32"/>
          <w:lang w:val="en-US" w:eastAsia="zh-CN"/>
        </w:rPr>
        <w:fldChar w:fldCharType="end"/>
      </w:r>
    </w:p>
    <w:p w14:paraId="1EA3A78B">
      <w:pPr>
        <w:pStyle w:val="10"/>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_Toc24710 </w:instrText>
      </w:r>
      <w:r>
        <w:rPr>
          <w:rFonts w:hint="default"/>
          <w:sz w:val="32"/>
          <w:szCs w:val="32"/>
          <w:lang w:val="en-US" w:eastAsia="zh-CN"/>
        </w:rPr>
        <w:fldChar w:fldCharType="separate"/>
      </w:r>
      <w:r>
        <w:rPr>
          <w:rFonts w:hint="eastAsia" w:ascii="黑体" w:hAnsi="黑体" w:eastAsia="黑体" w:cs="黑体"/>
          <w:sz w:val="32"/>
          <w:szCs w:val="32"/>
          <w:lang w:eastAsia="zh-CN"/>
        </w:rPr>
        <w:t>六、</w:t>
      </w:r>
      <w:r>
        <w:rPr>
          <w:rFonts w:hint="eastAsia" w:ascii="黑体" w:hAnsi="黑体" w:eastAsia="黑体" w:cs="黑体"/>
          <w:sz w:val="32"/>
          <w:szCs w:val="32"/>
          <w:lang w:val="en-US" w:eastAsia="zh-CN"/>
        </w:rPr>
        <w:t>主要</w:t>
      </w:r>
      <w:r>
        <w:rPr>
          <w:rFonts w:hint="eastAsia" w:ascii="黑体" w:hAnsi="黑体" w:eastAsia="黑体" w:cs="黑体"/>
          <w:sz w:val="32"/>
          <w:szCs w:val="32"/>
          <w:lang w:eastAsia="zh-CN"/>
        </w:rPr>
        <w:t>问题与改进建议</w:t>
      </w:r>
      <w:r>
        <w:rPr>
          <w:sz w:val="32"/>
          <w:szCs w:val="32"/>
        </w:rPr>
        <w:tab/>
      </w:r>
      <w:r>
        <w:rPr>
          <w:sz w:val="32"/>
          <w:szCs w:val="32"/>
        </w:rPr>
        <w:fldChar w:fldCharType="begin"/>
      </w:r>
      <w:r>
        <w:rPr>
          <w:sz w:val="32"/>
          <w:szCs w:val="32"/>
        </w:rPr>
        <w:instrText xml:space="preserve"> PAGEREF _Toc24710 \h </w:instrText>
      </w:r>
      <w:r>
        <w:rPr>
          <w:sz w:val="32"/>
          <w:szCs w:val="32"/>
        </w:rPr>
        <w:fldChar w:fldCharType="separate"/>
      </w:r>
      <w:r>
        <w:rPr>
          <w:sz w:val="32"/>
          <w:szCs w:val="32"/>
        </w:rPr>
        <w:t>43</w:t>
      </w:r>
      <w:r>
        <w:rPr>
          <w:sz w:val="32"/>
          <w:szCs w:val="32"/>
        </w:rPr>
        <w:fldChar w:fldCharType="end"/>
      </w:r>
      <w:r>
        <w:rPr>
          <w:rFonts w:hint="default"/>
          <w:sz w:val="32"/>
          <w:szCs w:val="32"/>
          <w:lang w:val="en-US" w:eastAsia="zh-CN"/>
        </w:rPr>
        <w:fldChar w:fldCharType="end"/>
      </w:r>
    </w:p>
    <w:p w14:paraId="709D4782">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_Toc25526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（一）预算配置与执行方面存在的问题及建议</w:t>
      </w:r>
      <w:r>
        <w:rPr>
          <w:sz w:val="32"/>
          <w:szCs w:val="32"/>
        </w:rPr>
        <w:tab/>
      </w:r>
      <w:r>
        <w:rPr>
          <w:sz w:val="32"/>
          <w:szCs w:val="32"/>
        </w:rPr>
        <w:fldChar w:fldCharType="begin"/>
      </w:r>
      <w:r>
        <w:rPr>
          <w:sz w:val="32"/>
          <w:szCs w:val="32"/>
        </w:rPr>
        <w:instrText xml:space="preserve"> PAGEREF _Toc25526 \h </w:instrText>
      </w:r>
      <w:r>
        <w:rPr>
          <w:sz w:val="32"/>
          <w:szCs w:val="32"/>
        </w:rPr>
        <w:fldChar w:fldCharType="separate"/>
      </w:r>
      <w:r>
        <w:rPr>
          <w:sz w:val="32"/>
          <w:szCs w:val="32"/>
        </w:rPr>
        <w:t>43</w:t>
      </w:r>
      <w:r>
        <w:rPr>
          <w:sz w:val="32"/>
          <w:szCs w:val="32"/>
        </w:rPr>
        <w:fldChar w:fldCharType="end"/>
      </w:r>
      <w:r>
        <w:rPr>
          <w:rFonts w:hint="default"/>
          <w:sz w:val="32"/>
          <w:szCs w:val="32"/>
          <w:lang w:val="en-US" w:eastAsia="zh-CN"/>
        </w:rPr>
        <w:fldChar w:fldCharType="end"/>
      </w:r>
    </w:p>
    <w:p w14:paraId="170C8F6E">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_Toc8315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（二）管理程序方面存在的问题及建议</w:t>
      </w:r>
      <w:r>
        <w:rPr>
          <w:sz w:val="32"/>
          <w:szCs w:val="32"/>
        </w:rPr>
        <w:tab/>
      </w:r>
      <w:r>
        <w:rPr>
          <w:sz w:val="32"/>
          <w:szCs w:val="32"/>
        </w:rPr>
        <w:fldChar w:fldCharType="begin"/>
      </w:r>
      <w:r>
        <w:rPr>
          <w:sz w:val="32"/>
          <w:szCs w:val="32"/>
        </w:rPr>
        <w:instrText xml:space="preserve"> PAGEREF _Toc8315 \h </w:instrText>
      </w:r>
      <w:r>
        <w:rPr>
          <w:sz w:val="32"/>
          <w:szCs w:val="32"/>
        </w:rPr>
        <w:fldChar w:fldCharType="separate"/>
      </w:r>
      <w:r>
        <w:rPr>
          <w:sz w:val="32"/>
          <w:szCs w:val="32"/>
        </w:rPr>
        <w:t>54</w:t>
      </w:r>
      <w:r>
        <w:rPr>
          <w:sz w:val="32"/>
          <w:szCs w:val="32"/>
        </w:rPr>
        <w:fldChar w:fldCharType="end"/>
      </w:r>
      <w:r>
        <w:rPr>
          <w:rFonts w:hint="default"/>
          <w:sz w:val="32"/>
          <w:szCs w:val="32"/>
          <w:lang w:val="en-US" w:eastAsia="zh-CN"/>
        </w:rPr>
        <w:fldChar w:fldCharType="end"/>
      </w:r>
    </w:p>
    <w:p w14:paraId="00046670">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_Toc20385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（三）人员经费管理方面存在的问题及建议</w:t>
      </w:r>
      <w:r>
        <w:rPr>
          <w:sz w:val="32"/>
          <w:szCs w:val="32"/>
        </w:rPr>
        <w:tab/>
      </w:r>
      <w:r>
        <w:rPr>
          <w:sz w:val="32"/>
          <w:szCs w:val="32"/>
        </w:rPr>
        <w:fldChar w:fldCharType="begin"/>
      </w:r>
      <w:r>
        <w:rPr>
          <w:sz w:val="32"/>
          <w:szCs w:val="32"/>
        </w:rPr>
        <w:instrText xml:space="preserve"> PAGEREF _Toc20385 \h </w:instrText>
      </w:r>
      <w:r>
        <w:rPr>
          <w:sz w:val="32"/>
          <w:szCs w:val="32"/>
        </w:rPr>
        <w:fldChar w:fldCharType="separate"/>
      </w:r>
      <w:r>
        <w:rPr>
          <w:sz w:val="32"/>
          <w:szCs w:val="32"/>
        </w:rPr>
        <w:t>58</w:t>
      </w:r>
      <w:r>
        <w:rPr>
          <w:sz w:val="32"/>
          <w:szCs w:val="32"/>
        </w:rPr>
        <w:fldChar w:fldCharType="end"/>
      </w:r>
      <w:r>
        <w:rPr>
          <w:rFonts w:hint="default"/>
          <w:sz w:val="32"/>
          <w:szCs w:val="32"/>
          <w:lang w:val="en-US" w:eastAsia="zh-CN"/>
        </w:rPr>
        <w:fldChar w:fldCharType="end"/>
      </w:r>
    </w:p>
    <w:p w14:paraId="1F9518BD">
      <w:pPr>
        <w:pStyle w:val="11"/>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rPr>
          <w:sz w:val="32"/>
          <w:szCs w:val="32"/>
        </w:rPr>
      </w:pPr>
      <w:r>
        <w:rPr>
          <w:rFonts w:hint="default"/>
          <w:sz w:val="32"/>
          <w:szCs w:val="32"/>
          <w:lang w:val="en-US" w:eastAsia="zh-CN"/>
        </w:rPr>
        <w:fldChar w:fldCharType="begin"/>
      </w:r>
      <w:r>
        <w:rPr>
          <w:rFonts w:hint="default"/>
          <w:sz w:val="32"/>
          <w:szCs w:val="32"/>
          <w:lang w:val="en-US" w:eastAsia="zh-CN"/>
        </w:rPr>
        <w:instrText xml:space="preserve"> HYPERLINK \l _Toc10364 </w:instrText>
      </w:r>
      <w:r>
        <w:rPr>
          <w:rFonts w:hint="default"/>
          <w:sz w:val="32"/>
          <w:szCs w:val="32"/>
          <w:lang w:val="en-US" w:eastAsia="zh-CN"/>
        </w:rPr>
        <w:fldChar w:fldCharType="separate"/>
      </w:r>
      <w:r>
        <w:rPr>
          <w:rFonts w:hint="eastAsia" w:ascii="楷体" w:hAnsi="楷体" w:eastAsia="楷体" w:cs="楷体"/>
          <w:bCs/>
          <w:sz w:val="32"/>
          <w:szCs w:val="32"/>
          <w:lang w:val="en-US" w:eastAsia="zh-CN"/>
        </w:rPr>
        <w:t>（四）项目管理方面存在的问题及建议</w:t>
      </w:r>
      <w:r>
        <w:rPr>
          <w:sz w:val="32"/>
          <w:szCs w:val="32"/>
        </w:rPr>
        <w:tab/>
      </w:r>
      <w:r>
        <w:rPr>
          <w:sz w:val="32"/>
          <w:szCs w:val="32"/>
        </w:rPr>
        <w:fldChar w:fldCharType="begin"/>
      </w:r>
      <w:r>
        <w:rPr>
          <w:sz w:val="32"/>
          <w:szCs w:val="32"/>
        </w:rPr>
        <w:instrText xml:space="preserve"> PAGEREF _Toc10364 \h </w:instrText>
      </w:r>
      <w:r>
        <w:rPr>
          <w:sz w:val="32"/>
          <w:szCs w:val="32"/>
        </w:rPr>
        <w:fldChar w:fldCharType="separate"/>
      </w:r>
      <w:r>
        <w:rPr>
          <w:sz w:val="32"/>
          <w:szCs w:val="32"/>
        </w:rPr>
        <w:t>70</w:t>
      </w:r>
      <w:r>
        <w:rPr>
          <w:sz w:val="32"/>
          <w:szCs w:val="32"/>
        </w:rPr>
        <w:fldChar w:fldCharType="end"/>
      </w:r>
      <w:r>
        <w:rPr>
          <w:rFonts w:hint="default"/>
          <w:sz w:val="32"/>
          <w:szCs w:val="32"/>
          <w:lang w:val="en-US" w:eastAsia="zh-CN"/>
        </w:rPr>
        <w:fldChar w:fldCharType="end"/>
      </w:r>
    </w:p>
    <w:p w14:paraId="7FD67802">
      <w:pPr>
        <w:keepNext w:val="0"/>
        <w:keepLines w:val="0"/>
        <w:pageBreakBefore w:val="0"/>
        <w:widowControl/>
        <w:tabs>
          <w:tab w:val="left" w:pos="475"/>
        </w:tabs>
        <w:kinsoku/>
        <w:wordWrap/>
        <w:overflowPunct/>
        <w:topLinePunct w:val="0"/>
        <w:autoSpaceDE/>
        <w:autoSpaceDN/>
        <w:bidi w:val="0"/>
        <w:adjustRightInd/>
        <w:snapToGrid/>
        <w:spacing w:line="560" w:lineRule="exact"/>
        <w:textAlignment w:val="auto"/>
        <w:rPr>
          <w:rFonts w:hint="default"/>
          <w:sz w:val="28"/>
          <w:szCs w:val="28"/>
          <w:lang w:val="en-US" w:eastAsia="zh-CN"/>
        </w:rPr>
      </w:pPr>
      <w:r>
        <w:rPr>
          <w:rFonts w:hint="default"/>
          <w:sz w:val="32"/>
          <w:szCs w:val="32"/>
          <w:lang w:val="en-US" w:eastAsia="zh-CN"/>
        </w:rPr>
        <w:fldChar w:fldCharType="end"/>
      </w:r>
    </w:p>
    <w:p w14:paraId="6A3BD969">
      <w:pPr>
        <w:pStyle w:val="11"/>
        <w:tabs>
          <w:tab w:val="left" w:pos="2694"/>
        </w:tabs>
        <w:rPr>
          <w:rFonts w:hint="default" w:asciiTheme="minorHAnsi" w:hAnsiTheme="minorHAnsi" w:eastAsiaTheme="minorEastAsia" w:cstheme="minorBidi"/>
          <w:kern w:val="0"/>
          <w:sz w:val="28"/>
          <w:szCs w:val="28"/>
          <w:lang w:val="en-US" w:eastAsia="zh-CN" w:bidi="ar"/>
        </w:rPr>
      </w:pPr>
    </w:p>
    <w:p w14:paraId="6C01F959">
      <w:pPr>
        <w:bidi w:val="0"/>
        <w:rPr>
          <w:rFonts w:hint="default"/>
          <w:lang w:val="en-US" w:eastAsia="zh-CN"/>
        </w:rPr>
      </w:pPr>
    </w:p>
    <w:p w14:paraId="23CB58C1">
      <w:pPr>
        <w:tabs>
          <w:tab w:val="left" w:pos="7025"/>
        </w:tabs>
        <w:bidi w:val="0"/>
        <w:jc w:val="left"/>
        <w:rPr>
          <w:rFonts w:hint="default"/>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32" w:charSpace="0"/>
        </w:sectPr>
      </w:pPr>
    </w:p>
    <w:p w14:paraId="3FA2BB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880" w:firstLineChars="200"/>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2024年雁峰区科学技术协会</w:t>
      </w:r>
    </w:p>
    <w:p w14:paraId="72E892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880" w:firstLineChars="200"/>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部门整体支出绩效评价报告</w:t>
      </w:r>
    </w:p>
    <w:p w14:paraId="1A4E3C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880" w:firstLineChars="200"/>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（征求意见稿）</w:t>
      </w:r>
    </w:p>
    <w:p w14:paraId="077C0F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湘浩元</w:t>
      </w:r>
      <w:r>
        <w:rPr>
          <w:rFonts w:hint="eastAsia" w:ascii="仿宋" w:hAnsi="仿宋" w:eastAsia="仿宋" w:cs="仿宋"/>
          <w:sz w:val="32"/>
          <w:szCs w:val="32"/>
          <w:lang w:val="en-US" w:eastAsia="zh-CN"/>
        </w:rPr>
        <w:t>评</w:t>
      </w:r>
      <w:r>
        <w:rPr>
          <w:rFonts w:hint="eastAsia" w:ascii="仿宋" w:hAnsi="仿宋" w:eastAsia="仿宋" w:cs="仿宋"/>
          <w:sz w:val="32"/>
          <w:szCs w:val="32"/>
          <w:lang w:eastAsia="zh-CN"/>
        </w:rPr>
        <w:t>字[202</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]第号</w:t>
      </w:r>
    </w:p>
    <w:p w14:paraId="6846085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雁峰区财政局：</w:t>
      </w:r>
    </w:p>
    <w:p w14:paraId="69ABBD9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接受委托，对2024年雁峰区科学技术协会（以下简称“区科协”）的部门整体支出进行了绩效评价。建立健全内部控制制度，保护资金与资产的安全和完整，保证会计资料和其他绩效评价的相关资料的真实性、合法性和完整性，是区科协的责任。我们的责任是在区科协提供资料基础上，对2024年的部门整体支出绩效进行评价。</w:t>
      </w:r>
    </w:p>
    <w:p w14:paraId="46E904E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在评价过程中，我们按照《中国注册会计师执业准则》相关规定进行，根据独立、客观、公正的原则，实施了包括听取情况介绍、进行实地核查、发放调查问卷、对照复核等方式，对有关情况和基础材料进行核实与分析等我们认为必要的评价程序。绩效评价工作已完成，现报告如下</w:t>
      </w:r>
      <w:bookmarkStart w:id="0" w:name="_Toc11075"/>
      <w:r>
        <w:rPr>
          <w:rFonts w:hint="eastAsia" w:ascii="仿宋" w:hAnsi="仿宋" w:eastAsia="仿宋" w:cs="仿宋"/>
          <w:sz w:val="32"/>
          <w:szCs w:val="32"/>
          <w:lang w:val="en-US" w:eastAsia="zh-CN"/>
        </w:rPr>
        <w:t>：</w:t>
      </w:r>
    </w:p>
    <w:p w14:paraId="63EE632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仿宋" w:hAnsi="仿宋" w:eastAsia="仿宋" w:cs="仿宋"/>
          <w:sz w:val="32"/>
          <w:szCs w:val="32"/>
        </w:rPr>
      </w:pPr>
      <w:bookmarkStart w:id="1" w:name="_Toc18591"/>
      <w:bookmarkStart w:id="2" w:name="_Toc20127"/>
      <w:bookmarkStart w:id="3" w:name="_Toc9891"/>
      <w:bookmarkStart w:id="4" w:name="_Toc10813"/>
      <w:r>
        <w:rPr>
          <w:rFonts w:hint="eastAsia" w:ascii="黑体" w:hAnsi="黑体" w:eastAsia="黑体" w:cs="黑体"/>
          <w:sz w:val="32"/>
          <w:szCs w:val="32"/>
          <w:lang w:eastAsia="zh-CN"/>
        </w:rPr>
        <w:t>一、</w:t>
      </w:r>
      <w:r>
        <w:rPr>
          <w:rFonts w:hint="eastAsia" w:ascii="黑体" w:hAnsi="黑体" w:eastAsia="黑体" w:cs="黑体"/>
          <w:sz w:val="32"/>
          <w:szCs w:val="32"/>
          <w:lang w:val="en-US" w:eastAsia="zh-CN"/>
        </w:rPr>
        <w:t>绩效评价基本</w:t>
      </w:r>
      <w:r>
        <w:rPr>
          <w:rFonts w:hint="eastAsia" w:ascii="黑体" w:hAnsi="黑体" w:eastAsia="黑体" w:cs="黑体"/>
          <w:sz w:val="32"/>
          <w:szCs w:val="32"/>
        </w:rPr>
        <w:t>情况</w:t>
      </w:r>
      <w:bookmarkEnd w:id="1"/>
      <w:bookmarkEnd w:id="2"/>
      <w:bookmarkEnd w:id="3"/>
      <w:bookmarkEnd w:id="4"/>
    </w:p>
    <w:p w14:paraId="2FBD8C1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rPr>
      </w:pPr>
      <w:bookmarkStart w:id="5" w:name="_Toc13350"/>
      <w:bookmarkStart w:id="6" w:name="_Toc26235"/>
      <w:bookmarkStart w:id="7" w:name="_Toc2812"/>
      <w:bookmarkStart w:id="8" w:name="_Toc3257"/>
      <w:bookmarkStart w:id="9" w:name="_Toc26464"/>
      <w:r>
        <w:rPr>
          <w:rFonts w:hint="eastAsia" w:ascii="楷体" w:hAnsi="楷体" w:eastAsia="楷体" w:cs="楷体"/>
          <w:b/>
          <w:bCs/>
          <w:sz w:val="32"/>
          <w:szCs w:val="32"/>
        </w:rPr>
        <w:t>（一）</w:t>
      </w:r>
      <w:r>
        <w:rPr>
          <w:rFonts w:hint="eastAsia" w:ascii="楷体" w:hAnsi="楷体" w:eastAsia="楷体" w:cs="楷体"/>
          <w:b/>
          <w:bCs/>
          <w:sz w:val="32"/>
          <w:szCs w:val="32"/>
          <w:lang w:val="en-US" w:eastAsia="zh-CN"/>
        </w:rPr>
        <w:t>评价</w:t>
      </w:r>
      <w:r>
        <w:rPr>
          <w:rFonts w:hint="eastAsia" w:ascii="楷体" w:hAnsi="楷体" w:eastAsia="楷体" w:cs="楷体"/>
          <w:b/>
          <w:bCs/>
          <w:sz w:val="32"/>
          <w:szCs w:val="32"/>
        </w:rPr>
        <w:t>对象和范围</w:t>
      </w:r>
      <w:bookmarkEnd w:id="5"/>
      <w:bookmarkEnd w:id="6"/>
      <w:bookmarkEnd w:id="7"/>
      <w:bookmarkEnd w:id="8"/>
      <w:bookmarkEnd w:id="9"/>
    </w:p>
    <w:p w14:paraId="3AF160B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bookmarkStart w:id="10" w:name="_Toc7691"/>
      <w:bookmarkStart w:id="11" w:name="_Toc29635"/>
      <w:bookmarkStart w:id="12" w:name="_Toc8069"/>
      <w:r>
        <w:rPr>
          <w:rFonts w:hint="eastAsia" w:ascii="仿宋" w:hAnsi="仿宋" w:eastAsia="仿宋" w:cs="仿宋"/>
          <w:sz w:val="32"/>
          <w:szCs w:val="32"/>
          <w:lang w:val="en-US" w:eastAsia="zh-CN"/>
        </w:rPr>
        <w:t>评价对象为2024年雁峰区科学技术协会整体支出绩效。</w:t>
      </w:r>
    </w:p>
    <w:p w14:paraId="068AC20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评价范围包括不限于目标设定、预算配置、预算执行情况、预算管理、职责履行、履职效益和新增财政支出、一般性支出、会议支出、办公经费支出、机构编制和工资管理、厉行节约保障措施等方面的执行情况及其政策效果，以及项目支出的管理、使用、结余、效益情况。</w:t>
      </w:r>
    </w:p>
    <w:bookmarkEnd w:id="10"/>
    <w:bookmarkEnd w:id="11"/>
    <w:bookmarkEnd w:id="12"/>
    <w:p w14:paraId="408394B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rPr>
      </w:pPr>
      <w:bookmarkStart w:id="13" w:name="_Toc7616"/>
      <w:bookmarkStart w:id="14" w:name="_Toc1228"/>
      <w:bookmarkStart w:id="15" w:name="_Toc7231"/>
      <w:bookmarkStart w:id="16" w:name="_Toc24072"/>
      <w:bookmarkStart w:id="17" w:name="_Toc4694"/>
      <w:bookmarkStart w:id="18" w:name="_Toc25241"/>
      <w:bookmarkStart w:id="19" w:name="_Hlk172128948"/>
      <w:r>
        <w:rPr>
          <w:rFonts w:hint="eastAsia" w:ascii="楷体" w:hAnsi="楷体" w:eastAsia="楷体" w:cs="楷体"/>
          <w:b/>
          <w:bCs/>
          <w:sz w:val="32"/>
          <w:szCs w:val="32"/>
        </w:rPr>
        <w:t>（二）</w:t>
      </w:r>
      <w:r>
        <w:rPr>
          <w:rFonts w:hint="eastAsia" w:ascii="楷体" w:hAnsi="楷体" w:eastAsia="楷体" w:cs="楷体"/>
          <w:b/>
          <w:bCs/>
          <w:sz w:val="32"/>
          <w:szCs w:val="32"/>
          <w:lang w:val="en-US" w:eastAsia="zh-CN"/>
        </w:rPr>
        <w:t>评价</w:t>
      </w:r>
      <w:r>
        <w:rPr>
          <w:rFonts w:hint="eastAsia" w:ascii="楷体" w:hAnsi="楷体" w:eastAsia="楷体" w:cs="楷体"/>
          <w:b/>
          <w:bCs/>
          <w:sz w:val="32"/>
          <w:szCs w:val="32"/>
        </w:rPr>
        <w:t>依据</w:t>
      </w:r>
      <w:bookmarkEnd w:id="13"/>
      <w:bookmarkEnd w:id="14"/>
    </w:p>
    <w:p w14:paraId="7E63994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1、《中共中央国务院关于全面实施预算绩效管理的意见》（中发〔2018〕34号）；</w:t>
      </w:r>
    </w:p>
    <w:p w14:paraId="70207DD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2、《中共湖南省委办公厅湖南省人民政府办公厅关于全面实施预算绩效管理的实施意见》（湘办发〔2019〕10号）；</w:t>
      </w:r>
    </w:p>
    <w:p w14:paraId="054B85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3、《财政部关于印发〈项目支出绩效评价管理办法〉的通知》（财预〔2020〕10号）。</w:t>
      </w:r>
    </w:p>
    <w:p w14:paraId="393EE0E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4、财政部</w:t>
      </w:r>
      <w:r>
        <w:rPr>
          <w:rFonts w:hint="eastAsia" w:ascii="仿宋" w:hAnsi="仿宋" w:eastAsia="仿宋" w:cs="仿宋"/>
          <w:sz w:val="32"/>
          <w:szCs w:val="32"/>
          <w:lang w:val="en-US" w:eastAsia="zh-CN"/>
        </w:rPr>
        <w:t>关于印发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地方政府债券发行管理办法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财库</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0</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43号。</w:t>
      </w:r>
    </w:p>
    <w:p w14:paraId="095FF3A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5、《中华人民共和国预算法》</w:t>
      </w:r>
    </w:p>
    <w:p w14:paraId="58819D1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6、《财政专项资金管理办法》</w:t>
      </w:r>
    </w:p>
    <w:p w14:paraId="4C76F8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7、关于印发《衡阳市市直机关会议费管理办法》的通知衡财行〔2018〕463号。</w:t>
      </w:r>
    </w:p>
    <w:p w14:paraId="4CD93FB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8、关于印发《行政事业单位内部控制规范（试行）》的通知财会〔2012〕21号。</w:t>
      </w:r>
    </w:p>
    <w:p w14:paraId="531721E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9、事业单位国有资产管理暂行办法（2019修订）。</w:t>
      </w:r>
    </w:p>
    <w:p w14:paraId="4391BE9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10、关于印发《湖南省省直党政机关和参公事业单位国有资产管理办法》的通知湘政办发〔2021〕59号。</w:t>
      </w:r>
    </w:p>
    <w:p w14:paraId="63EC01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11、关于印发《衡阳市市直行政事业单位国有资产配置管理办法》的通知衡财资〔2021〕482号。</w:t>
      </w:r>
    </w:p>
    <w:p w14:paraId="4C67DEC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12、关于印发《湖南省省级行政事业单位通用办公设备和办公家具配置限额标准》的通知湘政资〔2020〕15号。</w:t>
      </w:r>
    </w:p>
    <w:p w14:paraId="36A5A86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13、关于修改《事业单位国有资产管理暂行办法》的决定财政部令第100号。</w:t>
      </w:r>
    </w:p>
    <w:p w14:paraId="1BAE7B5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14、关于印发《衡阳市市直机关差旅费管理办法》的通知衡财行〔2019〕248号。</w:t>
      </w:r>
    </w:p>
    <w:p w14:paraId="3AEBA15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15、违反中央八项规定精神问题月报数据填报说明。</w:t>
      </w:r>
    </w:p>
    <w:p w14:paraId="5D2E823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16、党政机关厉行节约反对浪费条例2013。</w:t>
      </w:r>
    </w:p>
    <w:p w14:paraId="0D4C801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17、中央八项规定中对于国家公职人员涉及财务的80项禁止行为。</w:t>
      </w:r>
    </w:p>
    <w:p w14:paraId="4AF561C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18、关于《明确市直党政机关公务活动用餐有关事项》的通知衡财行〔2018〕467号。</w:t>
      </w:r>
    </w:p>
    <w:p w14:paraId="71A41B9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19、衡阳市市直机关培训费管理办法衡财行[2017]409号。</w:t>
      </w:r>
    </w:p>
    <w:p w14:paraId="34DA055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衡阳市财政局文件衡财行[2018]467号关于明确市直党政机关公务活动用餐有关事项的通知。</w:t>
      </w:r>
    </w:p>
    <w:p w14:paraId="73E24FF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21、中共衡阳市委办公室衡阳市人民政府办公室文件衡办发[2025]6号《衡阳市委党政机关国内公务接待管理办法》的通知。</w:t>
      </w:r>
    </w:p>
    <w:p w14:paraId="18017CD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22、</w:t>
      </w:r>
      <w:r>
        <w:rPr>
          <w:rFonts w:hint="eastAsia" w:ascii="仿宋" w:hAnsi="仿宋" w:eastAsia="仿宋" w:cs="仿宋"/>
          <w:sz w:val="32"/>
          <w:szCs w:val="32"/>
          <w:lang w:eastAsia="zh-CN"/>
        </w:rPr>
        <w:t>预算批复时确定的绩效目标及指标，预算部门年度预算执行情况，年度决算报告等相关材料。</w:t>
      </w:r>
    </w:p>
    <w:p w14:paraId="1CC63ED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23、</w:t>
      </w:r>
      <w:r>
        <w:rPr>
          <w:rFonts w:hint="eastAsia" w:ascii="仿宋" w:hAnsi="仿宋" w:eastAsia="仿宋" w:cs="仿宋"/>
          <w:sz w:val="32"/>
          <w:szCs w:val="32"/>
          <w:lang w:eastAsia="zh-CN"/>
        </w:rPr>
        <w:t>其他与本次</w:t>
      </w:r>
      <w:r>
        <w:rPr>
          <w:rFonts w:hint="eastAsia" w:ascii="仿宋" w:hAnsi="仿宋" w:eastAsia="仿宋" w:cs="仿宋"/>
          <w:sz w:val="32"/>
          <w:szCs w:val="32"/>
          <w:lang w:val="en-US" w:eastAsia="zh-CN"/>
        </w:rPr>
        <w:t>绩效评价</w:t>
      </w:r>
      <w:r>
        <w:rPr>
          <w:rFonts w:hint="eastAsia" w:ascii="仿宋" w:hAnsi="仿宋" w:eastAsia="仿宋" w:cs="仿宋"/>
          <w:sz w:val="32"/>
          <w:szCs w:val="32"/>
          <w:lang w:eastAsia="zh-CN"/>
        </w:rPr>
        <w:t>有关的政策文件。</w:t>
      </w:r>
    </w:p>
    <w:p w14:paraId="15E7ED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3" w:firstLineChars="200"/>
        <w:jc w:val="both"/>
        <w:textAlignment w:val="auto"/>
        <w:outlineLvl w:val="1"/>
        <w:rPr>
          <w:rFonts w:hint="default" w:ascii="楷体" w:hAnsi="楷体" w:eastAsia="楷体" w:cs="楷体"/>
          <w:b/>
          <w:bCs/>
          <w:sz w:val="32"/>
          <w:szCs w:val="32"/>
          <w:lang w:val="en-US"/>
        </w:rPr>
      </w:pPr>
      <w:bookmarkStart w:id="20" w:name="_Toc5924"/>
      <w:r>
        <w:rPr>
          <w:rFonts w:hint="eastAsia" w:ascii="楷体" w:hAnsi="楷体" w:eastAsia="楷体" w:cs="楷体"/>
          <w:b/>
          <w:bCs/>
          <w:sz w:val="32"/>
          <w:szCs w:val="32"/>
        </w:rPr>
        <w:t>（三）</w:t>
      </w:r>
      <w:bookmarkEnd w:id="15"/>
      <w:bookmarkEnd w:id="16"/>
      <w:r>
        <w:rPr>
          <w:rFonts w:hint="eastAsia" w:ascii="楷体" w:hAnsi="楷体" w:eastAsia="楷体" w:cs="楷体"/>
          <w:b/>
          <w:bCs/>
          <w:sz w:val="32"/>
          <w:szCs w:val="32"/>
          <w:lang w:val="en-US" w:eastAsia="zh-CN"/>
        </w:rPr>
        <w:t>评价方法和目的</w:t>
      </w:r>
      <w:bookmarkEnd w:id="17"/>
      <w:bookmarkEnd w:id="18"/>
      <w:bookmarkEnd w:id="20"/>
    </w:p>
    <w:p w14:paraId="242A6CB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我们</w:t>
      </w:r>
      <w:r>
        <w:rPr>
          <w:rFonts w:hint="eastAsia" w:ascii="仿宋" w:hAnsi="仿宋" w:eastAsia="仿宋" w:cs="仿宋"/>
          <w:sz w:val="32"/>
          <w:szCs w:val="32"/>
          <w:lang w:eastAsia="zh-CN"/>
        </w:rPr>
        <w:t>通过</w:t>
      </w:r>
      <w:r>
        <w:rPr>
          <w:rFonts w:hint="eastAsia" w:ascii="仿宋" w:hAnsi="仿宋" w:eastAsia="仿宋" w:cs="仿宋"/>
          <w:sz w:val="32"/>
          <w:szCs w:val="32"/>
          <w:lang w:val="en-US" w:eastAsia="zh-CN"/>
        </w:rPr>
        <w:t>听取情况介绍、进行实地核查、发放调查问卷、对照复核及分析等方式，对区科协提供的相关资料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进行核对与审查，分析与评价内部管理及控制情况，贯彻落实厉行节约、严控“三公”经费、降低一般运行经费、加强项目支出管理、核实资金结余情况，</w:t>
      </w:r>
      <w:r>
        <w:rPr>
          <w:rFonts w:hint="eastAsia" w:ascii="仿宋" w:hAnsi="仿宋" w:eastAsia="仿宋" w:cs="仿宋"/>
          <w:sz w:val="32"/>
          <w:szCs w:val="32"/>
          <w:highlight w:val="none"/>
          <w:lang w:val="en-US" w:eastAsia="zh-CN"/>
        </w:rPr>
        <w:t>强化政府责任与透明度，全面衡量公共资金使用的经济性、效率性、效益性和可持续性，系统性地检视资金使用全流程，确保公共资源发挥</w:t>
      </w:r>
      <w:r>
        <w:rPr>
          <w:rFonts w:hint="eastAsia" w:ascii="仿宋" w:hAnsi="仿宋" w:eastAsia="仿宋" w:cs="仿宋"/>
          <w:sz w:val="32"/>
          <w:szCs w:val="32"/>
          <w:lang w:val="en-US" w:eastAsia="zh-CN"/>
        </w:rPr>
        <w:t>最大价值，同时为政策调整和预算优化提供依据。</w:t>
      </w:r>
    </w:p>
    <w:bookmarkEnd w:id="0"/>
    <w:bookmarkEnd w:id="19"/>
    <w:p w14:paraId="76AE3A3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黑体" w:hAnsi="黑体" w:eastAsia="黑体" w:cs="黑体"/>
          <w:sz w:val="32"/>
          <w:szCs w:val="32"/>
          <w:lang w:eastAsia="zh-CN"/>
        </w:rPr>
      </w:pPr>
      <w:bookmarkStart w:id="21" w:name="_Toc25552"/>
      <w:bookmarkStart w:id="22" w:name="_Toc32697"/>
      <w:bookmarkStart w:id="23" w:name="_Toc21063"/>
      <w:r>
        <w:rPr>
          <w:rFonts w:hint="eastAsia" w:ascii="黑体" w:hAnsi="黑体" w:eastAsia="黑体" w:cs="黑体"/>
          <w:sz w:val="32"/>
          <w:szCs w:val="32"/>
          <w:lang w:val="en-US" w:eastAsia="zh-CN"/>
        </w:rPr>
        <w:t>部门基本</w:t>
      </w:r>
      <w:r>
        <w:rPr>
          <w:rFonts w:hint="eastAsia" w:ascii="黑体" w:hAnsi="黑体" w:eastAsia="黑体" w:cs="黑体"/>
          <w:sz w:val="32"/>
          <w:szCs w:val="32"/>
          <w:lang w:eastAsia="zh-CN"/>
        </w:rPr>
        <w:t>情况</w:t>
      </w:r>
      <w:bookmarkEnd w:id="21"/>
      <w:bookmarkEnd w:id="22"/>
      <w:bookmarkEnd w:id="23"/>
    </w:p>
    <w:p w14:paraId="2A24FB9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24" w:name="_Toc20468"/>
      <w:r>
        <w:rPr>
          <w:rFonts w:hint="eastAsia" w:ascii="楷体" w:hAnsi="楷体" w:eastAsia="楷体" w:cs="楷体"/>
          <w:b/>
          <w:bCs/>
          <w:sz w:val="32"/>
          <w:szCs w:val="32"/>
          <w:lang w:eastAsia="zh-CN"/>
        </w:rPr>
        <w:t>部门</w:t>
      </w:r>
      <w:r>
        <w:rPr>
          <w:rFonts w:hint="eastAsia" w:ascii="楷体" w:hAnsi="楷体" w:eastAsia="楷体" w:cs="楷体"/>
          <w:b/>
          <w:bCs/>
          <w:sz w:val="32"/>
          <w:szCs w:val="32"/>
          <w:lang w:val="en-US" w:eastAsia="zh-CN"/>
        </w:rPr>
        <w:t>基本信息</w:t>
      </w:r>
      <w:bookmarkEnd w:id="24"/>
    </w:p>
    <w:p w14:paraId="3664BA6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楷体" w:hAnsi="楷体" w:eastAsia="楷体" w:cs="楷体"/>
          <w:b/>
          <w:bCs/>
          <w:sz w:val="32"/>
          <w:szCs w:val="32"/>
          <w:lang w:val="en-US" w:eastAsia="zh-CN"/>
        </w:rPr>
      </w:pPr>
      <w:r>
        <w:rPr>
          <w:rFonts w:hint="default" w:ascii="仿宋" w:hAnsi="仿宋" w:eastAsia="仿宋" w:cs="仿宋"/>
          <w:sz w:val="32"/>
          <w:szCs w:val="32"/>
          <w:lang w:val="en-US" w:eastAsia="zh-CN"/>
        </w:rPr>
        <w:t>统一社会信用代码13430403074997114N</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预算级次</w:t>
      </w:r>
      <w:r>
        <w:rPr>
          <w:rFonts w:hint="eastAsia" w:ascii="仿宋" w:hAnsi="仿宋" w:eastAsia="仿宋" w:cs="仿宋"/>
          <w:sz w:val="32"/>
          <w:szCs w:val="32"/>
          <w:lang w:val="en-US" w:eastAsia="zh-CN"/>
        </w:rPr>
        <w:t>为</w:t>
      </w:r>
      <w:r>
        <w:rPr>
          <w:rFonts w:hint="default" w:ascii="仿宋" w:hAnsi="仿宋" w:eastAsia="仿宋" w:cs="仿宋"/>
          <w:sz w:val="32"/>
          <w:szCs w:val="32"/>
          <w:lang w:val="en-US" w:eastAsia="zh-CN"/>
        </w:rPr>
        <w:t>县区级</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单位预算级次</w:t>
      </w:r>
      <w:r>
        <w:rPr>
          <w:rFonts w:hint="eastAsia" w:ascii="仿宋" w:hAnsi="仿宋" w:eastAsia="仿宋" w:cs="仿宋"/>
          <w:sz w:val="32"/>
          <w:szCs w:val="32"/>
          <w:lang w:val="en-US" w:eastAsia="zh-CN"/>
        </w:rPr>
        <w:t>为</w:t>
      </w:r>
      <w:r>
        <w:rPr>
          <w:rFonts w:hint="default" w:ascii="仿宋" w:hAnsi="仿宋" w:eastAsia="仿宋" w:cs="仿宋"/>
          <w:sz w:val="32"/>
          <w:szCs w:val="32"/>
          <w:lang w:val="en-US" w:eastAsia="zh-CN"/>
        </w:rPr>
        <w:t>一级预算单位</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单位经费保障方式</w:t>
      </w:r>
      <w:r>
        <w:rPr>
          <w:rFonts w:hint="eastAsia" w:ascii="仿宋" w:hAnsi="仿宋" w:eastAsia="仿宋" w:cs="仿宋"/>
          <w:sz w:val="32"/>
          <w:szCs w:val="32"/>
          <w:lang w:val="en-US" w:eastAsia="zh-CN"/>
        </w:rPr>
        <w:t>为</w:t>
      </w:r>
      <w:r>
        <w:rPr>
          <w:rFonts w:hint="default" w:ascii="仿宋" w:hAnsi="仿宋" w:eastAsia="仿宋" w:cs="仿宋"/>
          <w:sz w:val="32"/>
          <w:szCs w:val="32"/>
          <w:lang w:val="en-US" w:eastAsia="zh-CN"/>
        </w:rPr>
        <w:t>全额</w:t>
      </w:r>
      <w:r>
        <w:rPr>
          <w:rFonts w:hint="eastAsia" w:ascii="仿宋" w:hAnsi="仿宋" w:eastAsia="仿宋" w:cs="仿宋"/>
          <w:sz w:val="32"/>
          <w:szCs w:val="32"/>
          <w:lang w:val="en-US" w:eastAsia="zh-CN"/>
        </w:rPr>
        <w:t>。</w:t>
      </w:r>
    </w:p>
    <w:p w14:paraId="5EE58AC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highlight w:val="none"/>
          <w:lang w:val="en-US" w:eastAsia="zh-CN"/>
        </w:rPr>
      </w:pPr>
      <w:bookmarkStart w:id="25" w:name="_Toc24316"/>
      <w:r>
        <w:rPr>
          <w:rFonts w:hint="eastAsia" w:ascii="楷体" w:hAnsi="楷体" w:eastAsia="楷体" w:cs="楷体"/>
          <w:b/>
          <w:bCs/>
          <w:sz w:val="32"/>
          <w:szCs w:val="32"/>
          <w:highlight w:val="none"/>
          <w:lang w:eastAsia="zh-CN"/>
        </w:rPr>
        <w:t>（</w:t>
      </w:r>
      <w:r>
        <w:rPr>
          <w:rFonts w:hint="eastAsia" w:ascii="楷体" w:hAnsi="楷体" w:eastAsia="楷体" w:cs="楷体"/>
          <w:b/>
          <w:bCs/>
          <w:sz w:val="32"/>
          <w:szCs w:val="32"/>
          <w:highlight w:val="none"/>
          <w:lang w:val="en-US" w:eastAsia="zh-CN"/>
        </w:rPr>
        <w:t>二</w:t>
      </w:r>
      <w:r>
        <w:rPr>
          <w:rFonts w:hint="eastAsia" w:ascii="楷体" w:hAnsi="楷体" w:eastAsia="楷体" w:cs="楷体"/>
          <w:b/>
          <w:bCs/>
          <w:sz w:val="32"/>
          <w:szCs w:val="32"/>
          <w:highlight w:val="none"/>
          <w:lang w:eastAsia="zh-CN"/>
        </w:rPr>
        <w:t>）部门</w:t>
      </w:r>
      <w:r>
        <w:rPr>
          <w:rFonts w:hint="eastAsia" w:ascii="楷体" w:hAnsi="楷体" w:eastAsia="楷体" w:cs="楷体"/>
          <w:b/>
          <w:bCs/>
          <w:sz w:val="32"/>
          <w:szCs w:val="32"/>
          <w:highlight w:val="none"/>
          <w:lang w:val="en-US" w:eastAsia="zh-CN"/>
        </w:rPr>
        <w:t>主要职责</w:t>
      </w:r>
      <w:bookmarkEnd w:id="25"/>
    </w:p>
    <w:p w14:paraId="5D77E57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lang w:eastAsia="zh-CN"/>
        </w:rPr>
        <w:t>贯彻执行党的路线、方针、政策，坚持科协工作服务于济建设的方针，在党和政府与科技工作者之间发挥桥梁和纽带作用，履行党领导下的人民团体的职责和任务。</w:t>
      </w:r>
    </w:p>
    <w:p w14:paraId="323316B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lang w:eastAsia="zh-CN"/>
        </w:rPr>
        <w:t>开展学术交流，活跃学术思想，组织优秀论文评审，促进科学发展、知识创新和决策的科学化、民主化。</w:t>
      </w:r>
    </w:p>
    <w:p w14:paraId="4DD9A6B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负责普及科学知识、弘扬科学精神、传播科学思想和科学方法、捍卫科学尊严；组织开展面向农村、社区、企事业单位、青少年、各级领导干部以及全社会的科普教育活动；提高全区人民的科学文化素质。</w:t>
      </w:r>
    </w:p>
    <w:p w14:paraId="272FE50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组织开展科技工作者继续教育；组织、指导各镇（街）科协开展实用技术培训工作；组织各镇（街）科协、区级协会(学会)开展科技扶贫帮困工作；组织兴办符合区科协宗旨的社会公益性事业；为科技人员、科技团体科研活动提供服务。</w:t>
      </w:r>
    </w:p>
    <w:p w14:paraId="2BAA985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5.</w:t>
      </w:r>
      <w:r>
        <w:rPr>
          <w:rFonts w:hint="eastAsia" w:ascii="仿宋" w:hAnsi="仿宋" w:eastAsia="仿宋" w:cs="仿宋"/>
          <w:b/>
          <w:bCs/>
          <w:sz w:val="32"/>
          <w:szCs w:val="32"/>
          <w:lang w:eastAsia="zh-CN"/>
        </w:rPr>
        <w:t>开展科学论证、技术咨询、技术培训工作，推广先进科学技术，促进科技成果转化。</w:t>
      </w:r>
    </w:p>
    <w:p w14:paraId="6B96899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6.</w:t>
      </w:r>
      <w:r>
        <w:rPr>
          <w:rFonts w:hint="eastAsia" w:ascii="仿宋" w:hAnsi="仿宋" w:eastAsia="仿宋" w:cs="仿宋"/>
          <w:b/>
          <w:bCs/>
          <w:sz w:val="32"/>
          <w:szCs w:val="32"/>
          <w:lang w:eastAsia="zh-CN"/>
        </w:rPr>
        <w:t>反映科技工作者的意见和要求，维护科技工作者的合法权益，举荐人才，表彰奖励优秀科技工作者，促进科技人才的成长。</w:t>
      </w:r>
    </w:p>
    <w:p w14:paraId="74E13EC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7.</w:t>
      </w:r>
      <w:r>
        <w:rPr>
          <w:rFonts w:hint="eastAsia" w:ascii="仿宋" w:hAnsi="仿宋" w:eastAsia="仿宋" w:cs="仿宋"/>
          <w:b/>
          <w:bCs/>
          <w:sz w:val="32"/>
          <w:szCs w:val="32"/>
          <w:lang w:eastAsia="zh-CN"/>
        </w:rPr>
        <w:t>参与科技政策的制定，开展决策论证，提出政策建议；参与政治协商、科学决策、民主监督工作。</w:t>
      </w:r>
    </w:p>
    <w:p w14:paraId="5DFC599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8.</w:t>
      </w:r>
      <w:r>
        <w:rPr>
          <w:rFonts w:hint="eastAsia" w:ascii="仿宋" w:hAnsi="仿宋" w:eastAsia="仿宋" w:cs="仿宋"/>
          <w:b/>
          <w:bCs/>
          <w:sz w:val="32"/>
          <w:szCs w:val="32"/>
          <w:lang w:eastAsia="zh-CN"/>
        </w:rPr>
        <w:t>负责区级学会(协会)、镇（街）科协和农村专业技术协会的组织建设；负责科技示范基地和科技示范户的推荐、评定和服务工作。</w:t>
      </w:r>
    </w:p>
    <w:p w14:paraId="1997B55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9.</w:t>
      </w:r>
      <w:r>
        <w:rPr>
          <w:rFonts w:hint="eastAsia" w:ascii="仿宋" w:hAnsi="仿宋" w:eastAsia="仿宋" w:cs="仿宋"/>
          <w:b/>
          <w:bCs/>
          <w:sz w:val="32"/>
          <w:szCs w:val="32"/>
          <w:lang w:eastAsia="zh-CN"/>
        </w:rPr>
        <w:t>负责项目的申报、立项、检查验收等工作。</w:t>
      </w:r>
    </w:p>
    <w:p w14:paraId="6D17663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楷体" w:hAnsi="楷体" w:eastAsia="楷体" w:cs="楷体"/>
          <w:b/>
          <w:bCs/>
          <w:sz w:val="32"/>
          <w:szCs w:val="32"/>
          <w:lang w:eastAsia="zh-CN"/>
        </w:rPr>
      </w:pPr>
      <w:r>
        <w:rPr>
          <w:rFonts w:hint="eastAsia" w:ascii="仿宋" w:hAnsi="仿宋" w:eastAsia="仿宋" w:cs="仿宋"/>
          <w:b/>
          <w:bCs/>
          <w:sz w:val="32"/>
          <w:szCs w:val="32"/>
          <w:lang w:val="en-US" w:eastAsia="zh-CN"/>
        </w:rPr>
        <w:t>10.</w:t>
      </w:r>
      <w:r>
        <w:rPr>
          <w:rFonts w:hint="eastAsia" w:ascii="仿宋" w:hAnsi="仿宋" w:eastAsia="仿宋" w:cs="仿宋"/>
          <w:b/>
          <w:bCs/>
          <w:sz w:val="32"/>
          <w:szCs w:val="32"/>
          <w:lang w:eastAsia="zh-CN"/>
        </w:rPr>
        <w:t>完成区委、区政府和上级科协部门交办的其他任务。</w:t>
      </w:r>
    </w:p>
    <w:p w14:paraId="40CF435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eastAsia="zh-CN"/>
        </w:rPr>
      </w:pPr>
      <w:bookmarkStart w:id="26" w:name="_Toc6589"/>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部门</w:t>
      </w:r>
      <w:r>
        <w:rPr>
          <w:rFonts w:hint="eastAsia" w:ascii="楷体" w:hAnsi="楷体" w:eastAsia="楷体" w:cs="楷体"/>
          <w:b/>
          <w:bCs/>
          <w:sz w:val="32"/>
          <w:szCs w:val="32"/>
          <w:lang w:eastAsia="zh-CN"/>
        </w:rPr>
        <w:t>组织架构与人员</w:t>
      </w:r>
      <w:bookmarkEnd w:id="26"/>
    </w:p>
    <w:p w14:paraId="70F1384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1.内部机构设置</w:t>
      </w:r>
    </w:p>
    <w:p w14:paraId="25AE2CB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bCs/>
          <w:kern w:val="0"/>
          <w:sz w:val="32"/>
          <w:szCs w:val="32"/>
          <w:highlight w:val="none"/>
          <w:lang w:val="en-US" w:eastAsia="zh-CN"/>
        </w:rPr>
      </w:pPr>
      <w:r>
        <w:rPr>
          <w:rFonts w:hint="eastAsia" w:ascii="仿宋" w:hAnsi="仿宋" w:eastAsia="仿宋"/>
          <w:bCs/>
          <w:kern w:val="0"/>
          <w:sz w:val="32"/>
          <w:szCs w:val="32"/>
          <w:highlight w:val="none"/>
          <w:lang w:eastAsia="zh-CN"/>
        </w:rPr>
        <w:t>雁峰区科学技术协会</w:t>
      </w:r>
      <w:r>
        <w:rPr>
          <w:rFonts w:hint="eastAsia" w:ascii="仿宋" w:hAnsi="仿宋" w:eastAsia="仿宋"/>
          <w:bCs/>
          <w:kern w:val="0"/>
          <w:sz w:val="32"/>
          <w:szCs w:val="32"/>
          <w:highlight w:val="none"/>
        </w:rPr>
        <w:t>单位内设机构包括：内设机构</w:t>
      </w:r>
      <w:r>
        <w:rPr>
          <w:rFonts w:hint="eastAsia" w:ascii="仿宋" w:hAnsi="仿宋" w:eastAsia="仿宋"/>
          <w:bCs/>
          <w:kern w:val="0"/>
          <w:sz w:val="32"/>
          <w:szCs w:val="32"/>
          <w:highlight w:val="none"/>
          <w:lang w:val="en-US" w:eastAsia="zh-CN"/>
        </w:rPr>
        <w:t>2</w:t>
      </w:r>
      <w:r>
        <w:rPr>
          <w:rFonts w:hint="eastAsia" w:ascii="仿宋" w:hAnsi="仿宋" w:eastAsia="仿宋"/>
          <w:bCs/>
          <w:kern w:val="0"/>
          <w:sz w:val="32"/>
          <w:szCs w:val="32"/>
          <w:highlight w:val="none"/>
        </w:rPr>
        <w:t>个，</w:t>
      </w:r>
      <w:r>
        <w:rPr>
          <w:rFonts w:hint="eastAsia" w:ascii="仿宋" w:hAnsi="仿宋" w:eastAsia="仿宋"/>
          <w:bCs/>
          <w:kern w:val="0"/>
          <w:sz w:val="32"/>
          <w:szCs w:val="32"/>
          <w:highlight w:val="none"/>
          <w:lang w:val="en-US" w:eastAsia="zh-CN"/>
        </w:rPr>
        <w:t>即</w:t>
      </w:r>
      <w:r>
        <w:rPr>
          <w:rFonts w:hint="eastAsia" w:ascii="仿宋" w:hAnsi="仿宋" w:eastAsia="仿宋"/>
          <w:bCs/>
          <w:kern w:val="0"/>
          <w:sz w:val="32"/>
          <w:szCs w:val="32"/>
          <w:highlight w:val="none"/>
        </w:rPr>
        <w:t>办公室</w:t>
      </w:r>
      <w:r>
        <w:rPr>
          <w:rFonts w:hint="eastAsia" w:ascii="仿宋" w:hAnsi="仿宋" w:eastAsia="仿宋"/>
          <w:bCs/>
          <w:kern w:val="0"/>
          <w:sz w:val="32"/>
          <w:szCs w:val="32"/>
          <w:highlight w:val="none"/>
          <w:lang w:eastAsia="zh-CN"/>
        </w:rPr>
        <w:t>、</w:t>
      </w:r>
      <w:r>
        <w:rPr>
          <w:rFonts w:hint="eastAsia" w:ascii="仿宋" w:hAnsi="仿宋" w:eastAsia="仿宋"/>
          <w:bCs/>
          <w:kern w:val="0"/>
          <w:sz w:val="32"/>
          <w:szCs w:val="32"/>
          <w:highlight w:val="none"/>
          <w:lang w:val="en-US" w:eastAsia="zh-CN"/>
        </w:rPr>
        <w:t>科普与学会工作部。</w:t>
      </w:r>
    </w:p>
    <w:p w14:paraId="1956EBC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2.编制及实有人员</w:t>
      </w:r>
    </w:p>
    <w:p w14:paraId="1D868EC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仿宋" w:hAnsi="仿宋" w:eastAsia="仿宋" w:cs="仿宋"/>
          <w:sz w:val="32"/>
          <w:szCs w:val="32"/>
          <w:highlight w:val="none"/>
          <w:lang w:val="en-US" w:eastAsia="zh-CN"/>
        </w:rPr>
      </w:pPr>
      <w:r>
        <w:rPr>
          <w:rFonts w:hint="eastAsia" w:ascii="仿宋" w:hAnsi="仿宋" w:eastAsia="仿宋" w:cs="仿宋"/>
          <w:sz w:val="32"/>
          <w:szCs w:val="32"/>
          <w:lang w:val="en-US" w:eastAsia="zh-CN"/>
        </w:rPr>
        <w:t>截至2024年12月31日，区科协退休人员1人。编制5个，在编在岗职工4人，其中：</w:t>
      </w:r>
      <w:r>
        <w:rPr>
          <w:rFonts w:hint="eastAsia" w:ascii="仿宋" w:hAnsi="仿宋" w:eastAsia="仿宋" w:cs="仿宋"/>
          <w:sz w:val="32"/>
          <w:szCs w:val="32"/>
          <w:highlight w:val="none"/>
          <w:lang w:val="en-US" w:eastAsia="zh-CN"/>
        </w:rPr>
        <w:t>公务员4人，</w:t>
      </w:r>
      <w:r>
        <w:rPr>
          <w:rFonts w:hint="eastAsia" w:ascii="仿宋" w:hAnsi="仿宋" w:eastAsia="仿宋" w:cs="仿宋"/>
          <w:b/>
          <w:bCs/>
          <w:sz w:val="32"/>
          <w:szCs w:val="32"/>
          <w:highlight w:val="none"/>
          <w:lang w:val="en-US" w:eastAsia="zh-CN"/>
        </w:rPr>
        <w:t>人员控制率80.00%。</w:t>
      </w:r>
    </w:p>
    <w:p w14:paraId="5F8F430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27" w:name="_Toc19298"/>
      <w:r>
        <w:rPr>
          <w:rFonts w:hint="eastAsia" w:ascii="楷体" w:hAnsi="楷体" w:eastAsia="楷体" w:cs="楷体"/>
          <w:b/>
          <w:bCs/>
          <w:sz w:val="32"/>
          <w:szCs w:val="32"/>
          <w:lang w:val="en-US" w:eastAsia="zh-CN"/>
        </w:rPr>
        <w:t>部门2024年度职责履行及履职效益</w:t>
      </w:r>
      <w:bookmarkEnd w:id="27"/>
    </w:p>
    <w:p w14:paraId="2593A9D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eastAsia="zh-CN"/>
        </w:rPr>
        <w:t>在区委、区政府的坚强领导下，在市科协的指导下，区科协以习近平新时代中国特色社会主义思想为指引，贯彻落实党的二十大精神，紧紧围绕“一核四新”战略目标，强化“四个服务”职能，贯彻落实科技创新和人才强区战略，</w:t>
      </w:r>
      <w:r>
        <w:rPr>
          <w:rFonts w:hint="eastAsia" w:ascii="仿宋_GB2312" w:hAnsi="仿宋_GB2312" w:eastAsia="仿宋_GB2312" w:cs="仿宋_GB2312"/>
          <w:sz w:val="32"/>
          <w:szCs w:val="32"/>
          <w:lang w:eastAsia="zh-CN"/>
        </w:rPr>
        <w:t>推动各项工作有序开展</w:t>
      </w:r>
      <w:r>
        <w:rPr>
          <w:rFonts w:hint="eastAsia" w:ascii="仿宋_GB2312" w:hAnsi="仿宋_GB2312" w:eastAsia="仿宋_GB2312" w:cs="仿宋_GB2312"/>
          <w:color w:val="auto"/>
          <w:sz w:val="32"/>
          <w:szCs w:val="32"/>
          <w:lang w:eastAsia="zh-CN"/>
        </w:rPr>
        <w:t>。荣获</w:t>
      </w:r>
      <w:r>
        <w:rPr>
          <w:rFonts w:hint="eastAsia" w:ascii="Times New Roman" w:hAnsi="Times New Roman" w:eastAsia="仿宋_GB2312" w:cs="Times New Roman"/>
          <w:b w:val="0"/>
          <w:bCs/>
          <w:color w:val="000000"/>
          <w:kern w:val="2"/>
          <w:sz w:val="32"/>
          <w:szCs w:val="32"/>
          <w:lang w:val="en-US" w:eastAsia="zh-CN" w:bidi="ar-SA"/>
        </w:rPr>
        <w:t>2024</w:t>
      </w:r>
      <w:r>
        <w:rPr>
          <w:rFonts w:hint="eastAsia" w:ascii="仿宋_GB2312" w:hAnsi="黑体" w:eastAsia="仿宋_GB2312" w:cs="Times New Roman"/>
          <w:color w:val="000000" w:themeColor="text1"/>
          <w:kern w:val="2"/>
          <w:sz w:val="32"/>
          <w:szCs w:val="32"/>
          <w:lang w:val="en-US" w:eastAsia="zh-CN" w:bidi="ar-SA"/>
          <w14:textFill>
            <w14:solidFill>
              <w14:schemeClr w14:val="tx1"/>
            </w14:solidFill>
          </w14:textFill>
        </w:rPr>
        <w:t>年湖南省全国科普日优秀组织单位，</w:t>
      </w:r>
      <w:r>
        <w:rPr>
          <w:rFonts w:hint="eastAsia" w:ascii="仿宋_GB2312" w:hAnsi="仿宋_GB2312" w:eastAsia="仿宋_GB2312" w:cs="仿宋_GB2312"/>
          <w:sz w:val="32"/>
          <w:szCs w:val="32"/>
          <w:lang w:eastAsia="zh-CN"/>
        </w:rPr>
        <w:t>第八届衡阳市青少年机器人竞赛优秀组织奖、第九届衡阳市青少年机器人竞赛优秀组织单位。</w:t>
      </w:r>
    </w:p>
    <w:p w14:paraId="61213CE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3"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lang w:eastAsia="zh-CN"/>
        </w:rPr>
        <w:t>围绕重点人群，强化素质提升。</w:t>
      </w:r>
      <w:r>
        <w:rPr>
          <w:rFonts w:hint="eastAsia" w:ascii="仿宋" w:hAnsi="仿宋" w:eastAsia="仿宋" w:cs="仿宋"/>
          <w:kern w:val="2"/>
          <w:sz w:val="32"/>
          <w:szCs w:val="32"/>
          <w:lang w:val="en-US" w:eastAsia="zh-CN" w:bidi="ar-SA"/>
        </w:rPr>
        <w:t>发挥区纲要办成员单位的整体合力，营造大科普大协作氛围。</w:t>
      </w:r>
      <w:r>
        <w:rPr>
          <w:rFonts w:hint="eastAsia" w:ascii="仿宋" w:hAnsi="仿宋" w:eastAsia="仿宋" w:cs="仿宋"/>
          <w:b/>
          <w:bCs/>
          <w:sz w:val="32"/>
          <w:szCs w:val="32"/>
          <w:lang w:val="en-US" w:eastAsia="zh-CN"/>
        </w:rPr>
        <w:t>一是</w:t>
      </w:r>
      <w:r>
        <w:rPr>
          <w:rFonts w:hint="eastAsia" w:ascii="仿宋" w:hAnsi="仿宋" w:eastAsia="仿宋" w:cs="仿宋"/>
          <w:b/>
          <w:bCs/>
          <w:sz w:val="32"/>
          <w:szCs w:val="32"/>
        </w:rPr>
        <w:t>青少年科学素质</w:t>
      </w:r>
      <w:r>
        <w:rPr>
          <w:rFonts w:hint="eastAsia" w:ascii="仿宋" w:hAnsi="仿宋" w:eastAsia="仿宋" w:cs="仿宋"/>
          <w:b/>
          <w:bCs/>
          <w:sz w:val="32"/>
          <w:szCs w:val="32"/>
          <w:lang w:eastAsia="zh-CN"/>
        </w:rPr>
        <w:t>稳步提升。</w:t>
      </w:r>
      <w:r>
        <w:rPr>
          <w:rFonts w:hint="eastAsia" w:ascii="仿宋" w:hAnsi="仿宋" w:eastAsia="仿宋" w:cs="仿宋"/>
          <w:color w:val="000000" w:themeColor="text1"/>
          <w:sz w:val="32"/>
          <w:szCs w:val="32"/>
          <w14:textFill>
            <w14:solidFill>
              <w14:schemeClr w14:val="tx1"/>
            </w14:solidFill>
          </w14:textFill>
        </w:rPr>
        <w:t>全面落实科学课程标准，每周</w:t>
      </w:r>
      <w:r>
        <w:rPr>
          <w:rFonts w:hint="eastAsia" w:ascii="仿宋" w:hAnsi="仿宋" w:eastAsia="仿宋" w:cs="仿宋"/>
          <w:color w:val="000000"/>
          <w:kern w:val="0"/>
          <w:sz w:val="32"/>
          <w:szCs w:val="32"/>
          <w:lang w:val="en-US" w:eastAsia="zh-CN" w:bidi="en-US"/>
        </w:rPr>
        <w:t>1-3</w:t>
      </w:r>
      <w:r>
        <w:rPr>
          <w:rFonts w:hint="eastAsia" w:ascii="仿宋" w:hAnsi="仿宋" w:eastAsia="仿宋" w:cs="仿宋"/>
          <w:color w:val="000000" w:themeColor="text1"/>
          <w:sz w:val="32"/>
          <w:szCs w:val="32"/>
          <w14:textFill>
            <w14:solidFill>
              <w14:schemeClr w14:val="tx1"/>
            </w14:solidFill>
          </w14:textFill>
        </w:rPr>
        <w:t>节课时，开展了科普讲座、科学实验、科技创作、观测研究等科技社团和兴趣小组活动，发挥科技馆、博物馆、图书馆等校外活动场所作用，为学生参与课后服务活动拓展空间；积极组织区内中小学生参加</w:t>
      </w:r>
      <w:r>
        <w:rPr>
          <w:rFonts w:hint="eastAsia" w:ascii="仿宋" w:hAnsi="仿宋" w:eastAsia="仿宋" w:cs="仿宋"/>
          <w:color w:val="000000" w:themeColor="text1"/>
          <w:sz w:val="32"/>
          <w:szCs w:val="32"/>
          <w:lang w:eastAsia="zh-CN"/>
          <w14:textFill>
            <w14:solidFill>
              <w14:schemeClr w14:val="tx1"/>
            </w14:solidFill>
          </w14:textFill>
        </w:rPr>
        <w:t>上级</w:t>
      </w:r>
      <w:r>
        <w:rPr>
          <w:rFonts w:hint="eastAsia" w:ascii="仿宋" w:hAnsi="仿宋" w:eastAsia="仿宋" w:cs="仿宋"/>
          <w:color w:val="000000" w:themeColor="text1"/>
          <w:sz w:val="32"/>
          <w:szCs w:val="32"/>
          <w14:textFill>
            <w14:solidFill>
              <w14:schemeClr w14:val="tx1"/>
            </w14:solidFill>
          </w14:textFill>
        </w:rPr>
        <w:t>编程、机器人等科技竞赛</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依托“国培计划”“省培计划”“市培计划”，采取线上线下相结合的混合式研修方式对学科教师进行培训</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组织白沙实验小学等</w:t>
      </w:r>
      <w:r>
        <w:rPr>
          <w:rFonts w:hint="eastAsia" w:ascii="仿宋" w:hAnsi="仿宋" w:eastAsia="仿宋" w:cs="仿宋"/>
          <w:color w:val="000000"/>
          <w:kern w:val="0"/>
          <w:sz w:val="32"/>
          <w:szCs w:val="32"/>
          <w:lang w:val="en-US" w:eastAsia="zh-CN" w:bidi="en-US"/>
        </w:rPr>
        <w:t>4</w:t>
      </w:r>
      <w:r>
        <w:rPr>
          <w:rFonts w:hint="eastAsia" w:ascii="仿宋" w:hAnsi="仿宋" w:eastAsia="仿宋" w:cs="仿宋"/>
          <w:color w:val="000000" w:themeColor="text1"/>
          <w:sz w:val="32"/>
          <w:szCs w:val="32"/>
          <w:lang w:val="en-US" w:eastAsia="zh-CN"/>
          <w14:textFill>
            <w14:solidFill>
              <w14:schemeClr w14:val="tx1"/>
            </w14:solidFill>
          </w14:textFill>
        </w:rPr>
        <w:t>所小学参加全国航天育种种植体验公益实践活动，</w:t>
      </w:r>
      <w:r>
        <w:rPr>
          <w:rFonts w:hint="eastAsia" w:ascii="仿宋" w:hAnsi="仿宋" w:eastAsia="仿宋" w:cs="仿宋"/>
          <w:color w:val="000000" w:themeColor="text1"/>
          <w:sz w:val="32"/>
          <w:szCs w:val="32"/>
          <w14:textFill>
            <w14:solidFill>
              <w14:schemeClr w14:val="tx1"/>
            </w14:solidFill>
          </w14:textFill>
        </w:rPr>
        <w:t>组织“百名院士进校园，万名科技工作者上讲台”活动36场。</w:t>
      </w:r>
      <w:r>
        <w:rPr>
          <w:rFonts w:hint="eastAsia" w:ascii="仿宋" w:hAnsi="仿宋" w:eastAsia="仿宋" w:cs="仿宋"/>
          <w:b/>
          <w:bCs/>
          <w:sz w:val="32"/>
          <w:szCs w:val="32"/>
          <w:lang w:val="en-US" w:eastAsia="zh-CN"/>
        </w:rPr>
        <w:t>二是产业工人科学素质得到提高。</w:t>
      </w:r>
      <w:r>
        <w:rPr>
          <w:rFonts w:hint="eastAsia" w:ascii="仿宋" w:hAnsi="仿宋" w:eastAsia="仿宋" w:cs="仿宋"/>
          <w:sz w:val="32"/>
          <w:szCs w:val="32"/>
        </w:rPr>
        <w:t>联合人社部门开展人才专场活动</w:t>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sz w:val="32"/>
          <w:szCs w:val="32"/>
        </w:rPr>
        <w:t>场，帮助企业（柔性）引进了一批可用项目人才。牵线南华大学医学院和好皮夫制药、五斗信息，落地产学研合作，共同申报省自然科学基金专项；支持南岳电控和古汉中药申报市企业科技创新创业团队项目。推荐特变电工衡阳变压器有限公司龚筱琦等</w:t>
      </w:r>
      <w:r>
        <w:rPr>
          <w:rFonts w:hint="eastAsia" w:ascii="仿宋" w:hAnsi="仿宋" w:eastAsia="仿宋" w:cs="仿宋"/>
          <w:color w:val="000000" w:themeColor="text1"/>
          <w:sz w:val="32"/>
          <w:szCs w:val="32"/>
          <w14:textFill>
            <w14:solidFill>
              <w14:schemeClr w14:val="tx1"/>
            </w14:solidFill>
          </w14:textFill>
        </w:rPr>
        <w:t>6</w:t>
      </w:r>
      <w:r>
        <w:rPr>
          <w:rFonts w:hint="eastAsia" w:ascii="仿宋" w:hAnsi="仿宋" w:eastAsia="仿宋" w:cs="仿宋"/>
          <w:sz w:val="32"/>
          <w:szCs w:val="32"/>
        </w:rPr>
        <w:t>人、南岳电控（衡阳）工业技术股份有限公司欧阳玲湘等</w:t>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sz w:val="32"/>
          <w:szCs w:val="32"/>
        </w:rPr>
        <w:t>人申报衡阳市优秀专家；古汉中药有限公司李志忠等</w:t>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sz w:val="32"/>
          <w:szCs w:val="32"/>
        </w:rPr>
        <w:t>人申报衡阳市优秀人才。</w:t>
      </w:r>
      <w:r>
        <w:rPr>
          <w:rFonts w:hint="eastAsia" w:ascii="仿宋" w:hAnsi="仿宋" w:eastAsia="仿宋" w:cs="仿宋"/>
          <w:sz w:val="32"/>
          <w:szCs w:val="32"/>
          <w:lang w:eastAsia="zh-CN"/>
        </w:rPr>
        <w:t>古汉</w:t>
      </w:r>
      <w:r>
        <w:rPr>
          <w:rFonts w:hint="eastAsia" w:ascii="仿宋" w:hAnsi="仿宋" w:eastAsia="仿宋" w:cs="仿宋"/>
          <w:color w:val="000000"/>
          <w:kern w:val="0"/>
          <w:sz w:val="32"/>
          <w:szCs w:val="32"/>
          <w:lang w:val="en-US" w:eastAsia="zh-CN" w:bidi="en-US"/>
        </w:rPr>
        <w:t>1</w:t>
      </w:r>
      <w:r>
        <w:rPr>
          <w:rFonts w:hint="eastAsia" w:ascii="仿宋" w:hAnsi="仿宋" w:eastAsia="仿宋" w:cs="仿宋"/>
          <w:sz w:val="32"/>
          <w:szCs w:val="32"/>
          <w:lang w:val="en-US" w:eastAsia="zh-CN"/>
        </w:rPr>
        <w:t>人成功申报</w:t>
      </w:r>
      <w:r>
        <w:rPr>
          <w:rFonts w:hint="eastAsia" w:ascii="仿宋" w:hAnsi="仿宋" w:eastAsia="仿宋" w:cs="仿宋"/>
          <w:color w:val="000000"/>
          <w:kern w:val="0"/>
          <w:sz w:val="32"/>
          <w:szCs w:val="32"/>
          <w:lang w:val="en-US" w:eastAsia="zh-CN" w:bidi="en-US"/>
        </w:rPr>
        <w:t>2024</w:t>
      </w:r>
      <w:r>
        <w:rPr>
          <w:rFonts w:hint="eastAsia" w:ascii="仿宋" w:hAnsi="仿宋" w:eastAsia="仿宋" w:cs="仿宋"/>
          <w:sz w:val="32"/>
          <w:szCs w:val="32"/>
          <w:lang w:val="en-US" w:eastAsia="zh-CN"/>
        </w:rPr>
        <w:t>年衡阳市“小荷”科技人才专项，特变电工</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z w:val="32"/>
          <w:szCs w:val="32"/>
          <w:lang w:val="en-US" w:eastAsia="zh-CN"/>
        </w:rPr>
        <w:t>人荣获衡阳市“卓越工程师”。</w:t>
      </w:r>
      <w:r>
        <w:rPr>
          <w:rFonts w:hint="eastAsia" w:ascii="仿宋" w:hAnsi="仿宋" w:eastAsia="仿宋" w:cs="仿宋"/>
          <w:b/>
          <w:bCs/>
          <w:sz w:val="32"/>
          <w:szCs w:val="32"/>
          <w:lang w:val="en-US" w:eastAsia="zh-CN"/>
        </w:rPr>
        <w:t>三是农民科学素质提升行动。</w:t>
      </w:r>
      <w:r>
        <w:rPr>
          <w:rFonts w:hint="eastAsia" w:ascii="仿宋" w:hAnsi="仿宋" w:eastAsia="仿宋" w:cs="仿宋"/>
          <w:sz w:val="32"/>
          <w:szCs w:val="32"/>
        </w:rPr>
        <w:t>深入农村开展“三下乡”等科普宣传教育活动，遏制陈规陋习，营造文明乡风、淳朴民风的农村环境，提升农民文化素养。配合区“春风行动”暨“就业援助月”大型公益性线上线下招聘行动，</w:t>
      </w:r>
      <w:r>
        <w:rPr>
          <w:rFonts w:hint="eastAsia" w:ascii="仿宋" w:hAnsi="仿宋" w:eastAsia="仿宋" w:cs="仿宋"/>
          <w:sz w:val="32"/>
          <w:szCs w:val="32"/>
          <w:lang w:eastAsia="zh-CN"/>
        </w:rPr>
        <w:t>全年开展活动</w:t>
      </w:r>
      <w:r>
        <w:rPr>
          <w:rFonts w:hint="eastAsia" w:ascii="仿宋" w:hAnsi="仿宋" w:eastAsia="仿宋" w:cs="仿宋"/>
          <w:color w:val="000000"/>
          <w:kern w:val="0"/>
          <w:sz w:val="32"/>
          <w:szCs w:val="32"/>
          <w:lang w:val="en-US" w:eastAsia="zh-CN" w:bidi="en-US"/>
        </w:rPr>
        <w:t>19</w:t>
      </w:r>
      <w:r>
        <w:rPr>
          <w:rFonts w:hint="eastAsia" w:ascii="仿宋" w:hAnsi="仿宋" w:eastAsia="仿宋" w:cs="仿宋"/>
          <w:sz w:val="32"/>
          <w:szCs w:val="32"/>
          <w:lang w:val="en-US" w:eastAsia="zh-CN"/>
        </w:rPr>
        <w:t>场，提供岗位数</w:t>
      </w:r>
      <w:r>
        <w:rPr>
          <w:rFonts w:hint="eastAsia" w:ascii="仿宋" w:hAnsi="仿宋" w:eastAsia="仿宋" w:cs="仿宋"/>
          <w:color w:val="000000"/>
          <w:kern w:val="0"/>
          <w:sz w:val="32"/>
          <w:szCs w:val="32"/>
          <w:lang w:val="en-US" w:eastAsia="zh-CN" w:bidi="en-US"/>
        </w:rPr>
        <w:t>3</w:t>
      </w:r>
      <w:r>
        <w:rPr>
          <w:rFonts w:hint="eastAsia" w:ascii="仿宋" w:hAnsi="仿宋" w:eastAsia="仿宋" w:cs="仿宋"/>
          <w:sz w:val="32"/>
          <w:szCs w:val="32"/>
          <w:lang w:val="en-US" w:eastAsia="zh-CN"/>
        </w:rPr>
        <w:t>万个</w:t>
      </w:r>
      <w:r>
        <w:rPr>
          <w:rFonts w:hint="eastAsia" w:ascii="仿宋" w:hAnsi="仿宋" w:eastAsia="仿宋" w:cs="仿宋"/>
          <w:sz w:val="32"/>
          <w:szCs w:val="32"/>
        </w:rPr>
        <w:t>。引导科技和科普资源向薄弱乡村倾斜，开展科技、科普志愿服务</w:t>
      </w:r>
      <w:r>
        <w:rPr>
          <w:rFonts w:hint="eastAsia" w:ascii="仿宋" w:hAnsi="仿宋" w:eastAsia="仿宋" w:cs="仿宋"/>
          <w:color w:val="000000"/>
          <w:kern w:val="0"/>
          <w:sz w:val="32"/>
          <w:szCs w:val="32"/>
          <w:lang w:val="en-US" w:eastAsia="zh-CN" w:bidi="en-US"/>
        </w:rPr>
        <w:t>2</w:t>
      </w:r>
      <w:r>
        <w:rPr>
          <w:rFonts w:hint="eastAsia" w:ascii="仿宋" w:hAnsi="仿宋" w:eastAsia="仿宋" w:cs="仿宋"/>
          <w:sz w:val="32"/>
          <w:szCs w:val="32"/>
          <w:lang w:val="en-US" w:eastAsia="zh-CN"/>
        </w:rPr>
        <w:t>次</w:t>
      </w:r>
      <w:r>
        <w:rPr>
          <w:rFonts w:hint="eastAsia" w:ascii="仿宋" w:hAnsi="仿宋" w:eastAsia="仿宋" w:cs="仿宋"/>
          <w:sz w:val="32"/>
          <w:szCs w:val="32"/>
          <w:lang w:eastAsia="zh-CN"/>
        </w:rPr>
        <w:t>，提升种养殖大户业务知识和</w:t>
      </w:r>
      <w:r>
        <w:rPr>
          <w:rFonts w:hint="eastAsia" w:ascii="仿宋" w:hAnsi="仿宋" w:eastAsia="仿宋" w:cs="仿宋"/>
          <w:sz w:val="32"/>
          <w:szCs w:val="32"/>
        </w:rPr>
        <w:t>从业人员的职业技能。</w:t>
      </w:r>
      <w:r>
        <w:rPr>
          <w:rFonts w:hint="eastAsia" w:ascii="仿宋" w:hAnsi="仿宋" w:eastAsia="仿宋" w:cs="仿宋"/>
          <w:b/>
          <w:bCs/>
          <w:sz w:val="32"/>
          <w:szCs w:val="32"/>
          <w:lang w:val="en-US" w:eastAsia="zh-CN"/>
        </w:rPr>
        <w:t>四是老年人科学素质提升行动。</w:t>
      </w:r>
      <w:r>
        <w:rPr>
          <w:rFonts w:hint="eastAsia" w:ascii="仿宋" w:hAnsi="仿宋" w:eastAsia="仿宋" w:cs="仿宋"/>
          <w:sz w:val="32"/>
          <w:szCs w:val="32"/>
        </w:rPr>
        <w:t>积极开展“</w:t>
      </w:r>
      <w:r>
        <w:rPr>
          <w:rFonts w:hint="eastAsia" w:ascii="仿宋" w:hAnsi="仿宋" w:eastAsia="仿宋" w:cs="仿宋"/>
          <w:sz w:val="32"/>
          <w:szCs w:val="32"/>
          <w:lang w:eastAsia="zh-CN"/>
        </w:rPr>
        <w:t>银龄健康</w:t>
      </w:r>
      <w:r>
        <w:rPr>
          <w:rFonts w:hint="eastAsia" w:ascii="仿宋" w:hAnsi="仿宋" w:eastAsia="仿宋" w:cs="仿宋"/>
          <w:sz w:val="32"/>
          <w:szCs w:val="32"/>
        </w:rPr>
        <w:t>”、“健康大讲堂”</w:t>
      </w:r>
      <w:r>
        <w:rPr>
          <w:rFonts w:hint="eastAsia" w:ascii="仿宋" w:hAnsi="仿宋" w:eastAsia="仿宋" w:cs="仿宋"/>
          <w:sz w:val="32"/>
          <w:szCs w:val="32"/>
          <w:lang w:eastAsia="zh-CN"/>
        </w:rPr>
        <w:t>“食品药品宣传”</w:t>
      </w:r>
      <w:r>
        <w:rPr>
          <w:rFonts w:hint="eastAsia" w:ascii="仿宋" w:hAnsi="仿宋" w:eastAsia="仿宋" w:cs="仿宋"/>
          <w:sz w:val="32"/>
          <w:szCs w:val="32"/>
        </w:rPr>
        <w:t>等活动，进一步宣传普及老年健康科学知识和老年健康相关政策，增强老年人健康意识，提高老年人的健康素养。</w:t>
      </w:r>
      <w:r>
        <w:rPr>
          <w:rFonts w:hint="eastAsia" w:ascii="仿宋" w:hAnsi="仿宋" w:eastAsia="仿宋" w:cs="仿宋"/>
          <w:sz w:val="32"/>
          <w:szCs w:val="32"/>
          <w:lang w:eastAsia="zh-CN"/>
        </w:rPr>
        <w:t>持续</w:t>
      </w:r>
      <w:r>
        <w:rPr>
          <w:rFonts w:hint="eastAsia" w:ascii="仿宋" w:hAnsi="仿宋" w:eastAsia="仿宋" w:cs="仿宋"/>
          <w:sz w:val="32"/>
          <w:szCs w:val="32"/>
        </w:rPr>
        <w:t>开展“全民反诈，安全你我”活动，助老年人有效预防和应对电信诈骗。</w:t>
      </w:r>
      <w:r>
        <w:rPr>
          <w:rFonts w:hint="eastAsia" w:ascii="仿宋" w:hAnsi="仿宋" w:eastAsia="仿宋" w:cs="仿宋"/>
          <w:sz w:val="32"/>
          <w:szCs w:val="32"/>
          <w:lang w:val="en-US" w:eastAsia="zh-CN"/>
        </w:rPr>
        <w:t>在廻雁峰、民俗文化广场、南岳第一峰开展“科普中国”APP、</w:t>
      </w:r>
      <w:r>
        <w:rPr>
          <w:rFonts w:hint="eastAsia" w:ascii="仿宋" w:hAnsi="仿宋" w:eastAsia="仿宋" w:cs="仿宋"/>
          <w:color w:val="000000"/>
          <w:kern w:val="0"/>
          <w:sz w:val="32"/>
          <w:szCs w:val="32"/>
          <w:lang w:val="en-US" w:eastAsia="zh-CN" w:bidi="en-US"/>
        </w:rPr>
        <w:t>2024</w:t>
      </w:r>
      <w:r>
        <w:rPr>
          <w:rFonts w:hint="eastAsia" w:ascii="仿宋" w:hAnsi="仿宋" w:eastAsia="仿宋" w:cs="仿宋"/>
          <w:sz w:val="32"/>
          <w:szCs w:val="32"/>
          <w:lang w:val="en-US" w:eastAsia="zh-CN"/>
        </w:rPr>
        <w:t>年衡阳科学素质网络竞赛宣传活动，增进了群众对科普工作的了解，拉进了群众参与科普信息化建设的热情。</w:t>
      </w:r>
      <w:r>
        <w:rPr>
          <w:rFonts w:hint="eastAsia" w:ascii="仿宋" w:hAnsi="仿宋" w:eastAsia="仿宋" w:cs="仿宋"/>
          <w:b/>
          <w:bCs/>
          <w:sz w:val="32"/>
          <w:szCs w:val="32"/>
          <w:lang w:val="en-US" w:eastAsia="zh-CN"/>
        </w:rPr>
        <w:t>五是领导干部和公务员科学素质提升行动。</w:t>
      </w:r>
      <w:r>
        <w:rPr>
          <w:rFonts w:hint="eastAsia" w:ascii="仿宋" w:hAnsi="仿宋" w:eastAsia="仿宋" w:cs="仿宋"/>
          <w:sz w:val="32"/>
          <w:szCs w:val="32"/>
          <w:lang w:val="en-US" w:eastAsia="zh-CN"/>
        </w:rPr>
        <w:t>认真贯彻落实《公务员培训规定》《2023-2027年湖南省干部教育培训规划》，进一步强化领导干部和公务员对科教兴国等战略的认识。组织县级领导参加干部教育培训网络学院干部履职系列围绕科技、经济发展、应急管理、社会治理等课程。支持在全区职工中广泛开展的形体礼仪、中医健康等“科普大讲堂”工会活动。区人才办出台</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kern w:val="0"/>
          <w:sz w:val="32"/>
          <w:szCs w:val="32"/>
          <w:lang w:val="en-US" w:eastAsia="zh-CN" w:bidi="en-US"/>
        </w:rPr>
        <w:t>2024</w:t>
      </w:r>
      <w:r>
        <w:rPr>
          <w:rFonts w:hint="eastAsia" w:ascii="仿宋" w:hAnsi="仿宋" w:eastAsia="仿宋" w:cs="仿宋"/>
          <w:color w:val="000000" w:themeColor="text1"/>
          <w:sz w:val="32"/>
          <w:szCs w:val="32"/>
          <w:lang w:val="en-US" w:eastAsia="zh-CN"/>
          <w14:textFill>
            <w14:solidFill>
              <w14:schemeClr w14:val="tx1"/>
            </w14:solidFill>
          </w14:textFill>
        </w:rPr>
        <w:t>年度雁峰区科技特派员工作方案》，选派</w:t>
      </w:r>
      <w:r>
        <w:rPr>
          <w:rFonts w:hint="eastAsia" w:ascii="仿宋" w:hAnsi="仿宋" w:eastAsia="仿宋" w:cs="仿宋"/>
          <w:color w:val="000000"/>
          <w:kern w:val="0"/>
          <w:sz w:val="32"/>
          <w:szCs w:val="32"/>
          <w:lang w:val="en-US" w:eastAsia="zh-CN" w:bidi="en-US"/>
        </w:rPr>
        <w:t>1</w:t>
      </w:r>
      <w:r>
        <w:rPr>
          <w:rFonts w:hint="eastAsia" w:ascii="仿宋" w:hAnsi="仿宋" w:eastAsia="仿宋" w:cs="仿宋"/>
          <w:color w:val="000000" w:themeColor="text1"/>
          <w:sz w:val="32"/>
          <w:szCs w:val="32"/>
          <w:lang w:val="en-US" w:eastAsia="zh-CN"/>
          <w14:textFill>
            <w14:solidFill>
              <w14:schemeClr w14:val="tx1"/>
            </w14:solidFill>
          </w14:textFill>
        </w:rPr>
        <w:t>名区直事业单位干部深入企业，助力企业科技创新申报、成果转化。加强科技单位班子及后备干部建设，构建形成梯次配备培养格局。</w:t>
      </w:r>
    </w:p>
    <w:p w14:paraId="0F476E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lang w:eastAsia="zh-CN"/>
        </w:rPr>
        <w:t>围绕重点工程，增强服务能力。</w:t>
      </w:r>
      <w:r>
        <w:rPr>
          <w:rFonts w:hint="eastAsia" w:ascii="仿宋" w:hAnsi="仿宋" w:eastAsia="仿宋" w:cs="仿宋"/>
          <w:color w:val="000000" w:themeColor="text1"/>
          <w:sz w:val="32"/>
          <w:szCs w:val="32"/>
          <w:lang w:eastAsia="zh-CN"/>
          <w14:textFill>
            <w14:solidFill>
              <w14:schemeClr w14:val="tx1"/>
            </w14:solidFill>
          </w14:textFill>
        </w:rPr>
        <w:t>在积极组织、广泛开展活动的同时，实施科普设施建设工程，切实增强服务群众服务基层能力。</w:t>
      </w:r>
      <w:r>
        <w:rPr>
          <w:rFonts w:hint="eastAsia" w:ascii="仿宋" w:hAnsi="仿宋" w:eastAsia="仿宋" w:cs="仿宋"/>
          <w:b/>
          <w:bCs/>
          <w:sz w:val="32"/>
          <w:szCs w:val="32"/>
          <w:lang w:val="en-US" w:eastAsia="zh-CN"/>
        </w:rPr>
        <w:t>一是提升</w:t>
      </w:r>
      <w:r>
        <w:rPr>
          <w:rFonts w:hint="eastAsia" w:ascii="仿宋" w:hAnsi="仿宋" w:eastAsia="仿宋" w:cs="仿宋"/>
          <w:b/>
          <w:bCs/>
          <w:sz w:val="32"/>
          <w:szCs w:val="32"/>
          <w:lang w:eastAsia="zh-CN"/>
        </w:rPr>
        <w:t>信息化能力。</w:t>
      </w:r>
      <w:r>
        <w:rPr>
          <w:rFonts w:hint="eastAsia" w:ascii="仿宋" w:hAnsi="仿宋" w:eastAsia="仿宋" w:cs="仿宋"/>
          <w:i w:val="0"/>
          <w:iCs w:val="0"/>
          <w:caps w:val="0"/>
          <w:color w:val="000000"/>
          <w:spacing w:val="0"/>
          <w:sz w:val="32"/>
          <w:szCs w:val="32"/>
          <w:shd w:val="clear" w:fill="FFFFFF"/>
          <w:lang w:val="en-US" w:eastAsia="zh-CN"/>
        </w:rPr>
        <w:t>成功申报市科学普及能力提升项目，</w:t>
      </w:r>
      <w:r>
        <w:rPr>
          <w:rFonts w:hint="eastAsia" w:ascii="仿宋" w:hAnsi="仿宋" w:eastAsia="仿宋" w:cs="仿宋"/>
          <w:color w:val="000000"/>
          <w:sz w:val="32"/>
          <w:szCs w:val="32"/>
        </w:rPr>
        <w:t>在企业、学校、镇街积极推广“科普中国”APP传播，全年开展</w:t>
      </w:r>
      <w:r>
        <w:rPr>
          <w:rFonts w:hint="eastAsia" w:ascii="仿宋" w:hAnsi="仿宋" w:eastAsia="仿宋" w:cs="仿宋"/>
          <w:color w:val="000000"/>
          <w:sz w:val="32"/>
          <w:szCs w:val="32"/>
          <w:lang w:eastAsia="zh-CN"/>
        </w:rPr>
        <w:t>科普</w:t>
      </w:r>
      <w:r>
        <w:rPr>
          <w:rFonts w:hint="eastAsia" w:ascii="仿宋" w:hAnsi="仿宋" w:eastAsia="仿宋" w:cs="仿宋"/>
          <w:color w:val="000000"/>
          <w:sz w:val="32"/>
          <w:szCs w:val="32"/>
        </w:rPr>
        <w:t>活动累计超过</w:t>
      </w:r>
      <w:r>
        <w:rPr>
          <w:rFonts w:hint="eastAsia" w:ascii="仿宋" w:hAnsi="仿宋" w:eastAsia="仿宋" w:cs="仿宋"/>
          <w:color w:val="000000"/>
          <w:kern w:val="0"/>
          <w:sz w:val="32"/>
          <w:szCs w:val="32"/>
          <w:lang w:val="en-US" w:eastAsia="zh-CN" w:bidi="en-US"/>
        </w:rPr>
        <w:t>48</w:t>
      </w:r>
      <w:r>
        <w:rPr>
          <w:rFonts w:hint="eastAsia" w:ascii="仿宋" w:hAnsi="仿宋" w:eastAsia="仿宋" w:cs="仿宋"/>
          <w:color w:val="000000"/>
          <w:sz w:val="32"/>
          <w:szCs w:val="32"/>
        </w:rPr>
        <w:t>场，</w:t>
      </w:r>
      <w:r>
        <w:rPr>
          <w:rFonts w:hint="eastAsia" w:ascii="仿宋" w:hAnsi="仿宋" w:eastAsia="仿宋" w:cs="仿宋"/>
          <w:color w:val="000000"/>
          <w:sz w:val="32"/>
          <w:szCs w:val="32"/>
          <w:lang w:eastAsia="zh-CN"/>
        </w:rPr>
        <w:t>截至</w:t>
      </w:r>
      <w:r>
        <w:rPr>
          <w:rFonts w:hint="eastAsia" w:ascii="仿宋" w:hAnsi="仿宋" w:eastAsia="仿宋" w:cs="仿宋"/>
          <w:color w:val="000000"/>
          <w:kern w:val="0"/>
          <w:sz w:val="32"/>
          <w:szCs w:val="32"/>
          <w:lang w:val="en-US" w:eastAsia="zh-CN" w:bidi="en-US"/>
        </w:rPr>
        <w:t>2024</w:t>
      </w:r>
      <w:r>
        <w:rPr>
          <w:rFonts w:hint="eastAsia" w:ascii="仿宋" w:hAnsi="仿宋" w:eastAsia="仿宋" w:cs="仿宋"/>
          <w:color w:val="000000"/>
          <w:sz w:val="32"/>
          <w:szCs w:val="32"/>
          <w:lang w:val="en-US" w:eastAsia="zh-CN"/>
        </w:rPr>
        <w:t>年底，</w:t>
      </w:r>
      <w:r>
        <w:rPr>
          <w:rFonts w:hint="eastAsia" w:ascii="仿宋" w:hAnsi="仿宋" w:eastAsia="仿宋" w:cs="仿宋"/>
          <w:color w:val="000000"/>
          <w:sz w:val="32"/>
          <w:szCs w:val="32"/>
        </w:rPr>
        <w:t>传播</w:t>
      </w:r>
      <w:r>
        <w:rPr>
          <w:rFonts w:hint="eastAsia" w:ascii="仿宋" w:hAnsi="仿宋" w:eastAsia="仿宋" w:cs="仿宋"/>
          <w:color w:val="000000"/>
          <w:sz w:val="32"/>
          <w:szCs w:val="32"/>
          <w:lang w:eastAsia="zh-CN"/>
        </w:rPr>
        <w:t>量达</w:t>
      </w:r>
      <w:r>
        <w:rPr>
          <w:rFonts w:hint="eastAsia" w:ascii="仿宋" w:hAnsi="仿宋" w:eastAsia="仿宋" w:cs="仿宋"/>
          <w:color w:val="000000"/>
          <w:kern w:val="0"/>
          <w:sz w:val="32"/>
          <w:szCs w:val="32"/>
          <w:lang w:val="en-US" w:eastAsia="zh-CN" w:bidi="en-US"/>
        </w:rPr>
        <w:t>339</w:t>
      </w:r>
      <w:r>
        <w:rPr>
          <w:rFonts w:hint="eastAsia" w:ascii="仿宋" w:hAnsi="仿宋" w:eastAsia="仿宋" w:cs="仿宋"/>
          <w:color w:val="000000"/>
          <w:sz w:val="32"/>
          <w:szCs w:val="32"/>
          <w:lang w:val="en-US" w:eastAsia="zh-CN"/>
        </w:rPr>
        <w:t>万次，</w:t>
      </w:r>
      <w:r>
        <w:rPr>
          <w:rFonts w:hint="eastAsia" w:ascii="仿宋" w:hAnsi="仿宋" w:eastAsia="仿宋" w:cs="仿宋"/>
          <w:i w:val="0"/>
          <w:iCs w:val="0"/>
          <w:caps w:val="0"/>
          <w:color w:val="000000"/>
          <w:spacing w:val="0"/>
          <w:sz w:val="32"/>
          <w:szCs w:val="32"/>
          <w:shd w:val="clear" w:fill="FFFFFF"/>
          <w:lang w:val="en-US" w:eastAsia="zh-CN"/>
        </w:rPr>
        <w:t>充分展现我区良好的科学传播基础，重点科普活动开展有声有色，科普信息化、科技志愿服务成效明显。</w:t>
      </w:r>
      <w:r>
        <w:rPr>
          <w:rFonts w:hint="eastAsia" w:ascii="仿宋" w:hAnsi="仿宋" w:eastAsia="仿宋" w:cs="仿宋"/>
          <w:b/>
          <w:bCs/>
          <w:sz w:val="32"/>
          <w:szCs w:val="32"/>
          <w:lang w:val="en-US" w:eastAsia="zh-CN"/>
        </w:rPr>
        <w:t>二是</w:t>
      </w:r>
      <w:r>
        <w:rPr>
          <w:rFonts w:hint="eastAsia" w:ascii="仿宋" w:hAnsi="仿宋" w:eastAsia="仿宋" w:cs="仿宋"/>
          <w:b/>
          <w:bCs/>
          <w:sz w:val="32"/>
          <w:szCs w:val="32"/>
          <w:lang w:eastAsia="zh-CN"/>
        </w:rPr>
        <w:t>夯实科普阵地建设。</w:t>
      </w:r>
      <w:r>
        <w:rPr>
          <w:rFonts w:hint="eastAsia" w:ascii="仿宋" w:hAnsi="仿宋" w:eastAsia="仿宋" w:cs="仿宋"/>
          <w:color w:val="000000"/>
          <w:kern w:val="0"/>
          <w:sz w:val="32"/>
          <w:szCs w:val="32"/>
          <w:lang w:val="en-US" w:eastAsia="zh-CN" w:bidi="en-US"/>
        </w:rPr>
        <w:t>区内有古汉中医药养生、衡阳师范学院</w:t>
      </w:r>
      <w:r>
        <w:rPr>
          <w:rFonts w:hint="eastAsia" w:ascii="仿宋" w:hAnsi="仿宋" w:eastAsia="仿宋" w:cs="仿宋"/>
          <w:color w:val="000000"/>
          <w:sz w:val="32"/>
          <w:szCs w:val="32"/>
          <w:lang w:val="en-US" w:eastAsia="zh-CN"/>
        </w:rPr>
        <w:t>生命科学</w:t>
      </w:r>
      <w:r>
        <w:rPr>
          <w:rFonts w:hint="eastAsia" w:ascii="仿宋" w:hAnsi="仿宋" w:eastAsia="仿宋" w:cs="仿宋"/>
          <w:color w:val="000000"/>
          <w:kern w:val="0"/>
          <w:sz w:val="32"/>
          <w:szCs w:val="32"/>
          <w:lang w:val="en-US" w:eastAsia="zh-CN" w:bidi="en-US"/>
        </w:rPr>
        <w:t>湖南省科普基地2个，区科协聚焦科普设施规范化管理，引导科普教育基地充分发挥社会服务功能和作用，弘扬科学精神，普及科学知识，为衡阳市建设更高水平的国家创新型城市和</w:t>
      </w:r>
      <w:r>
        <w:rPr>
          <w:rFonts w:hint="eastAsia" w:ascii="仿宋" w:hAnsi="仿宋" w:eastAsia="仿宋" w:cs="仿宋"/>
          <w:color w:val="000000"/>
          <w:sz w:val="32"/>
          <w:szCs w:val="32"/>
        </w:rPr>
        <w:t>“</w:t>
      </w:r>
      <w:r>
        <w:rPr>
          <w:rFonts w:hint="eastAsia" w:ascii="仿宋" w:hAnsi="仿宋" w:eastAsia="仿宋" w:cs="仿宋"/>
          <w:color w:val="000000"/>
          <w:kern w:val="0"/>
          <w:sz w:val="32"/>
          <w:szCs w:val="32"/>
          <w:lang w:val="en-US" w:eastAsia="zh-CN" w:bidi="en-US"/>
        </w:rPr>
        <w:t>科创中国</w:t>
      </w:r>
      <w:r>
        <w:rPr>
          <w:rFonts w:hint="eastAsia" w:ascii="仿宋" w:hAnsi="仿宋" w:eastAsia="仿宋" w:cs="仿宋"/>
          <w:color w:val="000000"/>
          <w:sz w:val="32"/>
          <w:szCs w:val="32"/>
        </w:rPr>
        <w:t>”</w:t>
      </w:r>
      <w:r>
        <w:rPr>
          <w:rFonts w:hint="eastAsia" w:ascii="仿宋" w:hAnsi="仿宋" w:eastAsia="仿宋" w:cs="仿宋"/>
          <w:color w:val="000000"/>
          <w:kern w:val="0"/>
          <w:sz w:val="32"/>
          <w:szCs w:val="32"/>
          <w:lang w:val="en-US" w:eastAsia="zh-CN" w:bidi="en-US"/>
        </w:rPr>
        <w:t>试点城市贡献力量。</w:t>
      </w:r>
      <w:r>
        <w:rPr>
          <w:rFonts w:hint="eastAsia" w:ascii="仿宋" w:hAnsi="仿宋" w:eastAsia="仿宋" w:cs="仿宋"/>
          <w:b/>
          <w:bCs/>
          <w:kern w:val="2"/>
          <w:sz w:val="32"/>
          <w:szCs w:val="32"/>
          <w:lang w:val="en-US" w:eastAsia="zh-CN" w:bidi="ar-SA"/>
        </w:rPr>
        <w:t>三是强化基层科普设施。</w:t>
      </w:r>
      <w:r>
        <w:rPr>
          <w:rFonts w:hint="eastAsia" w:ascii="仿宋" w:hAnsi="仿宋" w:eastAsia="仿宋" w:cs="仿宋"/>
          <w:sz w:val="32"/>
          <w:szCs w:val="32"/>
          <w:lang w:val="en-US" w:eastAsia="zh-CN"/>
        </w:rPr>
        <w:t>更换区基层科普宣传栏</w:t>
      </w:r>
      <w:r>
        <w:rPr>
          <w:rFonts w:hint="eastAsia" w:ascii="仿宋" w:hAnsi="仿宋" w:eastAsia="仿宋" w:cs="仿宋"/>
          <w:color w:val="000000"/>
          <w:kern w:val="0"/>
          <w:sz w:val="32"/>
          <w:szCs w:val="32"/>
          <w:lang w:val="en-US" w:eastAsia="zh-CN" w:bidi="en-US"/>
        </w:rPr>
        <w:t>12</w:t>
      </w:r>
      <w:r>
        <w:rPr>
          <w:rFonts w:hint="eastAsia" w:ascii="仿宋" w:hAnsi="仿宋" w:eastAsia="仿宋" w:cs="仿宋"/>
          <w:sz w:val="32"/>
          <w:szCs w:val="32"/>
          <w:lang w:val="en-US" w:eastAsia="zh-CN"/>
        </w:rPr>
        <w:t>副，选取幸福社区、衡常村社区、白竹皂社区等</w:t>
      </w:r>
      <w:r>
        <w:rPr>
          <w:rFonts w:hint="eastAsia" w:ascii="仿宋" w:hAnsi="仿宋" w:eastAsia="仿宋" w:cs="仿宋"/>
          <w:color w:val="000000"/>
          <w:kern w:val="0"/>
          <w:sz w:val="32"/>
          <w:szCs w:val="32"/>
          <w:lang w:val="en-US" w:eastAsia="zh-CN" w:bidi="en-US"/>
        </w:rPr>
        <w:t>4</w:t>
      </w:r>
      <w:r>
        <w:rPr>
          <w:rFonts w:hint="eastAsia" w:ascii="仿宋" w:hAnsi="仿宋" w:eastAsia="仿宋" w:cs="仿宋"/>
          <w:sz w:val="32"/>
          <w:szCs w:val="32"/>
          <w:lang w:val="en-US" w:eastAsia="zh-CN"/>
        </w:rPr>
        <w:t>个重点社区开展护眼、防溺水、进企业等科普活动多起，发放宣传资料万余份，提高科普活动基层影响力，服务基层群众。在省市媒体发表宣新闻传简讯近</w:t>
      </w:r>
      <w:r>
        <w:rPr>
          <w:rFonts w:hint="eastAsia" w:ascii="仿宋" w:hAnsi="仿宋" w:eastAsia="仿宋" w:cs="仿宋"/>
          <w:color w:val="000000"/>
          <w:kern w:val="0"/>
          <w:sz w:val="32"/>
          <w:szCs w:val="32"/>
          <w:lang w:val="en-US" w:eastAsia="zh-CN" w:bidi="en-US"/>
        </w:rPr>
        <w:t>30</w:t>
      </w:r>
      <w:r>
        <w:rPr>
          <w:rFonts w:hint="eastAsia" w:ascii="仿宋" w:hAnsi="仿宋" w:eastAsia="仿宋" w:cs="仿宋"/>
          <w:sz w:val="32"/>
          <w:szCs w:val="32"/>
          <w:lang w:val="en-US" w:eastAsia="zh-CN"/>
        </w:rPr>
        <w:t>篇，扩宽科普活动宣传力和影响力，营造良好氛围。</w:t>
      </w:r>
    </w:p>
    <w:p w14:paraId="1CAD6B0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b/>
          <w:bCs/>
          <w:kern w:val="2"/>
          <w:sz w:val="32"/>
          <w:szCs w:val="32"/>
          <w:lang w:val="en-US" w:eastAsia="zh-CN" w:bidi="ar-SA"/>
        </w:rPr>
        <w:t>3.围绕品牌活动，增强履职能力。</w:t>
      </w:r>
      <w:r>
        <w:rPr>
          <w:rFonts w:hint="eastAsia" w:ascii="仿宋" w:hAnsi="仿宋" w:eastAsia="仿宋" w:cs="仿宋"/>
          <w:sz w:val="32"/>
          <w:szCs w:val="32"/>
          <w:lang w:val="en-US" w:eastAsia="zh-CN"/>
        </w:rPr>
        <w:t>充分发挥科普品牌影响力，服务科技工作者，营造良好氛围。</w:t>
      </w:r>
      <w:r>
        <w:rPr>
          <w:rFonts w:hint="eastAsia" w:ascii="仿宋" w:hAnsi="仿宋" w:eastAsia="仿宋" w:cs="仿宋"/>
          <w:b/>
          <w:bCs/>
          <w:color w:val="auto"/>
          <w:sz w:val="32"/>
          <w:szCs w:val="32"/>
          <w:lang w:val="en-US" w:eastAsia="zh-CN"/>
        </w:rPr>
        <w:t>一是开展“全国科技工作者日”活动</w:t>
      </w:r>
      <w:r>
        <w:rPr>
          <w:rFonts w:hint="eastAsia" w:ascii="仿宋" w:hAnsi="仿宋" w:eastAsia="仿宋" w:cs="仿宋"/>
          <w:color w:val="auto"/>
          <w:sz w:val="32"/>
          <w:szCs w:val="32"/>
          <w:lang w:val="en-US" w:eastAsia="zh-CN"/>
        </w:rPr>
        <w:t>。</w:t>
      </w:r>
      <w:r>
        <w:rPr>
          <w:rFonts w:hint="eastAsia" w:ascii="仿宋" w:hAnsi="仿宋" w:eastAsia="仿宋" w:cs="仿宋"/>
          <w:i w:val="0"/>
          <w:iCs w:val="0"/>
          <w:caps w:val="0"/>
          <w:color w:val="000000"/>
          <w:spacing w:val="0"/>
          <w:sz w:val="32"/>
          <w:szCs w:val="32"/>
          <w:shd w:val="clear" w:fill="FFFFFF"/>
          <w:lang w:val="en-US" w:eastAsia="zh-CN"/>
        </w:rPr>
        <w:t>区科协、区经科信局和区教育局联合举办的科普讲解大赛和雁峰区“全国科技活动周”活动，将区科协的工作置于全区发展大局去谋划，讲解大赛活动展现了我区优秀科技工作者的风采和科技企业的厚重文化。科技周活动在省科普教育基地古汉中药有限公司举办，启动仪式上机器人表演、南岳第一峰的科幻旅游路演和辛追夫人探秘路演充分展现了“科技+文旅”的精彩绝伦，很好的“弘扬科学家精神、激发全社会的创新活力”。</w:t>
      </w:r>
      <w:r>
        <w:rPr>
          <w:rFonts w:hint="eastAsia" w:ascii="仿宋" w:hAnsi="仿宋" w:eastAsia="仿宋" w:cs="仿宋"/>
          <w:b/>
          <w:bCs/>
          <w:color w:val="auto"/>
          <w:sz w:val="32"/>
          <w:szCs w:val="32"/>
          <w:lang w:val="en-US" w:eastAsia="zh-CN"/>
        </w:rPr>
        <w:t>二是开展好全国科普日主场活动。</w:t>
      </w:r>
      <w:r>
        <w:rPr>
          <w:rFonts w:hint="eastAsia" w:ascii="仿宋" w:hAnsi="仿宋" w:eastAsia="仿宋" w:cs="仿宋"/>
          <w:b w:val="0"/>
          <w:bCs w:val="0"/>
          <w:sz w:val="32"/>
          <w:szCs w:val="32"/>
          <w:lang w:val="en-US" w:eastAsia="zh-CN"/>
        </w:rPr>
        <w:t>将</w:t>
      </w:r>
      <w:r>
        <w:rPr>
          <w:rFonts w:hint="eastAsia" w:ascii="仿宋" w:hAnsi="仿宋" w:eastAsia="仿宋" w:cs="仿宋"/>
          <w:kern w:val="2"/>
          <w:sz w:val="32"/>
          <w:szCs w:val="32"/>
          <w:lang w:val="en-US" w:eastAsia="zh-CN" w:bidi="ar-SA"/>
        </w:rPr>
        <w:t>科普资源向农村学校倾斜，送教进学</w:t>
      </w:r>
      <w:r>
        <w:rPr>
          <w:rFonts w:hint="eastAsia" w:ascii="仿宋" w:hAnsi="仿宋" w:eastAsia="仿宋" w:cs="仿宋"/>
          <w:i w:val="0"/>
          <w:iCs w:val="0"/>
          <w:caps w:val="0"/>
          <w:color w:val="000000"/>
          <w:spacing w:val="0"/>
          <w:sz w:val="32"/>
          <w:szCs w:val="32"/>
          <w:shd w:val="clear" w:color="auto" w:fill="FFFFFF"/>
          <w:lang w:val="en-US" w:eastAsia="zh-CN"/>
        </w:rPr>
        <w:t>，提升基层学生的幸福感</w:t>
      </w:r>
      <w:r>
        <w:rPr>
          <w:rFonts w:hint="eastAsia" w:ascii="仿宋" w:hAnsi="仿宋" w:eastAsia="仿宋" w:cs="仿宋"/>
          <w:kern w:val="2"/>
          <w:sz w:val="32"/>
          <w:szCs w:val="32"/>
          <w:lang w:val="en-US" w:eastAsia="zh-CN" w:bidi="ar-SA"/>
        </w:rPr>
        <w:t>。</w:t>
      </w:r>
      <w:r>
        <w:rPr>
          <w:rFonts w:hint="eastAsia" w:ascii="仿宋" w:hAnsi="仿宋" w:eastAsia="仿宋" w:cs="仿宋"/>
          <w:b w:val="0"/>
          <w:bCs w:val="0"/>
          <w:sz w:val="32"/>
          <w:szCs w:val="32"/>
          <w:lang w:val="en-US" w:eastAsia="zh-CN"/>
        </w:rPr>
        <w:t>区科协、区教育局和区科工信局联合组织在公益小学开展</w:t>
      </w:r>
      <w:r>
        <w:rPr>
          <w:rFonts w:hint="eastAsia" w:ascii="仿宋" w:hAnsi="仿宋" w:eastAsia="仿宋" w:cs="仿宋"/>
          <w:color w:val="000000"/>
          <w:kern w:val="0"/>
          <w:sz w:val="32"/>
          <w:szCs w:val="32"/>
          <w:lang w:val="en-US" w:eastAsia="zh-CN" w:bidi="en-US"/>
        </w:rPr>
        <w:t>2024</w:t>
      </w:r>
      <w:r>
        <w:rPr>
          <w:rFonts w:hint="eastAsia" w:ascii="仿宋" w:hAnsi="仿宋" w:eastAsia="仿宋" w:cs="仿宋"/>
          <w:b w:val="0"/>
          <w:bCs w:val="0"/>
          <w:sz w:val="32"/>
          <w:szCs w:val="32"/>
          <w:lang w:val="en-US" w:eastAsia="zh-CN"/>
        </w:rPr>
        <w:t>年雁峰区全国科普日主场系列活动。</w:t>
      </w:r>
      <w:r>
        <w:rPr>
          <w:rFonts w:hint="eastAsia" w:ascii="仿宋" w:hAnsi="仿宋" w:eastAsia="仿宋" w:cs="仿宋"/>
          <w:i w:val="0"/>
          <w:iCs w:val="0"/>
          <w:caps w:val="0"/>
          <w:color w:val="000000"/>
          <w:spacing w:val="0"/>
          <w:sz w:val="32"/>
          <w:szCs w:val="32"/>
          <w:shd w:val="clear" w:fill="FFFFFF"/>
          <w:lang w:val="en-US" w:eastAsia="zh-CN"/>
        </w:rPr>
        <w:t>邀请北京猿力科技有限公司老师讲授AR编程火灾安全逃生主题课程，让同学们身临其境了解到发生火灾应该如何快速自救，品味编程思维创新课堂。课后组织学生开展研学实践，探秘古汉中医药养生科普教育基地的科技魅力，感受厚重的企业文化，了解优秀科技工作者事迹，很好的提升了科学素养。</w:t>
      </w:r>
      <w:r>
        <w:rPr>
          <w:rFonts w:hint="eastAsia" w:ascii="仿宋" w:hAnsi="仿宋" w:eastAsia="仿宋" w:cs="仿宋"/>
          <w:b/>
          <w:bCs/>
          <w:color w:val="auto"/>
          <w:sz w:val="32"/>
          <w:szCs w:val="32"/>
          <w:lang w:val="en-US" w:eastAsia="zh-CN"/>
        </w:rPr>
        <w:t>三是开展好科普“六进”活动。</w:t>
      </w:r>
      <w:r>
        <w:rPr>
          <w:rFonts w:hint="eastAsia" w:ascii="仿宋" w:hAnsi="仿宋" w:eastAsia="仿宋" w:cs="仿宋"/>
          <w:i w:val="0"/>
          <w:iCs w:val="0"/>
          <w:caps w:val="0"/>
          <w:color w:val="000000"/>
          <w:spacing w:val="0"/>
          <w:sz w:val="32"/>
          <w:szCs w:val="32"/>
          <w:shd w:val="clear" w:fill="FFFFFF"/>
          <w:lang w:val="en-US" w:eastAsia="zh-CN"/>
        </w:rPr>
        <w:t>在全国科普日活动期间，下发镇街宣传手册5000份，纸杯10000个，袋子1000个，将科普资料进机关、进企业、进社区、进农村、进学校、进家庭。</w:t>
      </w:r>
    </w:p>
    <w:p w14:paraId="4A23B165">
      <w:pPr>
        <w:pStyle w:val="13"/>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 w:hAnsi="楷体" w:eastAsia="楷体" w:cs="楷体"/>
          <w:b/>
          <w:bCs/>
          <w:sz w:val="32"/>
          <w:szCs w:val="32"/>
          <w:lang w:val="en-US" w:eastAsia="zh-CN"/>
        </w:rPr>
      </w:pPr>
      <w:r>
        <w:rPr>
          <w:rFonts w:hint="eastAsia" w:ascii="仿宋" w:hAnsi="仿宋" w:eastAsia="仿宋" w:cs="仿宋"/>
          <w:b/>
          <w:bCs/>
          <w:sz w:val="32"/>
          <w:szCs w:val="32"/>
          <w:lang w:val="en-US" w:eastAsia="zh-CN"/>
        </w:rPr>
        <w:t>4.取得的“亮点工作”。一是</w:t>
      </w:r>
      <w:r>
        <w:rPr>
          <w:rFonts w:hint="eastAsia" w:ascii="仿宋" w:hAnsi="仿宋" w:eastAsia="仿宋" w:cs="仿宋"/>
          <w:b/>
          <w:bCs/>
          <w:sz w:val="32"/>
          <w:szCs w:val="32"/>
          <w:lang w:eastAsia="zh-CN"/>
        </w:rPr>
        <w:t>中医药元素特色信息化建设。</w:t>
      </w:r>
      <w:r>
        <w:rPr>
          <w:rFonts w:hint="eastAsia" w:ascii="仿宋" w:hAnsi="仿宋" w:eastAsia="仿宋" w:cs="仿宋"/>
          <w:color w:val="000000"/>
          <w:kern w:val="0"/>
          <w:sz w:val="32"/>
          <w:szCs w:val="32"/>
          <w:lang w:val="en-US" w:eastAsia="zh-CN" w:bidi="en-US"/>
        </w:rPr>
        <w:t>区内有古汉中医药养生湖南省科普教育基地1个，融入了中医药、AI、人工智能等科技元素，并纳入衡阳文旅路线，常年对外免费开放，尤其是为学生参与课后服务活动拓展空间。其中</w:t>
      </w:r>
      <w:r>
        <w:rPr>
          <w:rFonts w:hint="eastAsia" w:ascii="仿宋" w:hAnsi="仿宋" w:eastAsia="仿宋" w:cs="仿宋"/>
          <w:color w:val="000000"/>
          <w:sz w:val="32"/>
          <w:szCs w:val="32"/>
          <w:lang w:val="en-US" w:eastAsia="zh-CN"/>
        </w:rPr>
        <w:t>，科普研学中心开展的沉浸式、互动式的中医药科普教育和实践活动，如中药饮片辨识、中药称量及炮制等，培养群众对中医药的兴趣和认知。</w:t>
      </w:r>
      <w:r>
        <w:rPr>
          <w:rFonts w:hint="eastAsia" w:ascii="仿宋" w:hAnsi="仿宋" w:eastAsia="仿宋" w:cs="仿宋"/>
          <w:b/>
          <w:bCs/>
          <w:sz w:val="32"/>
          <w:szCs w:val="32"/>
          <w:lang w:val="en-US" w:eastAsia="zh-CN"/>
        </w:rPr>
        <w:t>二是</w:t>
      </w:r>
      <w:r>
        <w:rPr>
          <w:rFonts w:hint="eastAsia" w:ascii="仿宋" w:hAnsi="仿宋" w:eastAsia="仿宋" w:cs="仿宋"/>
          <w:b/>
          <w:bCs/>
          <w:sz w:val="32"/>
          <w:szCs w:val="32"/>
          <w:lang w:eastAsia="zh-CN"/>
        </w:rPr>
        <w:t>科普元素融入项目设施建设。</w:t>
      </w:r>
      <w:r>
        <w:rPr>
          <w:rFonts w:hint="eastAsia" w:ascii="仿宋" w:hAnsi="仿宋" w:eastAsia="仿宋" w:cs="仿宋"/>
          <w:color w:val="000000"/>
          <w:kern w:val="2"/>
          <w:sz w:val="32"/>
          <w:szCs w:val="32"/>
          <w:lang w:val="en-US" w:eastAsia="zh-CN" w:bidi="ar-SA"/>
        </w:rPr>
        <w:t>以项目推进科普信息化建设，全面落实“三高四新”战略定位和使命任务、推进“三强一化”建设。</w:t>
      </w:r>
      <w:r>
        <w:rPr>
          <w:rFonts w:hint="eastAsia" w:ascii="仿宋" w:hAnsi="仿宋" w:eastAsia="仿宋" w:cs="仿宋"/>
          <w:color w:val="000000"/>
          <w:kern w:val="0"/>
          <w:sz w:val="32"/>
          <w:szCs w:val="32"/>
          <w:lang w:val="en-US" w:eastAsia="zh-CN" w:bidi="en-US"/>
        </w:rPr>
        <w:t>我区现有的衡阳市</w:t>
      </w:r>
      <w:r>
        <w:rPr>
          <w:rFonts w:hint="eastAsia" w:ascii="仿宋" w:hAnsi="仿宋" w:eastAsia="仿宋" w:cs="仿宋"/>
          <w:sz w:val="32"/>
          <w:szCs w:val="32"/>
        </w:rPr>
        <w:t>图书馆</w:t>
      </w:r>
      <w:r>
        <w:rPr>
          <w:rFonts w:hint="eastAsia" w:ascii="仿宋" w:hAnsi="仿宋" w:eastAsia="仿宋" w:cs="仿宋"/>
          <w:sz w:val="32"/>
          <w:szCs w:val="32"/>
          <w:lang w:eastAsia="zh-CN"/>
        </w:rPr>
        <w:t>常年对外免费开放，为各类人员普及科学知识，提高全民科学素质</w:t>
      </w:r>
      <w:r>
        <w:rPr>
          <w:rFonts w:hint="eastAsia" w:ascii="仿宋" w:hAnsi="仿宋" w:eastAsia="仿宋" w:cs="仿宋"/>
          <w:sz w:val="32"/>
          <w:szCs w:val="32"/>
        </w:rPr>
        <w:t>。</w:t>
      </w:r>
      <w:r>
        <w:rPr>
          <w:rFonts w:hint="eastAsia" w:ascii="仿宋" w:hAnsi="仿宋" w:eastAsia="仿宋" w:cs="仿宋"/>
          <w:sz w:val="32"/>
          <w:szCs w:val="32"/>
          <w:lang w:val="en-US" w:eastAsia="zh-CN"/>
        </w:rPr>
        <w:t>三是</w:t>
      </w:r>
      <w:r>
        <w:rPr>
          <w:rFonts w:hint="eastAsia" w:ascii="仿宋" w:hAnsi="仿宋" w:eastAsia="仿宋" w:cs="仿宋"/>
          <w:b/>
          <w:bCs/>
          <w:sz w:val="32"/>
          <w:szCs w:val="32"/>
          <w:lang w:eastAsia="zh-CN"/>
        </w:rPr>
        <w:t>科技服务团专家助推产业发展。</w:t>
      </w:r>
      <w:r>
        <w:rPr>
          <w:rFonts w:hint="eastAsia" w:ascii="仿宋" w:hAnsi="仿宋" w:eastAsia="仿宋" w:cs="仿宋"/>
          <w:color w:val="000000"/>
          <w:kern w:val="2"/>
          <w:sz w:val="32"/>
          <w:szCs w:val="32"/>
          <w:lang w:val="en-US" w:eastAsia="zh-CN" w:bidi="ar-SA"/>
        </w:rPr>
        <w:t>活动以农业产业调研、农技知识培训、专家座谈会、农业新产品推广等形式开展，让我区科技专家服务团工作落到实处，进一步发挥科技创新在地方产业特色作用，切实提高企业和广大农民的科技意识、新产品意识和农技水平，进一步促进农民增收增收。</w:t>
      </w:r>
    </w:p>
    <w:p w14:paraId="05CEE2B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黑体" w:hAnsi="黑体" w:eastAsia="黑体" w:cs="黑体"/>
          <w:sz w:val="32"/>
          <w:szCs w:val="32"/>
          <w:lang w:eastAsia="zh-CN"/>
        </w:rPr>
      </w:pPr>
      <w:bookmarkStart w:id="28" w:name="_Toc1126"/>
      <w:r>
        <w:rPr>
          <w:rFonts w:hint="eastAsia" w:ascii="黑体" w:hAnsi="黑体" w:eastAsia="黑体" w:cs="黑体"/>
          <w:sz w:val="32"/>
          <w:szCs w:val="32"/>
          <w:lang w:eastAsia="zh-CN"/>
        </w:rPr>
        <w:t>部门</w:t>
      </w:r>
      <w:r>
        <w:rPr>
          <w:rFonts w:hint="eastAsia" w:ascii="黑体" w:hAnsi="黑体" w:eastAsia="黑体" w:cs="黑体"/>
          <w:sz w:val="32"/>
          <w:szCs w:val="32"/>
          <w:lang w:val="en-US" w:eastAsia="zh-CN"/>
        </w:rPr>
        <w:t>预算及</w:t>
      </w:r>
      <w:r>
        <w:rPr>
          <w:rFonts w:hint="eastAsia" w:ascii="黑体" w:hAnsi="黑体" w:eastAsia="黑体" w:cs="黑体"/>
          <w:sz w:val="32"/>
          <w:szCs w:val="32"/>
          <w:lang w:eastAsia="zh-CN"/>
        </w:rPr>
        <w:t>整体支出概况</w:t>
      </w:r>
      <w:bookmarkEnd w:id="28"/>
    </w:p>
    <w:p w14:paraId="5E9392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分析逻辑流程：年初预算数→全年预算数（调整后预算数）→账套数→重分类数，重分类后与决算数进行对比分析。</w:t>
      </w:r>
    </w:p>
    <w:p w14:paraId="10336602">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29" w:name="_Toc21614"/>
      <w:r>
        <w:rPr>
          <w:rFonts w:hint="eastAsia" w:ascii="楷体" w:hAnsi="楷体" w:eastAsia="楷体" w:cs="楷体"/>
          <w:b/>
          <w:bCs/>
          <w:sz w:val="32"/>
          <w:szCs w:val="32"/>
          <w:lang w:eastAsia="zh-CN"/>
        </w:rPr>
        <w:t>预算</w:t>
      </w:r>
      <w:r>
        <w:rPr>
          <w:rFonts w:hint="eastAsia" w:ascii="楷体" w:hAnsi="楷体" w:eastAsia="楷体" w:cs="楷体"/>
          <w:b/>
          <w:bCs/>
          <w:sz w:val="32"/>
          <w:szCs w:val="32"/>
          <w:lang w:val="en-US" w:eastAsia="zh-CN"/>
        </w:rPr>
        <w:t>配置</w:t>
      </w:r>
      <w:r>
        <w:rPr>
          <w:rFonts w:hint="eastAsia" w:ascii="楷体" w:hAnsi="楷体" w:eastAsia="楷体" w:cs="楷体"/>
          <w:b/>
          <w:bCs/>
          <w:sz w:val="32"/>
          <w:szCs w:val="32"/>
          <w:lang w:eastAsia="zh-CN"/>
        </w:rPr>
        <w:t>情况</w:t>
      </w:r>
      <w:r>
        <w:rPr>
          <w:rFonts w:hint="eastAsia" w:ascii="楷体" w:hAnsi="楷体" w:eastAsia="楷体" w:cs="楷体"/>
          <w:b/>
          <w:bCs/>
          <w:sz w:val="32"/>
          <w:szCs w:val="32"/>
          <w:lang w:val="en-US" w:eastAsia="zh-CN"/>
        </w:rPr>
        <w:t>及分析</w:t>
      </w:r>
      <w:bookmarkEnd w:id="29"/>
    </w:p>
    <w:p w14:paraId="06B55FC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楷体" w:hAnsi="楷体" w:eastAsia="楷体" w:cs="楷体"/>
          <w:b/>
          <w:bCs/>
          <w:sz w:val="32"/>
          <w:szCs w:val="32"/>
          <w:lang w:val="en-US" w:eastAsia="zh-CN"/>
        </w:rPr>
      </w:pPr>
      <w:r>
        <w:rPr>
          <w:rFonts w:hint="eastAsia" w:ascii="仿宋" w:hAnsi="仿宋" w:eastAsia="仿宋" w:cs="仿宋"/>
          <w:b/>
          <w:bCs/>
          <w:sz w:val="32"/>
          <w:szCs w:val="32"/>
          <w:lang w:val="en-US" w:eastAsia="zh-CN"/>
        </w:rPr>
        <w:t>1.预算配置情况</w:t>
      </w:r>
    </w:p>
    <w:p w14:paraId="725D31D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楷体" w:hAnsi="楷体" w:eastAsia="楷体" w:cs="楷体"/>
          <w:b w:val="0"/>
          <w:bCs w:val="0"/>
          <w:sz w:val="32"/>
          <w:szCs w:val="32"/>
          <w:lang w:eastAsia="zh-CN"/>
        </w:rPr>
      </w:pPr>
      <w:r>
        <w:rPr>
          <w:rFonts w:hint="eastAsia" w:ascii="仿宋" w:hAnsi="仿宋" w:eastAsia="仿宋" w:cs="仿宋"/>
          <w:b w:val="0"/>
          <w:bCs w:val="0"/>
          <w:sz w:val="32"/>
          <w:szCs w:val="32"/>
          <w:lang w:eastAsia="zh-CN"/>
        </w:rPr>
        <w:t>年初预算额</w:t>
      </w:r>
      <w:r>
        <w:rPr>
          <w:rFonts w:hint="eastAsia" w:ascii="仿宋" w:hAnsi="仿宋" w:eastAsia="仿宋" w:cs="仿宋"/>
          <w:b w:val="0"/>
          <w:bCs w:val="0"/>
          <w:sz w:val="32"/>
          <w:szCs w:val="32"/>
          <w:highlight w:val="none"/>
          <w:lang w:eastAsia="zh-CN"/>
        </w:rPr>
        <w:t>度</w:t>
      </w:r>
      <w:r>
        <w:rPr>
          <w:rFonts w:hint="eastAsia" w:ascii="仿宋" w:hAnsi="仿宋" w:eastAsia="仿宋" w:cs="仿宋"/>
          <w:b w:val="0"/>
          <w:bCs w:val="0"/>
          <w:sz w:val="32"/>
          <w:szCs w:val="32"/>
          <w:highlight w:val="none"/>
          <w:lang w:val="en-US" w:eastAsia="zh-CN"/>
        </w:rPr>
        <w:t>631,700.00</w:t>
      </w:r>
      <w:r>
        <w:rPr>
          <w:rFonts w:hint="eastAsia" w:ascii="仿宋" w:hAnsi="仿宋" w:eastAsia="仿宋" w:cs="仿宋"/>
          <w:b w:val="0"/>
          <w:bCs w:val="0"/>
          <w:sz w:val="32"/>
          <w:szCs w:val="32"/>
          <w:highlight w:val="none"/>
          <w:lang w:eastAsia="zh-CN"/>
        </w:rPr>
        <w:t>元，</w:t>
      </w:r>
      <w:r>
        <w:rPr>
          <w:rFonts w:hint="eastAsia" w:ascii="仿宋" w:hAnsi="仿宋" w:eastAsia="仿宋" w:cs="仿宋"/>
          <w:b w:val="0"/>
          <w:bCs w:val="0"/>
          <w:sz w:val="32"/>
          <w:szCs w:val="32"/>
          <w:highlight w:val="none"/>
          <w:lang w:val="en-US" w:eastAsia="zh-CN"/>
        </w:rPr>
        <w:t>预算调整后额度937,567.98元</w:t>
      </w:r>
      <w:r>
        <w:rPr>
          <w:rFonts w:hint="eastAsia" w:ascii="仿宋" w:hAnsi="仿宋" w:eastAsia="仿宋" w:cs="仿宋"/>
          <w:b w:val="0"/>
          <w:bCs w:val="0"/>
          <w:sz w:val="32"/>
          <w:szCs w:val="32"/>
          <w:highlight w:val="none"/>
          <w:lang w:eastAsia="zh-CN"/>
        </w:rPr>
        <w:t>。</w:t>
      </w:r>
    </w:p>
    <w:p w14:paraId="7B87E63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lang w:val="en-US" w:eastAsia="zh-CN"/>
        </w:rPr>
        <w:t>2.预算配置</w:t>
      </w:r>
      <w:r>
        <w:rPr>
          <w:rFonts w:hint="eastAsia" w:ascii="仿宋" w:hAnsi="仿宋" w:eastAsia="仿宋" w:cs="仿宋"/>
          <w:b/>
          <w:bCs/>
          <w:sz w:val="32"/>
          <w:szCs w:val="32"/>
          <w:lang w:eastAsia="zh-CN"/>
        </w:rPr>
        <w:t>分析</w:t>
      </w:r>
      <w:r>
        <w:rPr>
          <w:rFonts w:hint="eastAsia" w:ascii="仿宋" w:hAnsi="仿宋" w:eastAsia="仿宋" w:cs="仿宋"/>
          <w:b/>
          <w:bCs/>
          <w:sz w:val="32"/>
          <w:szCs w:val="32"/>
          <w:lang w:val="en-US" w:eastAsia="zh-CN"/>
        </w:rPr>
        <w:t>及调整，</w:t>
      </w:r>
      <w:r>
        <w:rPr>
          <w:rFonts w:hint="eastAsia" w:ascii="仿宋" w:hAnsi="仿宋" w:eastAsia="仿宋" w:cs="仿宋"/>
          <w:b/>
          <w:bCs/>
          <w:sz w:val="32"/>
          <w:szCs w:val="32"/>
          <w:highlight w:val="none"/>
          <w:lang w:val="en-US" w:eastAsia="zh-CN"/>
        </w:rPr>
        <w:t>未提供预算调整的批复。</w:t>
      </w:r>
    </w:p>
    <w:p w14:paraId="0277EEE6">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配置对比表如下：</w:t>
      </w:r>
    </w:p>
    <w:p w14:paraId="404E7584">
      <w:pPr>
        <w:pStyle w:val="5"/>
        <w:numPr>
          <w:ilvl w:val="0"/>
          <w:numId w:val="0"/>
        </w:numPr>
        <w:jc w:val="center"/>
      </w:pPr>
      <w:r>
        <w:drawing>
          <wp:inline distT="0" distB="0" distL="114300" distR="114300">
            <wp:extent cx="3048000" cy="800100"/>
            <wp:effectExtent l="9525" t="9525" r="9525" b="9525"/>
            <wp:docPr id="12" name="图片 11"/>
            <wp:cNvGraphicFramePr/>
            <a:graphic xmlns:a="http://schemas.openxmlformats.org/drawingml/2006/main">
              <a:graphicData uri="http://schemas.openxmlformats.org/drawingml/2006/picture">
                <pic:pic xmlns:pic="http://schemas.openxmlformats.org/drawingml/2006/picture">
                  <pic:nvPicPr>
                    <pic:cNvPr id="12" name="图片 11"/>
                    <pic:cNvPicPr/>
                  </pic:nvPicPr>
                  <pic:blipFill>
                    <a:blip r:embed="rId7"/>
                  </pic:blipFill>
                  <pic:spPr>
                    <a:xfrm>
                      <a:off x="0" y="0"/>
                      <a:ext cx="3048000" cy="800100"/>
                    </a:xfrm>
                    <a:prstGeom prst="rect">
                      <a:avLst/>
                    </a:prstGeom>
                    <a:solidFill>
                      <a:srgbClr val="FFFFFF"/>
                    </a:solidFill>
                    <a:ln w="9525">
                      <a:solidFill>
                        <a:srgbClr val="000000"/>
                      </a:solidFill>
                    </a:ln>
                  </pic:spPr>
                </pic:pic>
              </a:graphicData>
            </a:graphic>
          </wp:inline>
        </w:drawing>
      </w:r>
    </w:p>
    <w:p w14:paraId="49459220">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预算调整率为56.31%</w:t>
      </w:r>
      <w:r>
        <w:rPr>
          <w:rFonts w:hint="eastAsia" w:ascii="仿宋" w:hAnsi="仿宋" w:eastAsia="仿宋" w:cs="仿宋"/>
          <w:b w:val="0"/>
          <w:bCs w:val="0"/>
          <w:sz w:val="32"/>
          <w:szCs w:val="32"/>
          <w:highlight w:val="none"/>
          <w:lang w:val="en-US" w:eastAsia="zh-CN"/>
        </w:rPr>
        <w:t>，其中：项目支出的调整率为164.27%，调整明细如下：</w:t>
      </w:r>
    </w:p>
    <w:p w14:paraId="2C68A766">
      <w:pPr>
        <w:pStyle w:val="5"/>
        <w:numPr>
          <w:ilvl w:val="0"/>
          <w:numId w:val="0"/>
        </w:numPr>
        <w:jc w:val="center"/>
      </w:pPr>
      <w:r>
        <w:drawing>
          <wp:inline distT="0" distB="0" distL="114300" distR="114300">
            <wp:extent cx="5659755" cy="952500"/>
            <wp:effectExtent l="9525" t="9525" r="26670" b="9525"/>
            <wp:docPr id="4" name="图片 7"/>
            <wp:cNvGraphicFramePr/>
            <a:graphic xmlns:a="http://schemas.openxmlformats.org/drawingml/2006/main">
              <a:graphicData uri="http://schemas.openxmlformats.org/drawingml/2006/picture">
                <pic:pic xmlns:pic="http://schemas.openxmlformats.org/drawingml/2006/picture">
                  <pic:nvPicPr>
                    <pic:cNvPr id="4" name="图片 7"/>
                    <pic:cNvPicPr/>
                  </pic:nvPicPr>
                  <pic:blipFill>
                    <a:blip r:embed="rId8"/>
                  </pic:blipFill>
                  <pic:spPr>
                    <a:xfrm>
                      <a:off x="0" y="0"/>
                      <a:ext cx="5659755" cy="952500"/>
                    </a:xfrm>
                    <a:prstGeom prst="rect">
                      <a:avLst/>
                    </a:prstGeom>
                    <a:solidFill>
                      <a:srgbClr val="FFFFFF"/>
                    </a:solidFill>
                    <a:ln w="9525">
                      <a:solidFill>
                        <a:srgbClr val="000000"/>
                      </a:solidFill>
                    </a:ln>
                  </pic:spPr>
                </pic:pic>
              </a:graphicData>
            </a:graphic>
          </wp:inline>
        </w:drawing>
      </w:r>
    </w:p>
    <w:p w14:paraId="41626721">
      <w:pPr>
        <w:pStyle w:val="6"/>
      </w:pPr>
    </w:p>
    <w:p w14:paraId="72D9FC1C">
      <w:pPr>
        <w:rPr>
          <w:rFonts w:hint="eastAsia" w:ascii="楷体" w:hAnsi="楷体" w:eastAsia="楷体" w:cs="楷体"/>
          <w:b/>
          <w:bCs/>
          <w:sz w:val="32"/>
          <w:szCs w:val="32"/>
          <w:lang w:eastAsia="zh-CN"/>
        </w:rPr>
      </w:pPr>
      <w:r>
        <w:drawing>
          <wp:inline distT="0" distB="0" distL="114300" distR="114300">
            <wp:extent cx="5659755" cy="952500"/>
            <wp:effectExtent l="9525" t="9525" r="26670" b="9525"/>
            <wp:docPr id="11" name="图片 9"/>
            <wp:cNvGraphicFramePr/>
            <a:graphic xmlns:a="http://schemas.openxmlformats.org/drawingml/2006/main">
              <a:graphicData uri="http://schemas.openxmlformats.org/drawingml/2006/picture">
                <pic:pic xmlns:pic="http://schemas.openxmlformats.org/drawingml/2006/picture">
                  <pic:nvPicPr>
                    <pic:cNvPr id="11" name="图片 9"/>
                    <pic:cNvPicPr/>
                  </pic:nvPicPr>
                  <pic:blipFill>
                    <a:blip r:embed="rId9"/>
                  </pic:blipFill>
                  <pic:spPr>
                    <a:xfrm>
                      <a:off x="0" y="0"/>
                      <a:ext cx="5659755" cy="952500"/>
                    </a:xfrm>
                    <a:prstGeom prst="rect">
                      <a:avLst/>
                    </a:prstGeom>
                    <a:solidFill>
                      <a:srgbClr val="FFFFFF"/>
                    </a:solidFill>
                    <a:ln w="9525">
                      <a:solidFill>
                        <a:srgbClr val="000000"/>
                      </a:solidFill>
                    </a:ln>
                  </pic:spPr>
                </pic:pic>
              </a:graphicData>
            </a:graphic>
          </wp:inline>
        </w:drawing>
      </w:r>
    </w:p>
    <w:p w14:paraId="06FF73EE">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eastAsia="zh-CN"/>
        </w:rPr>
      </w:pPr>
      <w:bookmarkStart w:id="30" w:name="_Toc1103"/>
      <w:r>
        <w:rPr>
          <w:rFonts w:hint="eastAsia" w:ascii="楷体" w:hAnsi="楷体" w:eastAsia="楷体" w:cs="楷体"/>
          <w:b/>
          <w:bCs/>
          <w:sz w:val="32"/>
          <w:szCs w:val="32"/>
          <w:lang w:eastAsia="zh-CN"/>
        </w:rPr>
        <w:t>预算执行</w:t>
      </w:r>
      <w:r>
        <w:rPr>
          <w:rFonts w:hint="eastAsia" w:ascii="楷体" w:hAnsi="楷体" w:eastAsia="楷体" w:cs="楷体"/>
          <w:b/>
          <w:bCs/>
          <w:sz w:val="32"/>
          <w:szCs w:val="32"/>
          <w:lang w:val="en-US" w:eastAsia="zh-CN"/>
        </w:rPr>
        <w:t>情况及分析</w:t>
      </w:r>
      <w:bookmarkEnd w:id="30"/>
    </w:p>
    <w:p w14:paraId="3AAAF8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1.预算执行基本信息</w:t>
      </w:r>
    </w:p>
    <w:p w14:paraId="1EB6B4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400"/>
        <w:jc w:val="both"/>
        <w:textAlignment w:val="auto"/>
        <w:outlineLvl w:val="9"/>
        <w:rPr>
          <w:rFonts w:hint="default"/>
          <w:lang w:val="en-US" w:eastAsia="zh-CN"/>
        </w:rPr>
      </w:pPr>
      <w:r>
        <w:rPr>
          <w:rFonts w:hint="eastAsia" w:ascii="仿宋" w:hAnsi="仿宋" w:eastAsia="仿宋" w:cs="仿宋"/>
          <w:b w:val="0"/>
          <w:bCs w:val="0"/>
          <w:sz w:val="32"/>
          <w:szCs w:val="32"/>
          <w:highlight w:val="none"/>
          <w:lang w:val="en-US" w:eastAsia="zh-CN"/>
        </w:rPr>
        <w:t>（1）收入来源总计937,579.86元，其中一般公共预算财政拨款937,567.98元，利息11.68元。</w:t>
      </w:r>
    </w:p>
    <w:p w14:paraId="3A0FCA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4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（2）预算资金指标支付汇总</w:t>
      </w:r>
    </w:p>
    <w:p w14:paraId="009D2509">
      <w:pPr>
        <w:pStyle w:val="5"/>
        <w:numPr>
          <w:ilvl w:val="0"/>
          <w:numId w:val="0"/>
        </w:numPr>
        <w:jc w:val="center"/>
        <w:rPr>
          <w:rFonts w:hint="default"/>
          <w:lang w:val="en-US" w:eastAsia="zh-CN"/>
        </w:rPr>
      </w:pPr>
      <w:r>
        <w:drawing>
          <wp:inline distT="0" distB="0" distL="114300" distR="114300">
            <wp:extent cx="4819650" cy="771525"/>
            <wp:effectExtent l="9525" t="9525" r="9525" b="19050"/>
            <wp:docPr id="6" name="图片 5"/>
            <wp:cNvGraphicFramePr/>
            <a:graphic xmlns:a="http://schemas.openxmlformats.org/drawingml/2006/main">
              <a:graphicData uri="http://schemas.openxmlformats.org/drawingml/2006/picture">
                <pic:pic xmlns:pic="http://schemas.openxmlformats.org/drawingml/2006/picture">
                  <pic:nvPicPr>
                    <pic:cNvPr id="6" name="图片 5"/>
                    <pic:cNvPicPr/>
                  </pic:nvPicPr>
                  <pic:blipFill>
                    <a:blip r:embed="rId10"/>
                  </pic:blipFill>
                  <pic:spPr>
                    <a:xfrm>
                      <a:off x="0" y="0"/>
                      <a:ext cx="4819650" cy="771525"/>
                    </a:xfrm>
                    <a:prstGeom prst="rect">
                      <a:avLst/>
                    </a:prstGeom>
                    <a:solidFill>
                      <a:srgbClr val="FFFFFF"/>
                    </a:solidFill>
                    <a:ln w="9525">
                      <a:solidFill>
                        <a:srgbClr val="000000"/>
                      </a:solidFill>
                    </a:ln>
                  </pic:spPr>
                </pic:pic>
              </a:graphicData>
            </a:graphic>
          </wp:inline>
        </w:drawing>
      </w:r>
    </w:p>
    <w:p w14:paraId="2825EB9E">
      <w:pPr>
        <w:pStyle w:val="5"/>
        <w:jc w:val="center"/>
        <w:rPr>
          <w:rFonts w:hint="eastAsia" w:ascii="仿宋" w:hAnsi="仿宋" w:eastAsia="仿宋" w:cs="仿宋"/>
          <w:b w:val="0"/>
          <w:bCs w:val="0"/>
          <w:sz w:val="32"/>
          <w:szCs w:val="32"/>
          <w:highlight w:val="none"/>
          <w:lang w:val="en-US" w:eastAsia="zh-CN"/>
        </w:rPr>
      </w:pPr>
      <w:r>
        <w:drawing>
          <wp:inline distT="0" distB="0" distL="114300" distR="114300">
            <wp:extent cx="5267960" cy="2458085"/>
            <wp:effectExtent l="4445" t="4445" r="23495" b="13970"/>
            <wp:docPr id="1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DC51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3" w:firstLineChars="200"/>
        <w:jc w:val="both"/>
        <w:textAlignment w:val="auto"/>
        <w:outlineLvl w:val="9"/>
        <w:rPr>
          <w:rFonts w:hint="default"/>
          <w:lang w:val="en-US" w:eastAsia="zh-CN"/>
        </w:rPr>
      </w:pPr>
      <w:r>
        <w:rPr>
          <w:rFonts w:hint="eastAsia" w:ascii="仿宋" w:hAnsi="仿宋" w:eastAsia="仿宋" w:cs="仿宋"/>
          <w:b/>
          <w:bCs/>
          <w:sz w:val="32"/>
          <w:szCs w:val="32"/>
          <w:lang w:val="en-US" w:eastAsia="zh-CN"/>
        </w:rPr>
        <w:t>2.预算执行分析</w:t>
      </w:r>
    </w:p>
    <w:p w14:paraId="35B64B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default"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lang w:val="en-US" w:eastAsia="zh-CN"/>
        </w:rPr>
        <w:t>1</w:t>
      </w: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lang w:val="en-US" w:eastAsia="zh-CN"/>
        </w:rPr>
        <w:t>预算执行率为100.00%。详情如下：</w:t>
      </w:r>
    </w:p>
    <w:p w14:paraId="2B138D0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jc w:val="both"/>
        <w:textAlignment w:val="auto"/>
        <w:outlineLvl w:val="9"/>
        <w:rPr>
          <w:rFonts w:hint="default" w:ascii="仿宋" w:hAnsi="仿宋" w:eastAsia="仿宋" w:cs="仿宋"/>
          <w:b/>
          <w:bCs/>
          <w:sz w:val="32"/>
          <w:szCs w:val="32"/>
          <w:lang w:val="en-US" w:eastAsia="zh-CN"/>
        </w:rPr>
      </w:pPr>
      <w:r>
        <w:drawing>
          <wp:inline distT="0" distB="0" distL="114300" distR="114300">
            <wp:extent cx="5660390" cy="952500"/>
            <wp:effectExtent l="9525" t="9525" r="26035" b="9525"/>
            <wp:docPr id="16" name="图片 12"/>
            <wp:cNvGraphicFramePr/>
            <a:graphic xmlns:a="http://schemas.openxmlformats.org/drawingml/2006/main">
              <a:graphicData uri="http://schemas.openxmlformats.org/drawingml/2006/picture">
                <pic:pic xmlns:pic="http://schemas.openxmlformats.org/drawingml/2006/picture">
                  <pic:nvPicPr>
                    <pic:cNvPr id="16" name="图片 12"/>
                    <pic:cNvPicPr/>
                  </pic:nvPicPr>
                  <pic:blipFill>
                    <a:blip r:embed="rId12"/>
                  </pic:blipFill>
                  <pic:spPr>
                    <a:xfrm>
                      <a:off x="0" y="0"/>
                      <a:ext cx="5660390" cy="952500"/>
                    </a:xfrm>
                    <a:prstGeom prst="rect">
                      <a:avLst/>
                    </a:prstGeom>
                    <a:solidFill>
                      <a:srgbClr val="FFFFFF"/>
                    </a:solidFill>
                    <a:ln w="9525">
                      <a:solidFill>
                        <a:srgbClr val="000000"/>
                      </a:solidFill>
                    </a:ln>
                  </pic:spPr>
                </pic:pic>
              </a:graphicData>
            </a:graphic>
          </wp:inline>
        </w:drawing>
      </w:r>
    </w:p>
    <w:p w14:paraId="78AFAB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2</w:t>
      </w:r>
      <w:r>
        <w:rPr>
          <w:rFonts w:hint="eastAsia" w:ascii="仿宋" w:hAnsi="仿宋" w:eastAsia="仿宋" w:cs="仿宋"/>
          <w:b/>
          <w:bCs/>
          <w:sz w:val="32"/>
          <w:szCs w:val="32"/>
          <w:lang w:eastAsia="zh-CN"/>
        </w:rPr>
        <w:t>）进度匹配度</w:t>
      </w:r>
      <w:r>
        <w:rPr>
          <w:rFonts w:hint="eastAsia" w:ascii="仿宋" w:hAnsi="仿宋" w:eastAsia="仿宋" w:cs="仿宋"/>
          <w:b/>
          <w:bCs/>
          <w:sz w:val="32"/>
          <w:szCs w:val="32"/>
          <w:lang w:val="en-US" w:eastAsia="zh-CN"/>
        </w:rPr>
        <w:t>与效率。</w:t>
      </w:r>
      <w:r>
        <w:rPr>
          <w:rFonts w:hint="eastAsia" w:ascii="仿宋" w:hAnsi="仿宋" w:eastAsia="仿宋" w:cs="仿宋"/>
          <w:b w:val="0"/>
          <w:bCs w:val="0"/>
          <w:sz w:val="32"/>
          <w:szCs w:val="32"/>
          <w:lang w:val="en-US" w:eastAsia="zh-CN"/>
        </w:rPr>
        <w:t>资金支付及时，不存在项目等钱情况。2024年11月资金指标使用数占比31.07%，高于其他月份。指标下达数与指标使用数对比详情列示如下：</w:t>
      </w:r>
    </w:p>
    <w:p w14:paraId="14F11DB8">
      <w:pPr>
        <w:pStyle w:val="5"/>
        <w:jc w:val="center"/>
        <w:rPr>
          <w:rFonts w:hint="eastAsia" w:ascii="仿宋" w:hAnsi="仿宋" w:eastAsia="仿宋" w:cs="仿宋"/>
          <w:b w:val="0"/>
          <w:bCs w:val="0"/>
          <w:sz w:val="32"/>
          <w:szCs w:val="32"/>
          <w:lang w:val="en-US" w:eastAsia="zh-CN"/>
        </w:rPr>
      </w:pPr>
      <w:r>
        <w:drawing>
          <wp:inline distT="0" distB="0" distL="114300" distR="114300">
            <wp:extent cx="4650740" cy="2581275"/>
            <wp:effectExtent l="9525" t="9525" r="26035" b="19050"/>
            <wp:docPr id="17" name="图片 13"/>
            <wp:cNvGraphicFramePr/>
            <a:graphic xmlns:a="http://schemas.openxmlformats.org/drawingml/2006/main">
              <a:graphicData uri="http://schemas.openxmlformats.org/drawingml/2006/picture">
                <pic:pic xmlns:pic="http://schemas.openxmlformats.org/drawingml/2006/picture">
                  <pic:nvPicPr>
                    <pic:cNvPr id="17" name="图片 13"/>
                    <pic:cNvPicPr/>
                  </pic:nvPicPr>
                  <pic:blipFill>
                    <a:blip r:embed="rId13"/>
                  </pic:blipFill>
                  <pic:spPr>
                    <a:xfrm>
                      <a:off x="0" y="0"/>
                      <a:ext cx="4650740" cy="2581275"/>
                    </a:xfrm>
                    <a:prstGeom prst="rect">
                      <a:avLst/>
                    </a:prstGeom>
                    <a:solidFill>
                      <a:srgbClr val="FFFFFF"/>
                    </a:solidFill>
                    <a:ln w="9525">
                      <a:solidFill>
                        <a:srgbClr val="000000"/>
                      </a:solidFill>
                    </a:ln>
                  </pic:spPr>
                </pic:pic>
              </a:graphicData>
            </a:graphic>
          </wp:inline>
        </w:drawing>
      </w:r>
    </w:p>
    <w:p w14:paraId="2180082C">
      <w:pPr>
        <w:jc w:val="center"/>
        <w:rPr>
          <w:rFonts w:hint="eastAsia" w:ascii="仿宋" w:hAnsi="仿宋" w:eastAsia="仿宋" w:cs="仿宋"/>
          <w:b/>
          <w:bCs/>
          <w:sz w:val="32"/>
          <w:szCs w:val="32"/>
          <w:lang w:val="en-US" w:eastAsia="zh-CN"/>
        </w:rPr>
      </w:pPr>
      <w:r>
        <w:drawing>
          <wp:inline distT="0" distB="0" distL="114300" distR="114300">
            <wp:extent cx="4859020" cy="2743200"/>
            <wp:effectExtent l="4445" t="4445" r="13335" b="14605"/>
            <wp:docPr id="1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7B0A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eastAsia"/>
          <w:lang w:val="en-US" w:eastAsia="zh-CN"/>
        </w:rPr>
      </w:pP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lang w:val="en-US" w:eastAsia="zh-CN"/>
        </w:rPr>
        <w:t>3</w:t>
      </w: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lang w:val="en-US" w:eastAsia="zh-CN"/>
        </w:rPr>
        <w:t>资金</w:t>
      </w:r>
      <w:r>
        <w:rPr>
          <w:rFonts w:hint="eastAsia" w:ascii="仿宋" w:hAnsi="仿宋" w:eastAsia="仿宋" w:cs="仿宋"/>
          <w:b/>
          <w:bCs/>
          <w:sz w:val="32"/>
          <w:szCs w:val="32"/>
          <w:highlight w:val="none"/>
          <w:lang w:eastAsia="zh-CN"/>
        </w:rPr>
        <w:t>合规性检查。</w:t>
      </w:r>
      <w:r>
        <w:rPr>
          <w:rFonts w:hint="eastAsia" w:ascii="仿宋" w:hAnsi="仿宋" w:eastAsia="仿宋" w:cs="仿宋"/>
          <w:b w:val="0"/>
          <w:bCs w:val="0"/>
          <w:sz w:val="32"/>
          <w:szCs w:val="32"/>
          <w:lang w:val="en-US" w:eastAsia="zh-CN"/>
        </w:rPr>
        <w:t>从预算约束、用途合规、程序合规、报销凭证完整性与合规性四个方面进行核查，在检查凭证过程中，我们发现存在跨期支付情况，存在基本支出和项目支出之间挤占的情况。详情见后附各类支出情况汇总及分析。</w:t>
      </w:r>
    </w:p>
    <w:p w14:paraId="439DA6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default" w:ascii="仿宋" w:hAnsi="仿宋" w:eastAsia="仿宋" w:cs="仿宋"/>
          <w:b w:val="0"/>
          <w:bCs w:val="0"/>
          <w:sz w:val="32"/>
          <w:szCs w:val="32"/>
          <w:highlight w:val="yellow"/>
          <w:lang w:val="en-US" w:eastAsia="zh-CN"/>
        </w:rPr>
      </w:pP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lang w:val="en-US" w:eastAsia="zh-CN"/>
        </w:rPr>
        <w:t>4</w:t>
      </w:r>
      <w:r>
        <w:rPr>
          <w:rFonts w:hint="eastAsia" w:ascii="仿宋" w:hAnsi="仿宋" w:eastAsia="仿宋" w:cs="仿宋"/>
          <w:b/>
          <w:bCs/>
          <w:sz w:val="32"/>
          <w:szCs w:val="32"/>
          <w:highlight w:val="none"/>
          <w:lang w:eastAsia="zh-CN"/>
        </w:rPr>
        <w:t>）成本控制。</w:t>
      </w:r>
      <w:r>
        <w:rPr>
          <w:rFonts w:hint="eastAsia" w:ascii="仿宋" w:hAnsi="仿宋" w:eastAsia="仿宋" w:cs="仿宋"/>
          <w:b w:val="0"/>
          <w:bCs w:val="0"/>
          <w:sz w:val="32"/>
          <w:szCs w:val="32"/>
          <w:lang w:val="en-US" w:eastAsia="zh-CN"/>
        </w:rPr>
        <w:t>基本支出的绩效评价侧重成本控制和合规性。项目支出的绩效评价关联项目目标，如会议是否推动了政策落地、办公经费是否支撑了专项任务完成等。详情见后附各类支出情况汇总及分析。</w:t>
      </w:r>
    </w:p>
    <w:p w14:paraId="69415C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default"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lang w:val="en-US" w:eastAsia="zh-CN"/>
        </w:rPr>
        <w:t>5</w:t>
      </w:r>
      <w:r>
        <w:rPr>
          <w:rFonts w:hint="eastAsia" w:ascii="仿宋" w:hAnsi="仿宋" w:eastAsia="仿宋" w:cs="仿宋"/>
          <w:b/>
          <w:bCs/>
          <w:sz w:val="32"/>
          <w:szCs w:val="32"/>
          <w:highlight w:val="none"/>
          <w:lang w:eastAsia="zh-CN"/>
        </w:rPr>
        <w:t>）对产出的影响。</w:t>
      </w:r>
      <w:r>
        <w:rPr>
          <w:rFonts w:hint="eastAsia" w:ascii="仿宋" w:hAnsi="仿宋" w:eastAsia="仿宋" w:cs="仿宋"/>
          <w:b w:val="0"/>
          <w:bCs w:val="0"/>
          <w:sz w:val="32"/>
          <w:szCs w:val="32"/>
          <w:highlight w:val="none"/>
          <w:lang w:val="en-US" w:eastAsia="zh-CN"/>
        </w:rPr>
        <w:t>未存在因预算执行合规与否、快慢情况直接影响绩效产出目标的实现的情况。</w:t>
      </w:r>
    </w:p>
    <w:p w14:paraId="7FE879F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643" w:firstLineChars="200"/>
        <w:jc w:val="both"/>
        <w:textAlignment w:val="auto"/>
        <w:outlineLvl w:val="9"/>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6</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本年度决算数与上年度决算数对比，增加率20.75%。</w:t>
      </w:r>
    </w:p>
    <w:p w14:paraId="6C3B34AF">
      <w:pPr>
        <w:pStyle w:val="2"/>
      </w:pPr>
      <w:r>
        <w:drawing>
          <wp:inline distT="0" distB="0" distL="114300" distR="114300">
            <wp:extent cx="5309870" cy="3988435"/>
            <wp:effectExtent l="9525" t="9525" r="14605" b="21590"/>
            <wp:docPr id="19" name="图片 6"/>
            <wp:cNvGraphicFramePr/>
            <a:graphic xmlns:a="http://schemas.openxmlformats.org/drawingml/2006/main">
              <a:graphicData uri="http://schemas.openxmlformats.org/drawingml/2006/picture">
                <pic:pic xmlns:pic="http://schemas.openxmlformats.org/drawingml/2006/picture">
                  <pic:nvPicPr>
                    <pic:cNvPr id="19" name="图片 6"/>
                    <pic:cNvPicPr/>
                  </pic:nvPicPr>
                  <pic:blipFill>
                    <a:blip r:embed="rId15"/>
                  </pic:blipFill>
                  <pic:spPr>
                    <a:xfrm>
                      <a:off x="0" y="0"/>
                      <a:ext cx="5309870" cy="3988435"/>
                    </a:xfrm>
                    <a:prstGeom prst="rect">
                      <a:avLst/>
                    </a:prstGeom>
                    <a:solidFill>
                      <a:srgbClr val="FFFFFF"/>
                    </a:solidFill>
                    <a:ln w="9525">
                      <a:solidFill>
                        <a:srgbClr val="000000"/>
                      </a:solidFill>
                    </a:ln>
                  </pic:spPr>
                </pic:pic>
              </a:graphicData>
            </a:graphic>
          </wp:inline>
        </w:drawing>
      </w:r>
    </w:p>
    <w:p w14:paraId="7E2AC0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pPr>
      <w:r>
        <w:rPr>
          <w:rFonts w:hint="eastAsia" w:ascii="仿宋" w:hAnsi="仿宋" w:eastAsia="仿宋" w:cs="仿宋"/>
          <w:b/>
          <w:bCs/>
          <w:sz w:val="32"/>
          <w:szCs w:val="32"/>
          <w:lang w:val="en-US" w:eastAsia="zh-CN"/>
        </w:rPr>
        <w:t>（6）本年度全年预算数、账套数、决算数、重分类决算数汇总对比表列示如下：</w:t>
      </w:r>
    </w:p>
    <w:p w14:paraId="505EEB5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both"/>
        <w:textAlignment w:val="auto"/>
        <w:outlineLvl w:val="9"/>
      </w:pPr>
      <w:r>
        <w:drawing>
          <wp:inline distT="0" distB="0" distL="114300" distR="114300">
            <wp:extent cx="5838825" cy="981075"/>
            <wp:effectExtent l="9525" t="9525" r="19050" b="19050"/>
            <wp:docPr id="20" name="图片 14"/>
            <wp:cNvGraphicFramePr/>
            <a:graphic xmlns:a="http://schemas.openxmlformats.org/drawingml/2006/main">
              <a:graphicData uri="http://schemas.openxmlformats.org/drawingml/2006/picture">
                <pic:pic xmlns:pic="http://schemas.openxmlformats.org/drawingml/2006/picture">
                  <pic:nvPicPr>
                    <pic:cNvPr id="20" name="图片 14"/>
                    <pic:cNvPicPr/>
                  </pic:nvPicPr>
                  <pic:blipFill>
                    <a:blip r:embed="rId16"/>
                  </pic:blipFill>
                  <pic:spPr>
                    <a:xfrm>
                      <a:off x="0" y="0"/>
                      <a:ext cx="5838825" cy="981075"/>
                    </a:xfrm>
                    <a:prstGeom prst="rect">
                      <a:avLst/>
                    </a:prstGeom>
                    <a:solidFill>
                      <a:srgbClr val="FFFFFF"/>
                    </a:solidFill>
                    <a:ln w="9525">
                      <a:solidFill>
                        <a:srgbClr val="000000"/>
                      </a:solidFill>
                    </a:ln>
                  </pic:spPr>
                </pic:pic>
              </a:graphicData>
            </a:graphic>
          </wp:inline>
        </w:drawing>
      </w:r>
    </w:p>
    <w:p w14:paraId="3E481C3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both"/>
        <w:textAlignment w:val="auto"/>
        <w:outlineLvl w:val="9"/>
        <w:rPr>
          <w:rFonts w:hint="eastAsia"/>
          <w:lang w:val="en-US" w:eastAsia="zh-CN"/>
        </w:rPr>
      </w:pPr>
    </w:p>
    <w:p w14:paraId="49F5B10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center"/>
        <w:textAlignment w:val="auto"/>
        <w:outlineLvl w:val="9"/>
      </w:pPr>
      <w:r>
        <w:drawing>
          <wp:inline distT="0" distB="0" distL="114300" distR="114300">
            <wp:extent cx="5838825" cy="981075"/>
            <wp:effectExtent l="9525" t="9525" r="19050" b="19050"/>
            <wp:docPr id="21" name="图片 15"/>
            <wp:cNvGraphicFramePr/>
            <a:graphic xmlns:a="http://schemas.openxmlformats.org/drawingml/2006/main">
              <a:graphicData uri="http://schemas.openxmlformats.org/drawingml/2006/picture">
                <pic:pic xmlns:pic="http://schemas.openxmlformats.org/drawingml/2006/picture">
                  <pic:nvPicPr>
                    <pic:cNvPr id="21" name="图片 15"/>
                    <pic:cNvPicPr/>
                  </pic:nvPicPr>
                  <pic:blipFill>
                    <a:blip r:embed="rId17"/>
                  </pic:blipFill>
                  <pic:spPr>
                    <a:xfrm>
                      <a:off x="0" y="0"/>
                      <a:ext cx="5838825" cy="981075"/>
                    </a:xfrm>
                    <a:prstGeom prst="rect">
                      <a:avLst/>
                    </a:prstGeom>
                    <a:solidFill>
                      <a:srgbClr val="FFFFFF"/>
                    </a:solidFill>
                    <a:ln w="9525">
                      <a:solidFill>
                        <a:srgbClr val="000000"/>
                      </a:solidFill>
                    </a:ln>
                  </pic:spPr>
                </pic:pic>
              </a:graphicData>
            </a:graphic>
          </wp:inline>
        </w:drawing>
      </w:r>
    </w:p>
    <w:p w14:paraId="59A080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center"/>
        <w:textAlignment w:val="auto"/>
        <w:outlineLvl w:val="9"/>
        <w:rPr>
          <w:rFonts w:hint="eastAsia" w:ascii="仿宋" w:hAnsi="仿宋" w:eastAsia="仿宋" w:cs="仿宋"/>
          <w:b w:val="0"/>
          <w:bCs w:val="0"/>
          <w:sz w:val="32"/>
          <w:szCs w:val="32"/>
          <w:lang w:val="en-US" w:eastAsia="zh-CN"/>
        </w:rPr>
      </w:pPr>
      <w:r>
        <w:drawing>
          <wp:inline distT="0" distB="0" distL="114300" distR="114300">
            <wp:extent cx="4514215" cy="4679315"/>
            <wp:effectExtent l="4445" t="4445" r="15240" b="2159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DABC4C">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仿宋" w:hAnsi="仿宋" w:eastAsia="仿宋" w:cs="仿宋"/>
          <w:b w:val="0"/>
          <w:bCs w:val="0"/>
          <w:sz w:val="32"/>
          <w:szCs w:val="32"/>
          <w:lang w:val="en-US" w:eastAsia="zh-CN"/>
        </w:rPr>
      </w:pPr>
      <w:bookmarkStart w:id="31" w:name="_Toc8497"/>
      <w:r>
        <w:rPr>
          <w:rFonts w:hint="eastAsia" w:ascii="楷体" w:hAnsi="楷体" w:eastAsia="楷体" w:cs="楷体"/>
          <w:b/>
          <w:bCs/>
          <w:sz w:val="32"/>
          <w:szCs w:val="32"/>
          <w:lang w:val="en-US" w:eastAsia="zh-CN"/>
        </w:rPr>
        <w:t>整体支出汇总及分析</w:t>
      </w:r>
      <w:bookmarkEnd w:id="31"/>
    </w:p>
    <w:p w14:paraId="6E7074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支出检查范围及内容：是否符合预算用途和相关财经法规条例，有无超范围、超标准支出，报销凭证完整性与合规性，政府采购程序是否规范，招投标是否合规，重大项目开支和大额资金使用是否经单位党组集体研究决策，资金支付是否有完整的审批程序和手续等。</w:t>
      </w:r>
    </w:p>
    <w:p w14:paraId="4645D9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1.整体支出情况</w:t>
      </w:r>
    </w:p>
    <w:p w14:paraId="4B71BD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（1）整体支出分类及范围</w:t>
      </w:r>
    </w:p>
    <w:p w14:paraId="7CA2BD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区科协的整体支出分为三大类，分别为基本支出-人员经费、基本支出-公用经费（一般性支出）与项目支出。</w:t>
      </w:r>
    </w:p>
    <w:p w14:paraId="252AC27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一是基本支出-人员经费</w:t>
      </w:r>
      <w:r>
        <w:rPr>
          <w:rFonts w:hint="eastAsia" w:ascii="仿宋" w:hAnsi="仿宋" w:eastAsia="仿宋" w:cs="仿宋"/>
          <w:b w:val="0"/>
          <w:bCs w:val="0"/>
          <w:sz w:val="32"/>
          <w:szCs w:val="32"/>
          <w:lang w:val="en-US" w:eastAsia="zh-CN"/>
        </w:rPr>
        <w:t>包括基本工资、津贴补贴、社会保障缴费、住房公积金、奖金、对家庭和个人的补助、津贴补贴、其他保障等。</w:t>
      </w:r>
      <w:r>
        <w:rPr>
          <w:rFonts w:hint="eastAsia" w:ascii="仿宋" w:hAnsi="仿宋" w:eastAsia="仿宋" w:cs="仿宋"/>
          <w:b/>
          <w:bCs/>
          <w:sz w:val="32"/>
          <w:szCs w:val="32"/>
          <w:lang w:val="en-US" w:eastAsia="zh-CN"/>
        </w:rPr>
        <w:t>二是基本支出-公用经费</w:t>
      </w:r>
      <w:r>
        <w:rPr>
          <w:rFonts w:hint="eastAsia" w:ascii="仿宋" w:hAnsi="仿宋" w:eastAsia="仿宋" w:cs="仿宋"/>
          <w:b w:val="0"/>
          <w:bCs w:val="0"/>
          <w:sz w:val="32"/>
          <w:szCs w:val="32"/>
          <w:lang w:val="en-US" w:eastAsia="zh-CN"/>
        </w:rPr>
        <w:t>包括食堂餐费、报告咨询、工会经费、培训费、办公经费等。</w:t>
      </w:r>
      <w:r>
        <w:rPr>
          <w:rFonts w:hint="eastAsia" w:ascii="仿宋" w:hAnsi="仿宋" w:eastAsia="仿宋" w:cs="仿宋"/>
          <w:b/>
          <w:bCs/>
          <w:sz w:val="32"/>
          <w:szCs w:val="32"/>
          <w:lang w:val="en-US" w:eastAsia="zh-CN"/>
        </w:rPr>
        <w:t>三是项目支出</w:t>
      </w:r>
      <w:r>
        <w:rPr>
          <w:rFonts w:hint="eastAsia" w:ascii="仿宋" w:hAnsi="仿宋" w:eastAsia="仿宋" w:cs="仿宋"/>
          <w:b w:val="0"/>
          <w:bCs w:val="0"/>
          <w:sz w:val="32"/>
          <w:szCs w:val="32"/>
          <w:lang w:val="en-US" w:eastAsia="zh-CN"/>
        </w:rPr>
        <w:t>包括老科协、白沙小学科普、百名院士进校、科普传播、科普印刷、科普用品、科普租车、科普加班等。</w:t>
      </w:r>
    </w:p>
    <w:p w14:paraId="08147D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pPr>
      <w:r>
        <w:rPr>
          <w:rFonts w:hint="eastAsia" w:ascii="仿宋" w:hAnsi="仿宋" w:eastAsia="仿宋" w:cs="仿宋"/>
          <w:b/>
          <w:bCs/>
          <w:sz w:val="32"/>
          <w:szCs w:val="32"/>
          <w:lang w:val="en-US" w:eastAsia="zh-CN"/>
        </w:rPr>
        <w:t>（2）各类支出从账套数到重分类数的调整过程</w:t>
      </w:r>
    </w:p>
    <w:p w14:paraId="2EBD698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sz w:val="32"/>
          <w:szCs w:val="32"/>
          <w:lang w:val="en-US" w:eastAsia="zh-CN"/>
        </w:rPr>
      </w:pPr>
      <w:r>
        <w:drawing>
          <wp:inline distT="0" distB="0" distL="114300" distR="114300">
            <wp:extent cx="6067425" cy="1635125"/>
            <wp:effectExtent l="9525" t="9525" r="19050" b="12700"/>
            <wp:docPr id="25" name="图片 2"/>
            <wp:cNvGraphicFramePr/>
            <a:graphic xmlns:a="http://schemas.openxmlformats.org/drawingml/2006/main">
              <a:graphicData uri="http://schemas.openxmlformats.org/drawingml/2006/picture">
                <pic:pic xmlns:pic="http://schemas.openxmlformats.org/drawingml/2006/picture">
                  <pic:nvPicPr>
                    <pic:cNvPr id="25" name="图片 2"/>
                    <pic:cNvPicPr/>
                  </pic:nvPicPr>
                  <pic:blipFill>
                    <a:blip r:embed="rId19"/>
                  </pic:blipFill>
                  <pic:spPr>
                    <a:xfrm>
                      <a:off x="0" y="0"/>
                      <a:ext cx="6067425" cy="1635125"/>
                    </a:xfrm>
                    <a:prstGeom prst="rect">
                      <a:avLst/>
                    </a:prstGeom>
                    <a:solidFill>
                      <a:srgbClr val="FFFFFF"/>
                    </a:solidFill>
                    <a:ln w="9525">
                      <a:solidFill>
                        <a:srgbClr val="000000"/>
                      </a:solidFill>
                    </a:ln>
                  </pic:spPr>
                </pic:pic>
              </a:graphicData>
            </a:graphic>
          </wp:inline>
        </w:drawing>
      </w:r>
    </w:p>
    <w:p w14:paraId="44719A0C">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480" w:firstLineChars="200"/>
        <w:jc w:val="both"/>
        <w:textAlignment w:val="auto"/>
        <w:outlineLvl w:val="9"/>
        <w:rPr>
          <w:rFonts w:hint="eastAsia" w:ascii="仿宋" w:hAnsi="仿宋" w:eastAsia="仿宋" w:cs="仿宋"/>
          <w:b/>
          <w:bCs/>
          <w:sz w:val="32"/>
          <w:szCs w:val="32"/>
          <w:lang w:val="en-US" w:eastAsia="zh-CN"/>
        </w:rPr>
      </w:pPr>
      <w:r>
        <w:drawing>
          <wp:inline distT="0" distB="0" distL="114300" distR="114300">
            <wp:extent cx="5555615" cy="3814445"/>
            <wp:effectExtent l="9525" t="9525" r="16510" b="24130"/>
            <wp:docPr id="26" name="图片 3"/>
            <wp:cNvGraphicFramePr/>
            <a:graphic xmlns:a="http://schemas.openxmlformats.org/drawingml/2006/main">
              <a:graphicData uri="http://schemas.openxmlformats.org/drawingml/2006/picture">
                <pic:pic xmlns:pic="http://schemas.openxmlformats.org/drawingml/2006/picture">
                  <pic:nvPicPr>
                    <pic:cNvPr id="26" name="图片 3"/>
                    <pic:cNvPicPr/>
                  </pic:nvPicPr>
                  <pic:blipFill>
                    <a:blip r:embed="rId20"/>
                  </pic:blipFill>
                  <pic:spPr>
                    <a:xfrm>
                      <a:off x="0" y="0"/>
                      <a:ext cx="5555615" cy="3814445"/>
                    </a:xfrm>
                    <a:prstGeom prst="rect">
                      <a:avLst/>
                    </a:prstGeom>
                    <a:solidFill>
                      <a:srgbClr val="FFFFFF"/>
                    </a:solidFill>
                    <a:ln w="9525">
                      <a:solidFill>
                        <a:srgbClr val="000000"/>
                      </a:solidFill>
                    </a:ln>
                  </pic:spPr>
                </pic:pic>
              </a:graphicData>
            </a:graphic>
          </wp:inline>
        </w:drawing>
      </w:r>
    </w:p>
    <w:p w14:paraId="764ACBA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outlineLvl w:val="9"/>
        <w:rPr>
          <w:rFonts w:hint="eastAsia" w:ascii="仿宋" w:hAnsi="仿宋" w:eastAsia="仿宋" w:cs="仿宋"/>
          <w:b/>
          <w:bCs/>
          <w:sz w:val="32"/>
          <w:szCs w:val="32"/>
          <w:lang w:val="en-US" w:eastAsia="zh-CN"/>
        </w:rPr>
      </w:pPr>
      <w:r>
        <w:drawing>
          <wp:inline distT="0" distB="0" distL="114300" distR="114300">
            <wp:extent cx="5476875" cy="3990975"/>
            <wp:effectExtent l="9525" t="9525" r="19050" b="19050"/>
            <wp:docPr id="27" name="图片 2"/>
            <wp:cNvGraphicFramePr/>
            <a:graphic xmlns:a="http://schemas.openxmlformats.org/drawingml/2006/main">
              <a:graphicData uri="http://schemas.openxmlformats.org/drawingml/2006/picture">
                <pic:pic xmlns:pic="http://schemas.openxmlformats.org/drawingml/2006/picture">
                  <pic:nvPicPr>
                    <pic:cNvPr id="27" name="图片 2"/>
                    <pic:cNvPicPr/>
                  </pic:nvPicPr>
                  <pic:blipFill>
                    <a:blip r:embed="rId21"/>
                  </pic:blipFill>
                  <pic:spPr>
                    <a:xfrm>
                      <a:off x="0" y="0"/>
                      <a:ext cx="5476875" cy="3990975"/>
                    </a:xfrm>
                    <a:prstGeom prst="rect">
                      <a:avLst/>
                    </a:prstGeom>
                    <a:solidFill>
                      <a:srgbClr val="FFFFFF"/>
                    </a:solidFill>
                    <a:ln w="9525">
                      <a:solidFill>
                        <a:srgbClr val="000000"/>
                      </a:solidFill>
                    </a:ln>
                  </pic:spPr>
                </pic:pic>
              </a:graphicData>
            </a:graphic>
          </wp:inline>
        </w:drawing>
      </w:r>
    </w:p>
    <w:p w14:paraId="060649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（3）各类支出重分类数与决算数的对比分析</w:t>
      </w:r>
    </w:p>
    <w:p w14:paraId="428168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由下表可知，重分类数与决算数相比，项目支出减少80,634.98元，人员经费增加29,452.26元，人员经费增长率8.55%。公用经费增加51，182.72元，公用经费增长率779.27%。原因为人员经费与公用经费的指标不够用，使用项目支出指标。</w:t>
      </w:r>
    </w:p>
    <w:p w14:paraId="2A6B8DC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center"/>
        <w:textAlignment w:val="auto"/>
        <w:outlineLvl w:val="9"/>
        <w:rPr>
          <w:rFonts w:hint="eastAsia" w:ascii="仿宋" w:hAnsi="仿宋" w:eastAsia="仿宋" w:cs="仿宋"/>
          <w:b/>
          <w:bCs/>
          <w:sz w:val="32"/>
          <w:szCs w:val="32"/>
          <w:lang w:val="en-US" w:eastAsia="zh-CN"/>
        </w:rPr>
      </w:pPr>
      <w:r>
        <w:drawing>
          <wp:inline distT="0" distB="0" distL="114300" distR="114300">
            <wp:extent cx="4895850" cy="952500"/>
            <wp:effectExtent l="9525" t="9525" r="9525" b="9525"/>
            <wp:docPr id="28" name="图片 16"/>
            <wp:cNvGraphicFramePr/>
            <a:graphic xmlns:a="http://schemas.openxmlformats.org/drawingml/2006/main">
              <a:graphicData uri="http://schemas.openxmlformats.org/drawingml/2006/picture">
                <pic:pic xmlns:pic="http://schemas.openxmlformats.org/drawingml/2006/picture">
                  <pic:nvPicPr>
                    <pic:cNvPr id="28" name="图片 16"/>
                    <pic:cNvPicPr/>
                  </pic:nvPicPr>
                  <pic:blipFill>
                    <a:blip r:embed="rId22"/>
                  </pic:blipFill>
                  <pic:spPr>
                    <a:xfrm>
                      <a:off x="0" y="0"/>
                      <a:ext cx="4895850" cy="952500"/>
                    </a:xfrm>
                    <a:prstGeom prst="rect">
                      <a:avLst/>
                    </a:prstGeom>
                    <a:solidFill>
                      <a:srgbClr val="FFFFFF"/>
                    </a:solidFill>
                    <a:ln w="9525">
                      <a:solidFill>
                        <a:srgbClr val="000000"/>
                      </a:solidFill>
                    </a:ln>
                  </pic:spPr>
                </pic:pic>
              </a:graphicData>
            </a:graphic>
          </wp:inline>
        </w:drawing>
      </w:r>
    </w:p>
    <w:p w14:paraId="483A40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2.基本支出-人员经费重分类数汇总及分析</w:t>
      </w:r>
    </w:p>
    <w:p w14:paraId="582428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详见后附工资管理情况及分析</w:t>
      </w:r>
    </w:p>
    <w:p w14:paraId="3B87B5D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outlineLvl w:val="9"/>
        <w:rPr>
          <w:rFonts w:hint="eastAsia" w:ascii="仿宋" w:hAnsi="仿宋" w:eastAsia="仿宋" w:cs="仿宋"/>
          <w:b/>
          <w:bCs/>
          <w:sz w:val="32"/>
          <w:szCs w:val="32"/>
          <w:lang w:val="en-US" w:eastAsia="zh-CN"/>
        </w:rPr>
      </w:pPr>
    </w:p>
    <w:p w14:paraId="5230185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outlineLvl w:val="9"/>
        <w:rPr>
          <w:rFonts w:hint="eastAsia" w:ascii="仿宋" w:hAnsi="仿宋" w:eastAsia="仿宋" w:cs="仿宋"/>
          <w:b/>
          <w:bCs/>
          <w:sz w:val="32"/>
          <w:szCs w:val="32"/>
          <w:lang w:val="en-US" w:eastAsia="zh-CN"/>
        </w:rPr>
      </w:pPr>
      <w:r>
        <w:drawing>
          <wp:inline distT="0" distB="0" distL="114300" distR="114300">
            <wp:extent cx="6000750" cy="1676400"/>
            <wp:effectExtent l="9525" t="9525" r="9525" b="9525"/>
            <wp:docPr id="29" name="图片 3"/>
            <wp:cNvGraphicFramePr/>
            <a:graphic xmlns:a="http://schemas.openxmlformats.org/drawingml/2006/main">
              <a:graphicData uri="http://schemas.openxmlformats.org/drawingml/2006/picture">
                <pic:pic xmlns:pic="http://schemas.openxmlformats.org/drawingml/2006/picture">
                  <pic:nvPicPr>
                    <pic:cNvPr id="29" name="图片 3"/>
                    <pic:cNvPicPr/>
                  </pic:nvPicPr>
                  <pic:blipFill>
                    <a:blip r:embed="rId23"/>
                  </pic:blipFill>
                  <pic:spPr>
                    <a:xfrm>
                      <a:off x="0" y="0"/>
                      <a:ext cx="6000750" cy="1676400"/>
                    </a:xfrm>
                    <a:prstGeom prst="rect">
                      <a:avLst/>
                    </a:prstGeom>
                    <a:solidFill>
                      <a:srgbClr val="FFFFFF"/>
                    </a:solidFill>
                    <a:ln w="9525">
                      <a:solidFill>
                        <a:srgbClr val="000000"/>
                      </a:solidFill>
                    </a:ln>
                  </pic:spPr>
                </pic:pic>
              </a:graphicData>
            </a:graphic>
          </wp:inline>
        </w:drawing>
      </w:r>
    </w:p>
    <w:p w14:paraId="03CABAEB">
      <w:pPr>
        <w:pStyle w:val="2"/>
        <w:jc w:val="center"/>
        <w:rPr>
          <w:rFonts w:hint="eastAsia" w:ascii="仿宋" w:hAnsi="仿宋" w:eastAsia="仿宋" w:cs="仿宋"/>
          <w:b/>
          <w:bCs/>
          <w:sz w:val="32"/>
          <w:szCs w:val="32"/>
          <w:lang w:val="en-US" w:eastAsia="zh-CN"/>
        </w:rPr>
      </w:pPr>
      <w:r>
        <w:drawing>
          <wp:inline distT="0" distB="0" distL="114300" distR="114300">
            <wp:extent cx="4758690" cy="3723005"/>
            <wp:effectExtent l="4445" t="4445" r="18415" b="6350"/>
            <wp:docPr id="3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74A5260">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基本支出-公用经费重分类数汇总及分析</w:t>
      </w:r>
    </w:p>
    <w:p w14:paraId="3C39D1AE">
      <w:pPr>
        <w:pStyle w:val="2"/>
        <w:rPr>
          <w:rFonts w:hint="eastAsia" w:ascii="仿宋" w:hAnsi="仿宋" w:eastAsia="仿宋" w:cs="仿宋"/>
          <w:b/>
          <w:bCs/>
          <w:sz w:val="32"/>
          <w:szCs w:val="32"/>
          <w:lang w:val="en-US" w:eastAsia="zh-CN"/>
        </w:rPr>
      </w:pPr>
      <w:r>
        <w:drawing>
          <wp:inline distT="0" distB="0" distL="114300" distR="114300">
            <wp:extent cx="4972050" cy="1133475"/>
            <wp:effectExtent l="9525" t="9525" r="9525" b="19050"/>
            <wp:docPr id="8" name="图片 3"/>
            <wp:cNvGraphicFramePr/>
            <a:graphic xmlns:a="http://schemas.openxmlformats.org/drawingml/2006/main">
              <a:graphicData uri="http://schemas.openxmlformats.org/drawingml/2006/picture">
                <pic:pic xmlns:pic="http://schemas.openxmlformats.org/drawingml/2006/picture">
                  <pic:nvPicPr>
                    <pic:cNvPr id="8" name="图片 3"/>
                    <pic:cNvPicPr/>
                  </pic:nvPicPr>
                  <pic:blipFill>
                    <a:blip r:embed="rId25"/>
                  </pic:blipFill>
                  <pic:spPr>
                    <a:xfrm>
                      <a:off x="0" y="0"/>
                      <a:ext cx="4972050" cy="1133475"/>
                    </a:xfrm>
                    <a:prstGeom prst="rect">
                      <a:avLst/>
                    </a:prstGeom>
                    <a:solidFill>
                      <a:srgbClr val="FFFFFF"/>
                    </a:solidFill>
                    <a:ln w="9525">
                      <a:solidFill>
                        <a:srgbClr val="000000"/>
                      </a:solidFill>
                    </a:ln>
                  </pic:spPr>
                </pic:pic>
              </a:graphicData>
            </a:graphic>
          </wp:inline>
        </w:drawing>
      </w:r>
    </w:p>
    <w:p w14:paraId="08374759">
      <w:pPr>
        <w:pStyle w:val="2"/>
      </w:pPr>
      <w:r>
        <w:drawing>
          <wp:inline distT="0" distB="0" distL="114300" distR="114300">
            <wp:extent cx="5268595" cy="2073910"/>
            <wp:effectExtent l="4445" t="4445" r="22860" b="17145"/>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7CD98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检查凭证存在以下情况：</w:t>
      </w:r>
    </w:p>
    <w:p w14:paraId="7DB8A1EF">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一是</w:t>
      </w:r>
      <w:r>
        <w:rPr>
          <w:rFonts w:hint="eastAsia" w:ascii="仿宋" w:hAnsi="仿宋" w:eastAsia="仿宋" w:cs="仿宋"/>
          <w:sz w:val="32"/>
          <w:szCs w:val="32"/>
          <w:lang w:val="en-US" w:eastAsia="zh-CN"/>
        </w:rPr>
        <w:t>由科协、红十字会、妇联、总工会、汽车协会、团委6个单位成立工会联合体，存在</w:t>
      </w:r>
      <w:r>
        <w:rPr>
          <w:rFonts w:hint="eastAsia" w:ascii="仿宋" w:hAnsi="仿宋" w:eastAsia="仿宋" w:cs="仿宋"/>
          <w:b w:val="0"/>
          <w:bCs w:val="0"/>
          <w:sz w:val="32"/>
          <w:szCs w:val="32"/>
          <w:highlight w:val="none"/>
          <w:lang w:val="en-US" w:eastAsia="zh-CN"/>
        </w:rPr>
        <w:t>已设立工会组织（联合体工会组织），设置了工会总账簿，但未根据每一个独立的联合体工会（作为独立的会计主体）设立单独的明细账套，清晰反映其各自的经费收支和资产负债情况</w:t>
      </w:r>
      <w:r>
        <w:rPr>
          <w:rFonts w:hint="eastAsia" w:ascii="仿宋" w:hAnsi="仿宋" w:eastAsia="仿宋" w:cs="仿宋"/>
          <w:b w:val="0"/>
          <w:bCs w:val="0"/>
          <w:sz w:val="32"/>
          <w:szCs w:val="32"/>
          <w:lang w:val="en-US" w:eastAsia="zh-CN"/>
        </w:rPr>
        <w:t>。</w:t>
      </w:r>
      <w:r>
        <w:rPr>
          <w:rFonts w:hint="eastAsia" w:ascii="仿宋" w:hAnsi="仿宋" w:eastAsia="仿宋" w:cs="仿宋"/>
          <w:b/>
          <w:bCs/>
          <w:sz w:val="32"/>
          <w:szCs w:val="32"/>
          <w:lang w:val="en-US" w:eastAsia="zh-CN"/>
        </w:rPr>
        <w:t>二是</w:t>
      </w:r>
      <w:r>
        <w:rPr>
          <w:rFonts w:hint="eastAsia" w:ascii="仿宋" w:hAnsi="仿宋" w:eastAsia="仿宋" w:cs="仿宋"/>
          <w:sz w:val="32"/>
          <w:szCs w:val="32"/>
          <w:lang w:val="en-US" w:eastAsia="zh-CN"/>
        </w:rPr>
        <w:t>支付食堂餐费无计算依据（如用餐人数、餐标、天数等）。</w:t>
      </w:r>
      <w:r>
        <w:rPr>
          <w:rFonts w:hint="eastAsia" w:ascii="仿宋" w:hAnsi="仿宋" w:eastAsia="仿宋" w:cs="仿宋"/>
          <w:b/>
          <w:bCs/>
          <w:sz w:val="32"/>
          <w:szCs w:val="32"/>
          <w:lang w:val="en-US" w:eastAsia="zh-CN"/>
        </w:rPr>
        <w:t>三是</w:t>
      </w:r>
      <w:r>
        <w:rPr>
          <w:rFonts w:hint="eastAsia" w:ascii="仿宋" w:hAnsi="仿宋" w:eastAsia="仿宋" w:cs="仿宋"/>
          <w:sz w:val="32"/>
          <w:szCs w:val="32"/>
          <w:lang w:val="en-US" w:eastAsia="zh-CN"/>
        </w:rPr>
        <w:t>跨期支付，支付2025年的工会经费，支付2025年的数据信息服务费等。</w:t>
      </w:r>
    </w:p>
    <w:p w14:paraId="6C95C3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4.三公经费重分类数汇总及分析</w:t>
      </w:r>
    </w:p>
    <w:p w14:paraId="224BF2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（1）区科协2024年度无因公出国（境）费。</w:t>
      </w:r>
    </w:p>
    <w:p w14:paraId="21D6FC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（2）区科协2024年度无公务用车购置及运行费。单位资产无公务车，日常无公车维护运行费。</w:t>
      </w:r>
    </w:p>
    <w:p w14:paraId="1E120F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与交通费相关联事项：</w:t>
      </w:r>
      <w:r>
        <w:rPr>
          <w:rFonts w:hint="eastAsia" w:ascii="仿宋" w:hAnsi="仿宋" w:eastAsia="仿宋" w:cs="仿宋"/>
          <w:b w:val="0"/>
          <w:bCs w:val="0"/>
          <w:sz w:val="32"/>
          <w:szCs w:val="32"/>
          <w:lang w:val="en-US" w:eastAsia="zh-CN"/>
        </w:rPr>
        <w:t>存在交通补贴造表发放，发放表未见人力资源部或组织部审批盖章。</w:t>
      </w:r>
    </w:p>
    <w:p w14:paraId="733A3E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（3）2024年无公务接待费。</w:t>
      </w:r>
    </w:p>
    <w:p w14:paraId="0DCCA9D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5.会议费情况汇总</w:t>
      </w:r>
    </w:p>
    <w:p w14:paraId="3BCB1E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无会议费支出。</w:t>
      </w:r>
    </w:p>
    <w:p w14:paraId="4222FF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6.办公经费情况汇总</w:t>
      </w:r>
    </w:p>
    <w:p w14:paraId="017177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基本支出-公用经费-办公经费重分类数16,575.72元，详情如下表：</w:t>
      </w:r>
    </w:p>
    <w:p w14:paraId="1100C99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outlineLvl w:val="9"/>
        <w:rPr>
          <w:rFonts w:hint="eastAsia" w:ascii="仿宋" w:hAnsi="仿宋" w:eastAsia="仿宋" w:cs="仿宋"/>
          <w:sz w:val="32"/>
          <w:szCs w:val="32"/>
          <w:highlight w:val="yellow"/>
          <w:lang w:val="en-US" w:eastAsia="zh-CN"/>
        </w:rPr>
      </w:pPr>
      <w:r>
        <w:drawing>
          <wp:inline distT="0" distB="0" distL="114300" distR="114300">
            <wp:extent cx="3886200" cy="1495425"/>
            <wp:effectExtent l="9525" t="9525" r="9525" b="19050"/>
            <wp:docPr id="31" name="图片 4"/>
            <wp:cNvGraphicFramePr/>
            <a:graphic xmlns:a="http://schemas.openxmlformats.org/drawingml/2006/main">
              <a:graphicData uri="http://schemas.openxmlformats.org/drawingml/2006/picture">
                <pic:pic xmlns:pic="http://schemas.openxmlformats.org/drawingml/2006/picture">
                  <pic:nvPicPr>
                    <pic:cNvPr id="31" name="图片 4"/>
                    <pic:cNvPicPr/>
                  </pic:nvPicPr>
                  <pic:blipFill>
                    <a:blip r:embed="rId27"/>
                  </pic:blipFill>
                  <pic:spPr>
                    <a:xfrm>
                      <a:off x="0" y="0"/>
                      <a:ext cx="3886200" cy="1495425"/>
                    </a:xfrm>
                    <a:prstGeom prst="rect">
                      <a:avLst/>
                    </a:prstGeom>
                    <a:solidFill>
                      <a:srgbClr val="FFFFFF"/>
                    </a:solidFill>
                    <a:ln w="9525">
                      <a:solidFill>
                        <a:srgbClr val="000000"/>
                      </a:solidFill>
                    </a:ln>
                  </pic:spPr>
                </pic:pic>
              </a:graphicData>
            </a:graphic>
          </wp:inline>
        </w:drawing>
      </w:r>
    </w:p>
    <w:p w14:paraId="39D1650E">
      <w:pPr>
        <w:pStyle w:val="2"/>
        <w:rPr>
          <w:rFonts w:hint="eastAsia" w:ascii="仿宋" w:hAnsi="仿宋" w:eastAsia="仿宋" w:cs="仿宋"/>
          <w:sz w:val="32"/>
          <w:szCs w:val="32"/>
          <w:highlight w:val="yellow"/>
          <w:lang w:val="en-US" w:eastAsia="zh-CN"/>
        </w:rPr>
      </w:pPr>
      <w:r>
        <w:drawing>
          <wp:inline distT="0" distB="0" distL="114300" distR="114300">
            <wp:extent cx="4864100" cy="2980690"/>
            <wp:effectExtent l="5080" t="4445" r="7620" b="5715"/>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448D1C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7.新增财政性支出情况汇总</w:t>
      </w:r>
    </w:p>
    <w:p w14:paraId="1D7F44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sz w:val="32"/>
          <w:szCs w:val="32"/>
          <w:lang w:val="en-US" w:eastAsia="zh-CN"/>
        </w:rPr>
        <w:t>无新增财政性支出。</w:t>
      </w:r>
    </w:p>
    <w:p w14:paraId="5FA83342">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32" w:name="_Toc24487"/>
      <w:r>
        <w:rPr>
          <w:rFonts w:hint="eastAsia" w:ascii="楷体" w:hAnsi="楷体" w:eastAsia="楷体" w:cs="楷体"/>
          <w:b/>
          <w:bCs/>
          <w:sz w:val="32"/>
          <w:szCs w:val="32"/>
          <w:lang w:eastAsia="zh-CN"/>
        </w:rPr>
        <w:t>预算</w:t>
      </w:r>
      <w:r>
        <w:rPr>
          <w:rFonts w:hint="eastAsia" w:ascii="楷体" w:hAnsi="楷体" w:eastAsia="楷体" w:cs="楷体"/>
          <w:b/>
          <w:bCs/>
          <w:sz w:val="32"/>
          <w:szCs w:val="32"/>
          <w:lang w:val="en-US" w:eastAsia="zh-CN"/>
        </w:rPr>
        <w:t>管理情况及分析</w:t>
      </w:r>
      <w:bookmarkEnd w:id="32"/>
    </w:p>
    <w:p w14:paraId="7107F7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1.预算管理情况</w:t>
      </w:r>
    </w:p>
    <w:p w14:paraId="4FB2880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highlight w:val="none"/>
          <w:lang w:val="en-US" w:eastAsia="zh-CN"/>
        </w:rPr>
      </w:pPr>
      <w:r>
        <w:rPr>
          <w:rFonts w:hint="eastAsia" w:ascii="仿宋" w:hAnsi="仿宋" w:eastAsia="仿宋" w:cs="仿宋"/>
          <w:b/>
          <w:bCs/>
          <w:sz w:val="32"/>
          <w:szCs w:val="32"/>
          <w:lang w:val="en-US" w:eastAsia="zh-CN"/>
        </w:rPr>
        <w:t>（1）部门在预算管理方面建立的制度：雁峰区科学技术协会三重一大议事规则，雁峰区科学技术协会党风廉政建设工作制度，雁峰区科学技术协会</w:t>
      </w:r>
      <w:r>
        <w:rPr>
          <w:rFonts w:hint="eastAsia" w:ascii="仿宋" w:hAnsi="仿宋" w:eastAsia="仿宋" w:cs="仿宋"/>
          <w:b/>
          <w:bCs/>
          <w:sz w:val="32"/>
          <w:szCs w:val="32"/>
          <w:highlight w:val="none"/>
          <w:lang w:val="en-US" w:eastAsia="zh-CN"/>
        </w:rPr>
        <w:t>财务管理相关规定。</w:t>
      </w:r>
      <w:r>
        <w:rPr>
          <w:rFonts w:hint="eastAsia" w:ascii="仿宋" w:hAnsi="仿宋" w:eastAsia="仿宋" w:cs="仿宋"/>
          <w:sz w:val="32"/>
          <w:szCs w:val="32"/>
          <w:highlight w:val="none"/>
          <w:lang w:val="en-US" w:eastAsia="zh-CN"/>
        </w:rPr>
        <w:t>未提供其他管理制度，如：预算管理制度，内部控制制度，政府采购管理制度，国有资产管理制度，合同管理制度，专项资金管理办法，绩效管理制度，信息化管理制度，决算与财务报告制度，监督与审计制度，工会管理制度等。</w:t>
      </w:r>
    </w:p>
    <w:p w14:paraId="5B140CF2">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（2）预算管理相关的信息化工具。</w:t>
      </w:r>
      <w:r>
        <w:rPr>
          <w:rFonts w:hint="eastAsia" w:ascii="Times New Roman" w:hAnsi="Times New Roman" w:eastAsia="仿宋_GB2312" w:cs="Times New Roman"/>
          <w:color w:val="auto"/>
          <w:sz w:val="32"/>
          <w:szCs w:val="32"/>
          <w:highlight w:val="none"/>
          <w:lang w:val="en-US" w:eastAsia="zh-CN"/>
        </w:rPr>
        <w:t>使用财政预算一体化信息系统。</w:t>
      </w:r>
    </w:p>
    <w:p w14:paraId="60BB84EB">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（3）预算信息公开情况。</w:t>
      </w:r>
      <w:r>
        <w:rPr>
          <w:rFonts w:hint="eastAsia" w:ascii="Times New Roman" w:hAnsi="Times New Roman" w:eastAsia="仿宋_GB2312" w:cs="Times New Roman"/>
          <w:b w:val="0"/>
          <w:bCs w:val="0"/>
          <w:color w:val="auto"/>
          <w:sz w:val="32"/>
          <w:szCs w:val="32"/>
          <w:highlight w:val="none"/>
          <w:lang w:val="en-US" w:eastAsia="zh-CN"/>
        </w:rPr>
        <w:t>可以在</w:t>
      </w:r>
      <w:r>
        <w:rPr>
          <w:rFonts w:hint="eastAsia" w:ascii="Times New Roman" w:hAnsi="Times New Roman" w:eastAsia="仿宋_GB2312" w:cs="Times New Roman"/>
          <w:color w:val="auto"/>
          <w:sz w:val="32"/>
          <w:szCs w:val="32"/>
          <w:highlight w:val="none"/>
          <w:lang w:val="en-US" w:eastAsia="zh-CN"/>
        </w:rPr>
        <w:t>衡阳雁峰区政府网上查到2024年区科协的预算公开信息。</w:t>
      </w:r>
    </w:p>
    <w:p w14:paraId="74AE0D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2.预算管理分析</w:t>
      </w:r>
    </w:p>
    <w:p w14:paraId="5771DD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highlight w:val="none"/>
          <w:lang w:val="en-US" w:eastAsia="zh-CN"/>
        </w:rPr>
      </w:pPr>
      <w:r>
        <w:rPr>
          <w:rFonts w:hint="eastAsia" w:ascii="仿宋" w:hAnsi="仿宋" w:eastAsia="仿宋" w:cs="仿宋"/>
          <w:b/>
          <w:bCs/>
          <w:sz w:val="32"/>
          <w:szCs w:val="32"/>
          <w:lang w:val="en-US" w:eastAsia="zh-CN"/>
        </w:rPr>
        <w:t>（1）制度健全性。</w:t>
      </w:r>
      <w:r>
        <w:rPr>
          <w:rFonts w:hint="eastAsia" w:ascii="仿宋" w:hAnsi="仿宋" w:eastAsia="仿宋" w:cs="仿宋"/>
          <w:b w:val="0"/>
          <w:bCs w:val="0"/>
          <w:sz w:val="32"/>
          <w:szCs w:val="32"/>
          <w:highlight w:val="none"/>
          <w:lang w:val="en-US" w:eastAsia="zh-CN"/>
        </w:rPr>
        <w:t>财务管理制度未覆盖预算编制、调整、核算等关键环节，部分制度缺失。</w:t>
      </w:r>
    </w:p>
    <w:p w14:paraId="02209D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highlight w:val="none"/>
          <w:lang w:val="en-US" w:eastAsia="zh-CN"/>
        </w:rPr>
      </w:pPr>
      <w:r>
        <w:rPr>
          <w:rFonts w:hint="eastAsia" w:ascii="仿宋" w:hAnsi="仿宋" w:eastAsia="仿宋" w:cs="仿宋"/>
          <w:b/>
          <w:bCs/>
          <w:sz w:val="32"/>
          <w:szCs w:val="32"/>
          <w:lang w:val="en-US" w:eastAsia="zh-CN"/>
        </w:rPr>
        <w:t>（2）执行有效性。</w:t>
      </w:r>
      <w:r>
        <w:rPr>
          <w:rFonts w:hint="eastAsia" w:ascii="仿宋" w:hAnsi="仿宋" w:eastAsia="仿宋" w:cs="仿宋"/>
          <w:b w:val="0"/>
          <w:bCs w:val="0"/>
          <w:sz w:val="32"/>
          <w:szCs w:val="32"/>
          <w:highlight w:val="none"/>
          <w:lang w:val="en-US" w:eastAsia="zh-CN"/>
        </w:rPr>
        <w:t>按照财务管理制度基本有效执行。存在不足之处详见整体支出汇总及分析。</w:t>
      </w:r>
    </w:p>
    <w:p w14:paraId="1100C8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（3）监控预警能力。</w:t>
      </w:r>
      <w:r>
        <w:rPr>
          <w:rFonts w:hint="eastAsia" w:ascii="仿宋" w:hAnsi="仿宋" w:eastAsia="仿宋" w:cs="仿宋"/>
          <w:b w:val="0"/>
          <w:bCs w:val="0"/>
          <w:sz w:val="32"/>
          <w:szCs w:val="32"/>
          <w:highlight w:val="none"/>
          <w:lang w:val="en-US" w:eastAsia="zh-CN"/>
        </w:rPr>
        <w:t>政府会计系统通过“指标-支出-核算”一体化管理，在一定程度上实现了预算执行全流程监控。</w:t>
      </w:r>
    </w:p>
    <w:p w14:paraId="3F3089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（4）信息化支撑。</w:t>
      </w:r>
      <w:r>
        <w:rPr>
          <w:rFonts w:hint="eastAsia" w:ascii="仿宋" w:hAnsi="仿宋" w:eastAsia="仿宋" w:cs="仿宋"/>
          <w:b w:val="0"/>
          <w:bCs w:val="0"/>
          <w:sz w:val="32"/>
          <w:szCs w:val="32"/>
          <w:lang w:val="en-US" w:eastAsia="zh-CN"/>
        </w:rPr>
        <w:t>实现预算编制、执行、核算、决算全流程线上化，有效支撑了预算管理和监控。</w:t>
      </w:r>
    </w:p>
    <w:p w14:paraId="234E29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highlight w:val="none"/>
          <w:lang w:val="en-US" w:eastAsia="zh-CN"/>
        </w:rPr>
      </w:pPr>
      <w:r>
        <w:rPr>
          <w:rFonts w:hint="eastAsia" w:ascii="仿宋" w:hAnsi="仿宋" w:eastAsia="仿宋" w:cs="仿宋"/>
          <w:b/>
          <w:bCs/>
          <w:sz w:val="32"/>
          <w:szCs w:val="32"/>
          <w:lang w:val="en-US" w:eastAsia="zh-CN"/>
        </w:rPr>
        <w:t>（5）管理规范性。未提供预算调整批复文件。存在基本支出挤占项目支出的情况</w:t>
      </w:r>
      <w:r>
        <w:rPr>
          <w:rFonts w:hint="eastAsia" w:ascii="仿宋" w:hAnsi="仿宋" w:eastAsia="仿宋" w:cs="仿宋"/>
          <w:b w:val="0"/>
          <w:bCs w:val="0"/>
          <w:sz w:val="32"/>
          <w:szCs w:val="32"/>
          <w:highlight w:val="none"/>
          <w:lang w:val="en-US" w:eastAsia="zh-CN"/>
        </w:rPr>
        <w:t>。详见整体支出汇总及分析。</w:t>
      </w:r>
    </w:p>
    <w:p w14:paraId="2F3BF7F0">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33" w:name="_Toc21731"/>
      <w:r>
        <w:rPr>
          <w:rFonts w:hint="eastAsia" w:ascii="楷体" w:hAnsi="楷体" w:eastAsia="楷体" w:cs="楷体"/>
          <w:b/>
          <w:bCs/>
          <w:sz w:val="32"/>
          <w:szCs w:val="32"/>
          <w:lang w:val="en-US" w:eastAsia="zh-CN"/>
        </w:rPr>
        <w:t>工资管理情况及分析</w:t>
      </w:r>
      <w:bookmarkEnd w:id="33"/>
    </w:p>
    <w:p w14:paraId="584EFA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1.未提供相关文件。</w:t>
      </w:r>
      <w:r>
        <w:rPr>
          <w:rFonts w:hint="eastAsia" w:ascii="仿宋" w:hAnsi="仿宋" w:eastAsia="仿宋" w:cs="仿宋"/>
          <w:b w:val="0"/>
          <w:bCs w:val="0"/>
          <w:sz w:val="32"/>
          <w:szCs w:val="32"/>
          <w:lang w:val="en-US" w:eastAsia="zh-CN"/>
        </w:rPr>
        <w:t>未提供发放职工津贴与车补的相关文件。未提供工资流程及工资管理制度。未提供相关审计检查文件或资料。</w:t>
      </w:r>
    </w:p>
    <w:p w14:paraId="199A1F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both"/>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2.检查凭证过程，发现存在以下情况：</w:t>
      </w:r>
    </w:p>
    <w:p w14:paraId="7D01D027">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是发放工资的依据缺少经审批的工资明细表，缺少银行代发明细回单，仅凭国库支付凭证，工资发放业务在财务核算和内部控制上是不完整、不合规的。它使得资金支付的“最后一公里”脱离了监督。二是支付医疗保险、工伤保险、职业年金后仅附国库支付单，银行端查询缴税凭证，未附人员名单、缴费基数确认表、明确的计算依据、审批流程、银行付款回单等。三是发放人员经费性质的交通补贴缺乏人力资源或组织部门的审核盖章。四存在人员经费中津贴补贴扣除五险一金后为负数，简约为零，未从个人工资中扣回，发放工资表不平衡情况。五是发放奖励绩效奖金合计14,167.00元，后附除国库支付单，无其他说明及依据。详见2024年7月8号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8"/>
        <w:gridCol w:w="4258"/>
      </w:tblGrid>
      <w:tr w14:paraId="2361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8" w:type="dxa"/>
          </w:tcPr>
          <w:p w14:paraId="15674504">
            <w:pPr>
              <w:pStyle w:val="6"/>
              <w:widowControl w:val="0"/>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drawing>
                <wp:anchor distT="0" distB="0" distL="114300" distR="114300" simplePos="0" relativeHeight="251664384" behindDoc="0" locked="0" layoutInCell="1" allowOverlap="1">
                  <wp:simplePos x="0" y="0"/>
                  <wp:positionH relativeFrom="column">
                    <wp:posOffset>1219200</wp:posOffset>
                  </wp:positionH>
                  <wp:positionV relativeFrom="paragraph">
                    <wp:posOffset>5715</wp:posOffset>
                  </wp:positionV>
                  <wp:extent cx="2565400" cy="2651125"/>
                  <wp:effectExtent l="0" t="0" r="6350" b="15875"/>
                  <wp:wrapSquare wrapText="bothSides"/>
                  <wp:docPr id="35" name="图片 3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
                          <pic:cNvPicPr>
                            <a:picLocks noChangeAspect="1"/>
                          </pic:cNvPicPr>
                        </pic:nvPicPr>
                        <pic:blipFill>
                          <a:blip r:embed="rId29"/>
                          <a:stretch>
                            <a:fillRect/>
                          </a:stretch>
                        </pic:blipFill>
                        <pic:spPr>
                          <a:xfrm>
                            <a:off x="0" y="0"/>
                            <a:ext cx="2565400" cy="2651125"/>
                          </a:xfrm>
                          <a:prstGeom prst="rect">
                            <a:avLst/>
                          </a:prstGeom>
                        </pic:spPr>
                      </pic:pic>
                    </a:graphicData>
                  </a:graphic>
                </wp:anchor>
              </w:drawing>
            </w:r>
          </w:p>
        </w:tc>
        <w:tc>
          <w:tcPr>
            <w:tcW w:w="4258" w:type="dxa"/>
          </w:tcPr>
          <w:p w14:paraId="1FD16496">
            <w:pPr>
              <w:pStyle w:val="6"/>
              <w:widowControl w:val="0"/>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drawing>
                <wp:anchor distT="0" distB="0" distL="114300" distR="114300" simplePos="0" relativeHeight="251663360" behindDoc="0" locked="0" layoutInCell="1" allowOverlap="1">
                  <wp:simplePos x="0" y="0"/>
                  <wp:positionH relativeFrom="column">
                    <wp:posOffset>-4445</wp:posOffset>
                  </wp:positionH>
                  <wp:positionV relativeFrom="paragraph">
                    <wp:posOffset>22225</wp:posOffset>
                  </wp:positionV>
                  <wp:extent cx="2969260" cy="3017520"/>
                  <wp:effectExtent l="0" t="0" r="2540" b="11430"/>
                  <wp:wrapSquare wrapText="bothSides"/>
                  <wp:docPr id="39" name="图片 39" descr="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222222"/>
                          <pic:cNvPicPr>
                            <a:picLocks noChangeAspect="1"/>
                          </pic:cNvPicPr>
                        </pic:nvPicPr>
                        <pic:blipFill>
                          <a:blip r:embed="rId30"/>
                          <a:stretch>
                            <a:fillRect/>
                          </a:stretch>
                        </pic:blipFill>
                        <pic:spPr>
                          <a:xfrm>
                            <a:off x="0" y="0"/>
                            <a:ext cx="2969260" cy="3017520"/>
                          </a:xfrm>
                          <a:prstGeom prst="rect">
                            <a:avLst/>
                          </a:prstGeom>
                        </pic:spPr>
                      </pic:pic>
                    </a:graphicData>
                  </a:graphic>
                </wp:anchor>
              </w:drawing>
            </w:r>
          </w:p>
        </w:tc>
      </w:tr>
    </w:tbl>
    <w:p w14:paraId="4464CCB6">
      <w:pPr>
        <w:pStyle w:val="2"/>
        <w:ind w:left="0" w:leftChars="0" w:firstLine="0" w:firstLineChars="0"/>
        <w:rPr>
          <w:rFonts w:hint="default" w:ascii="仿宋" w:hAnsi="仿宋" w:eastAsia="仿宋" w:cs="仿宋"/>
          <w:b w:val="0"/>
          <w:bCs w:val="0"/>
          <w:sz w:val="84"/>
          <w:szCs w:val="84"/>
          <w:lang w:val="en-US" w:eastAsia="zh-CN"/>
        </w:rPr>
      </w:pPr>
    </w:p>
    <w:p w14:paraId="11FF4B96">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仿宋" w:hAnsi="仿宋" w:eastAsia="仿宋" w:cs="仿宋"/>
          <w:b/>
          <w:bCs/>
          <w:sz w:val="32"/>
          <w:szCs w:val="32"/>
          <w:lang w:val="en-US" w:eastAsia="zh-CN"/>
        </w:rPr>
      </w:pPr>
      <w:bookmarkStart w:id="34" w:name="_Toc21380"/>
      <w:r>
        <w:rPr>
          <w:rFonts w:hint="eastAsia" w:ascii="楷体" w:hAnsi="楷体" w:eastAsia="楷体" w:cs="楷体"/>
          <w:b/>
          <w:bCs/>
          <w:sz w:val="32"/>
          <w:szCs w:val="32"/>
          <w:lang w:val="en-US" w:eastAsia="zh-CN"/>
        </w:rPr>
        <w:t>项目支出管理情况及分析</w:t>
      </w:r>
      <w:bookmarkEnd w:id="34"/>
    </w:p>
    <w:p w14:paraId="46964CD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区科协未提供项目管理制度，未提供政府采购管理制度。</w:t>
      </w:r>
    </w:p>
    <w:p w14:paraId="7DBF440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1.项目支出内容</w:t>
      </w:r>
      <w:r>
        <w:rPr>
          <w:rFonts w:hint="eastAsia" w:ascii="仿宋" w:hAnsi="仿宋" w:eastAsia="仿宋" w:cs="仿宋"/>
          <w:sz w:val="32"/>
          <w:szCs w:val="32"/>
          <w:lang w:val="en-US" w:eastAsia="zh-CN"/>
        </w:rPr>
        <w:t>包括奖补资金、培训费及宣传费。详情见下表：</w:t>
      </w:r>
    </w:p>
    <w:p w14:paraId="4ABCD25C">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center"/>
        <w:textAlignment w:val="auto"/>
        <w:rPr>
          <w:rFonts w:hint="default" w:ascii="仿宋" w:hAnsi="仿宋" w:eastAsia="仿宋" w:cs="仿宋"/>
          <w:sz w:val="32"/>
          <w:szCs w:val="32"/>
          <w:lang w:val="en-US" w:eastAsia="zh-CN"/>
        </w:rPr>
      </w:pPr>
      <w:r>
        <w:drawing>
          <wp:inline distT="0" distB="0" distL="114300" distR="114300">
            <wp:extent cx="4400550" cy="1857375"/>
            <wp:effectExtent l="9525" t="9525" r="9525" b="19050"/>
            <wp:docPr id="33" name="图片 3"/>
            <wp:cNvGraphicFramePr/>
            <a:graphic xmlns:a="http://schemas.openxmlformats.org/drawingml/2006/main">
              <a:graphicData uri="http://schemas.openxmlformats.org/drawingml/2006/picture">
                <pic:pic xmlns:pic="http://schemas.openxmlformats.org/drawingml/2006/picture">
                  <pic:nvPicPr>
                    <pic:cNvPr id="33" name="图片 3"/>
                    <pic:cNvPicPr/>
                  </pic:nvPicPr>
                  <pic:blipFill>
                    <a:blip r:embed="rId31"/>
                  </pic:blipFill>
                  <pic:spPr>
                    <a:xfrm>
                      <a:off x="0" y="0"/>
                      <a:ext cx="4400550" cy="1857375"/>
                    </a:xfrm>
                    <a:prstGeom prst="rect">
                      <a:avLst/>
                    </a:prstGeom>
                    <a:solidFill>
                      <a:srgbClr val="FFFFFF"/>
                    </a:solidFill>
                    <a:ln w="9525">
                      <a:solidFill>
                        <a:srgbClr val="000000"/>
                      </a:solidFill>
                    </a:ln>
                  </pic:spPr>
                </pic:pic>
              </a:graphicData>
            </a:graphic>
          </wp:inline>
        </w:drawing>
      </w:r>
    </w:p>
    <w:p w14:paraId="35F0601F">
      <w:pPr>
        <w:pStyle w:val="2"/>
        <w:rPr>
          <w:rFonts w:hint="default" w:ascii="仿宋" w:hAnsi="仿宋" w:eastAsia="仿宋" w:cs="仿宋"/>
          <w:sz w:val="32"/>
          <w:szCs w:val="32"/>
          <w:lang w:val="en-US" w:eastAsia="zh-CN"/>
        </w:rPr>
      </w:pPr>
      <w:r>
        <w:drawing>
          <wp:inline distT="0" distB="0" distL="114300" distR="114300">
            <wp:extent cx="5012690" cy="3427730"/>
            <wp:effectExtent l="4445" t="4445" r="12065" b="15875"/>
            <wp:docPr id="3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D28B3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2.检查凭证信息，存在以下情况：</w:t>
      </w:r>
    </w:p>
    <w:p w14:paraId="4387AFBF">
      <w:pPr>
        <w:pStyle w:val="2"/>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是加班餐费凭证附件没有标注加班人数，未实施审批流程，无法核对金额。详见2024年12月10日0.0062万元与0.0053万元。二是支付科普印刷费后附无会议纪要，详见8月6号0.8万元印刷费。三是支付科普活动纸杯费用，验收单无验收人签字。详见9月13号凭证0.65万元。</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14:paraId="1459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331EC122">
            <w:pPr>
              <w:pStyle w:val="2"/>
              <w:keepNext w:val="0"/>
              <w:keepLines w:val="0"/>
              <w:pageBreakBefore w:val="0"/>
              <w:widowControl/>
              <w:kinsoku/>
              <w:wordWrap/>
              <w:overflowPunct/>
              <w:topLinePunct w:val="0"/>
              <w:autoSpaceDE/>
              <w:autoSpaceDN/>
              <w:bidi w:val="0"/>
              <w:adjustRightInd/>
              <w:snapToGrid/>
              <w:spacing w:after="0" w:line="240" w:lineRule="auto"/>
              <w:ind w:left="0" w:leftChars="0"/>
              <w:jc w:val="both"/>
              <w:textAlignment w:val="auto"/>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drawing>
                <wp:inline distT="0" distB="0" distL="114300" distR="114300">
                  <wp:extent cx="5263515" cy="2546350"/>
                  <wp:effectExtent l="0" t="0" r="13335" b="6350"/>
                  <wp:docPr id="7" name="图片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
                          <pic:cNvPicPr>
                            <a:picLocks noChangeAspect="1"/>
                          </pic:cNvPicPr>
                        </pic:nvPicPr>
                        <pic:blipFill>
                          <a:blip r:embed="rId33"/>
                          <a:stretch>
                            <a:fillRect/>
                          </a:stretch>
                        </pic:blipFill>
                        <pic:spPr>
                          <a:xfrm>
                            <a:off x="0" y="0"/>
                            <a:ext cx="5263515" cy="2546350"/>
                          </a:xfrm>
                          <a:prstGeom prst="rect">
                            <a:avLst/>
                          </a:prstGeom>
                        </pic:spPr>
                      </pic:pic>
                    </a:graphicData>
                  </a:graphic>
                </wp:inline>
              </w:drawing>
            </w:r>
          </w:p>
        </w:tc>
      </w:tr>
    </w:tbl>
    <w:p w14:paraId="6A9317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3.项目支出取得效益</w:t>
      </w:r>
    </w:p>
    <w:p w14:paraId="18ADF8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一是救助工作。</w:t>
      </w:r>
      <w:r>
        <w:rPr>
          <w:rFonts w:hint="eastAsia" w:ascii="仿宋" w:hAnsi="仿宋" w:eastAsia="仿宋" w:cs="仿宋"/>
          <w:b w:val="0"/>
          <w:bCs w:val="0"/>
          <w:sz w:val="32"/>
          <w:szCs w:val="32"/>
          <w:lang w:val="en-US" w:eastAsia="zh-CN"/>
        </w:rPr>
        <w:t>完成了对一名白血病儿童和两名先心病儿童救助（本年新增2名白血病儿童，已完成救助申请流程，等待小天使基金打款），确保了救助流程（评审、手术）的有效执行；同时，完成了11万元救助资金的精准、全额发放与后续跟踪，历史救助的3名儿童已基本康复，救助成功率达100%，</w:t>
      </w:r>
      <w:r>
        <w:rPr>
          <w:rFonts w:hint="eastAsia" w:ascii="仿宋" w:hAnsi="仿宋" w:eastAsia="仿宋" w:cs="仿宋"/>
          <w:b/>
          <w:bCs/>
          <w:sz w:val="32"/>
          <w:szCs w:val="32"/>
          <w:lang w:val="en-US" w:eastAsia="zh-CN"/>
        </w:rPr>
        <w:t>显著体现了人道救助的即时性与有效性，</w:t>
      </w:r>
      <w:r>
        <w:rPr>
          <w:rFonts w:hint="eastAsia" w:ascii="仿宋" w:hAnsi="仿宋" w:eastAsia="仿宋" w:cs="仿宋"/>
          <w:b w:val="0"/>
          <w:bCs w:val="0"/>
          <w:sz w:val="32"/>
          <w:szCs w:val="32"/>
          <w:lang w:val="en-US" w:eastAsia="zh-CN"/>
        </w:rPr>
        <w:t>协调上级红会和爱心企业走访慰问困难群众55户。</w:t>
      </w:r>
      <w:r>
        <w:rPr>
          <w:rFonts w:hint="eastAsia" w:ascii="仿宋" w:hAnsi="仿宋" w:eastAsia="仿宋" w:cs="仿宋"/>
          <w:b/>
          <w:bCs/>
          <w:sz w:val="32"/>
          <w:szCs w:val="32"/>
          <w:lang w:val="en-US" w:eastAsia="zh-CN"/>
        </w:rPr>
        <w:t>二是应急救护培训工作。</w:t>
      </w:r>
      <w:r>
        <w:rPr>
          <w:rFonts w:hint="eastAsia" w:ascii="仿宋" w:hAnsi="仿宋" w:eastAsia="仿宋" w:cs="仿宋"/>
          <w:b w:val="0"/>
          <w:bCs w:val="0"/>
          <w:sz w:val="32"/>
          <w:szCs w:val="32"/>
          <w:lang w:val="en-US" w:eastAsia="zh-CN"/>
        </w:rPr>
        <w:t>组织到辖区社区（村）、广场、学校开展应急救护培训宣传12场次，受益人员达数千人，新增持证救护员52人。</w:t>
      </w:r>
      <w:r>
        <w:rPr>
          <w:rFonts w:hint="eastAsia" w:ascii="仿宋" w:hAnsi="仿宋" w:eastAsia="仿宋" w:cs="仿宋"/>
          <w:b/>
          <w:bCs/>
          <w:sz w:val="32"/>
          <w:szCs w:val="32"/>
          <w:lang w:val="en-US" w:eastAsia="zh-CN"/>
        </w:rPr>
        <w:t>三是宣传活动。</w:t>
      </w:r>
      <w:r>
        <w:rPr>
          <w:rFonts w:hint="eastAsia" w:ascii="仿宋" w:hAnsi="仿宋" w:eastAsia="仿宋" w:cs="仿宋"/>
          <w:b w:val="0"/>
          <w:bCs w:val="0"/>
          <w:sz w:val="32"/>
          <w:szCs w:val="32"/>
          <w:lang w:val="en-US" w:eastAsia="zh-CN"/>
        </w:rPr>
        <w:t>通过多形式、多渠道的宣传活动，显著提升了红十字精神与社会应急知识在公众中的覆盖面与影响力（发放宣传资料数万份）；特别是首次众筹活动成功动员百余群众参与，实现了公众募资从零到一的突破，</w:t>
      </w:r>
      <w:r>
        <w:rPr>
          <w:rFonts w:hint="eastAsia" w:ascii="仿宋" w:hAnsi="仿宋" w:eastAsia="仿宋" w:cs="仿宋"/>
          <w:b/>
          <w:bCs/>
          <w:sz w:val="32"/>
          <w:szCs w:val="32"/>
          <w:lang w:val="en-US" w:eastAsia="zh-CN"/>
        </w:rPr>
        <w:t>为配置公共AED积累了社会力量和资金。四是三献工作。</w:t>
      </w:r>
      <w:r>
        <w:rPr>
          <w:rFonts w:hint="eastAsia" w:ascii="仿宋" w:hAnsi="仿宋" w:eastAsia="仿宋" w:cs="仿宋"/>
          <w:b w:val="0"/>
          <w:bCs w:val="0"/>
          <w:sz w:val="32"/>
          <w:szCs w:val="32"/>
          <w:lang w:val="en-US" w:eastAsia="zh-CN"/>
        </w:rPr>
        <w:t>在生命接力领域取得了实质性进展，成功储备了35份潜在的人体器官捐献资源和5份造血干细胞捐献资源，</w:t>
      </w:r>
      <w:r>
        <w:rPr>
          <w:rFonts w:hint="eastAsia" w:ascii="仿宋" w:hAnsi="仿宋" w:eastAsia="仿宋" w:cs="仿宋"/>
          <w:b/>
          <w:bCs/>
          <w:sz w:val="32"/>
          <w:szCs w:val="32"/>
          <w:lang w:val="en-US" w:eastAsia="zh-CN"/>
        </w:rPr>
        <w:t>为挽救更多垂危生命创造了可能，体现了在“三献”这一核心人道使命上的有效推动。五是完成“博爱家园”项目建设。</w:t>
      </w:r>
      <w:r>
        <w:rPr>
          <w:rFonts w:hint="eastAsia" w:ascii="仿宋" w:hAnsi="仿宋" w:eastAsia="仿宋" w:cs="仿宋"/>
          <w:b w:val="0"/>
          <w:bCs w:val="0"/>
          <w:sz w:val="32"/>
          <w:szCs w:val="32"/>
          <w:lang w:val="en-US" w:eastAsia="zh-CN"/>
        </w:rPr>
        <w:t>高标准建成了集应急培训、扶贫帮困、解决就业于一体的综合性人道服务阵地（到位资金15万元），项目获得省、市红十字会高度认可，形成了可复制、可推广的标杆项目模式，完成东洲岛应急救护站申请、建设，确保在旅发会前投入使用；完成衡阳幼师和衡阳市委党校应急救护培训基地申报及建设，开展培训受益人群数万人。</w:t>
      </w:r>
      <w:r>
        <w:rPr>
          <w:rFonts w:hint="eastAsia" w:ascii="仿宋" w:hAnsi="仿宋" w:eastAsia="仿宋" w:cs="仿宋"/>
          <w:b/>
          <w:bCs/>
          <w:sz w:val="32"/>
          <w:szCs w:val="32"/>
          <w:lang w:val="en-US" w:eastAsia="zh-CN"/>
        </w:rPr>
        <w:t>实现了资金效益与社会效益的最大化。</w:t>
      </w:r>
    </w:p>
    <w:p w14:paraId="2D3ADE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1"/>
        <w:rPr>
          <w:rFonts w:hint="eastAsia" w:ascii="楷体" w:hAnsi="楷体" w:eastAsia="楷体" w:cs="楷体"/>
          <w:b/>
          <w:bCs/>
          <w:sz w:val="32"/>
          <w:szCs w:val="32"/>
          <w:highlight w:val="none"/>
          <w:lang w:val="en-US" w:eastAsia="zh-CN"/>
        </w:rPr>
      </w:pPr>
      <w:bookmarkStart w:id="35" w:name="_Toc11281"/>
      <w:r>
        <w:rPr>
          <w:rFonts w:hint="eastAsia" w:ascii="仿宋" w:hAnsi="仿宋" w:eastAsia="仿宋" w:cs="仿宋"/>
          <w:b/>
          <w:bCs/>
          <w:sz w:val="32"/>
          <w:szCs w:val="32"/>
          <w:highlight w:val="none"/>
          <w:lang w:val="en-US" w:eastAsia="zh-CN"/>
        </w:rPr>
        <w:t>（七）</w:t>
      </w:r>
      <w:r>
        <w:rPr>
          <w:rFonts w:hint="eastAsia" w:ascii="楷体" w:hAnsi="楷体" w:eastAsia="楷体" w:cs="楷体"/>
          <w:b/>
          <w:bCs/>
          <w:sz w:val="32"/>
          <w:szCs w:val="32"/>
          <w:highlight w:val="none"/>
          <w:lang w:val="en-US" w:eastAsia="zh-CN"/>
        </w:rPr>
        <w:t>固定资产管理情况及分析</w:t>
      </w:r>
      <w:bookmarkEnd w:id="35"/>
    </w:p>
    <w:p w14:paraId="0B5938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default"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存在临时管理部门、临时管理人员，部分资产的使用部门空缺。详情见下：</w:t>
      </w:r>
    </w:p>
    <w:p w14:paraId="27D93A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both"/>
        <w:textAlignment w:val="auto"/>
        <w:outlineLvl w:val="9"/>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1.固定资产2024年增减及计提折旧情况如下（金额：元）</w:t>
      </w:r>
    </w:p>
    <w:tbl>
      <w:tblPr>
        <w:tblStyle w:val="1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73"/>
        <w:gridCol w:w="1296"/>
        <w:gridCol w:w="1724"/>
        <w:gridCol w:w="1724"/>
        <w:gridCol w:w="1296"/>
      </w:tblGrid>
      <w:tr w14:paraId="68153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17" w:type="pct"/>
            <w:tcBorders>
              <w:top w:val="single" w:color="5B9BD5" w:sz="8" w:space="0"/>
              <w:left w:val="single" w:color="5B9BD5" w:sz="8" w:space="0"/>
              <w:bottom w:val="single" w:color="5B9BD5" w:sz="8" w:space="0"/>
              <w:right w:val="single" w:color="9BC2E6" w:sz="8" w:space="0"/>
            </w:tcBorders>
            <w:shd w:val="clear" w:color="auto" w:fill="auto"/>
            <w:vAlign w:val="center"/>
          </w:tcPr>
          <w:p w14:paraId="4E9DEE2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693" w:type="pct"/>
            <w:tcBorders>
              <w:top w:val="single" w:color="5B9BD5" w:sz="8" w:space="0"/>
              <w:left w:val="nil"/>
              <w:bottom w:val="single" w:color="5B9BD5" w:sz="8" w:space="0"/>
              <w:right w:val="single" w:color="9BC2E6" w:sz="8" w:space="0"/>
            </w:tcBorders>
            <w:shd w:val="clear" w:color="auto" w:fill="auto"/>
            <w:noWrap/>
            <w:vAlign w:val="center"/>
          </w:tcPr>
          <w:p w14:paraId="2FA09BE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期初余额</w:t>
            </w:r>
          </w:p>
        </w:tc>
        <w:tc>
          <w:tcPr>
            <w:tcW w:w="897" w:type="pct"/>
            <w:tcBorders>
              <w:top w:val="single" w:color="5B9BD5" w:sz="8" w:space="0"/>
              <w:left w:val="nil"/>
              <w:bottom w:val="single" w:color="5B9BD5" w:sz="8" w:space="0"/>
              <w:right w:val="single" w:color="9BC2E6" w:sz="8" w:space="0"/>
            </w:tcBorders>
            <w:shd w:val="clear" w:color="auto" w:fill="auto"/>
            <w:noWrap/>
            <w:vAlign w:val="center"/>
          </w:tcPr>
          <w:p w14:paraId="410325E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2024年增加额</w:t>
            </w:r>
          </w:p>
        </w:tc>
        <w:tc>
          <w:tcPr>
            <w:tcW w:w="897" w:type="pct"/>
            <w:tcBorders>
              <w:top w:val="single" w:color="5B9BD5" w:sz="8" w:space="0"/>
              <w:left w:val="nil"/>
              <w:bottom w:val="single" w:color="5B9BD5" w:sz="8" w:space="0"/>
              <w:right w:val="single" w:color="9BC2E6" w:sz="8" w:space="0"/>
            </w:tcBorders>
            <w:shd w:val="clear" w:color="auto" w:fill="auto"/>
            <w:noWrap/>
            <w:vAlign w:val="center"/>
          </w:tcPr>
          <w:p w14:paraId="2A1F02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2024年减少额</w:t>
            </w:r>
          </w:p>
        </w:tc>
        <w:tc>
          <w:tcPr>
            <w:tcW w:w="693" w:type="pct"/>
            <w:tcBorders>
              <w:top w:val="single" w:color="5B9BD5" w:sz="8" w:space="0"/>
              <w:left w:val="nil"/>
              <w:bottom w:val="single" w:color="5B9BD5" w:sz="8" w:space="0"/>
              <w:right w:val="single" w:color="5B9BD5" w:sz="8" w:space="0"/>
            </w:tcBorders>
            <w:shd w:val="clear" w:color="auto" w:fill="auto"/>
            <w:noWrap/>
            <w:vAlign w:val="center"/>
          </w:tcPr>
          <w:p w14:paraId="46DC2B7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期末余额</w:t>
            </w:r>
          </w:p>
        </w:tc>
      </w:tr>
      <w:tr w14:paraId="6B05A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17" w:type="pct"/>
            <w:tcBorders>
              <w:top w:val="nil"/>
              <w:left w:val="single" w:color="5B9BD5" w:sz="8" w:space="0"/>
              <w:bottom w:val="single" w:color="9BC2E6" w:sz="8" w:space="0"/>
              <w:right w:val="single" w:color="9BC2E6" w:sz="8" w:space="0"/>
            </w:tcBorders>
            <w:shd w:val="clear" w:color="auto" w:fill="DDEBF7"/>
            <w:vAlign w:val="center"/>
          </w:tcPr>
          <w:p w14:paraId="3BDAED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固定资产原值</w:t>
            </w:r>
          </w:p>
        </w:tc>
        <w:tc>
          <w:tcPr>
            <w:tcW w:w="693" w:type="pct"/>
            <w:tcBorders>
              <w:top w:val="nil"/>
              <w:left w:val="nil"/>
              <w:bottom w:val="single" w:color="9BC2E6" w:sz="8" w:space="0"/>
              <w:right w:val="single" w:color="9BC2E6" w:sz="8" w:space="0"/>
            </w:tcBorders>
            <w:shd w:val="clear" w:color="auto" w:fill="DDEBF7"/>
            <w:noWrap/>
            <w:vAlign w:val="center"/>
          </w:tcPr>
          <w:p w14:paraId="640CF7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23,544.00</w:t>
            </w:r>
          </w:p>
        </w:tc>
        <w:tc>
          <w:tcPr>
            <w:tcW w:w="897" w:type="pct"/>
            <w:tcBorders>
              <w:top w:val="nil"/>
              <w:left w:val="nil"/>
              <w:bottom w:val="single" w:color="9BC2E6" w:sz="8" w:space="0"/>
              <w:right w:val="single" w:color="9BC2E6" w:sz="8" w:space="0"/>
            </w:tcBorders>
            <w:shd w:val="clear" w:color="auto" w:fill="DDEBF7"/>
            <w:noWrap/>
            <w:vAlign w:val="center"/>
          </w:tcPr>
          <w:p w14:paraId="12FA1D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11,330.00</w:t>
            </w:r>
          </w:p>
        </w:tc>
        <w:tc>
          <w:tcPr>
            <w:tcW w:w="897" w:type="pct"/>
            <w:tcBorders>
              <w:top w:val="nil"/>
              <w:left w:val="nil"/>
              <w:bottom w:val="single" w:color="9BC2E6" w:sz="8" w:space="0"/>
              <w:right w:val="single" w:color="9BC2E6" w:sz="8" w:space="0"/>
            </w:tcBorders>
            <w:shd w:val="clear" w:color="auto" w:fill="DDEBF7"/>
            <w:noWrap/>
            <w:vAlign w:val="center"/>
          </w:tcPr>
          <w:p w14:paraId="5A54EE04">
            <w:pPr>
              <w:jc w:val="center"/>
              <w:rPr>
                <w:rFonts w:hint="eastAsia" w:ascii="宋体" w:hAnsi="宋体" w:eastAsia="宋体" w:cs="宋体"/>
                <w:i w:val="0"/>
                <w:iCs w:val="0"/>
                <w:color w:val="000000"/>
                <w:sz w:val="24"/>
                <w:szCs w:val="24"/>
                <w:u w:val="none"/>
              </w:rPr>
            </w:pPr>
          </w:p>
        </w:tc>
        <w:tc>
          <w:tcPr>
            <w:tcW w:w="693" w:type="pct"/>
            <w:tcBorders>
              <w:top w:val="nil"/>
              <w:left w:val="nil"/>
              <w:bottom w:val="single" w:color="9BC2E6" w:sz="8" w:space="0"/>
              <w:right w:val="single" w:color="5B9BD5" w:sz="8" w:space="0"/>
            </w:tcBorders>
            <w:shd w:val="clear" w:color="auto" w:fill="DDEBF7"/>
            <w:noWrap/>
            <w:vAlign w:val="center"/>
          </w:tcPr>
          <w:p w14:paraId="7DC53E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34,874.00</w:t>
            </w:r>
          </w:p>
        </w:tc>
      </w:tr>
      <w:tr w14:paraId="4A816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17" w:type="pct"/>
            <w:tcBorders>
              <w:top w:val="nil"/>
              <w:left w:val="single" w:color="5B9BD5" w:sz="8" w:space="0"/>
              <w:bottom w:val="single" w:color="9BC2E6" w:sz="8" w:space="0"/>
              <w:right w:val="single" w:color="9BC2E6" w:sz="8" w:space="0"/>
            </w:tcBorders>
            <w:shd w:val="clear" w:color="auto" w:fill="auto"/>
            <w:vAlign w:val="center"/>
          </w:tcPr>
          <w:p w14:paraId="096761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累计折旧</w:t>
            </w:r>
          </w:p>
        </w:tc>
        <w:tc>
          <w:tcPr>
            <w:tcW w:w="693" w:type="pct"/>
            <w:tcBorders>
              <w:top w:val="nil"/>
              <w:left w:val="nil"/>
              <w:bottom w:val="single" w:color="9BC2E6" w:sz="8" w:space="0"/>
              <w:right w:val="single" w:color="9BC2E6" w:sz="8" w:space="0"/>
            </w:tcBorders>
            <w:shd w:val="clear" w:color="auto" w:fill="auto"/>
            <w:noWrap/>
            <w:vAlign w:val="bottom"/>
          </w:tcPr>
          <w:p w14:paraId="568A5695">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10,905.30</w:t>
            </w:r>
          </w:p>
        </w:tc>
        <w:tc>
          <w:tcPr>
            <w:tcW w:w="897" w:type="pct"/>
            <w:tcBorders>
              <w:top w:val="nil"/>
              <w:left w:val="nil"/>
              <w:bottom w:val="single" w:color="9BC2E6" w:sz="8" w:space="0"/>
              <w:right w:val="single" w:color="9BC2E6" w:sz="8" w:space="0"/>
            </w:tcBorders>
            <w:shd w:val="clear" w:color="auto" w:fill="auto"/>
            <w:noWrap/>
            <w:vAlign w:val="center"/>
          </w:tcPr>
          <w:p w14:paraId="621F65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2,289.90</w:t>
            </w:r>
          </w:p>
        </w:tc>
        <w:tc>
          <w:tcPr>
            <w:tcW w:w="897" w:type="pct"/>
            <w:tcBorders>
              <w:top w:val="nil"/>
              <w:left w:val="nil"/>
              <w:bottom w:val="single" w:color="9BC2E6" w:sz="8" w:space="0"/>
              <w:right w:val="single" w:color="9BC2E6" w:sz="8" w:space="0"/>
            </w:tcBorders>
            <w:shd w:val="clear" w:color="auto" w:fill="auto"/>
            <w:noWrap/>
            <w:vAlign w:val="center"/>
          </w:tcPr>
          <w:p w14:paraId="558A004F">
            <w:pPr>
              <w:jc w:val="center"/>
              <w:rPr>
                <w:rFonts w:hint="eastAsia" w:ascii="宋体" w:hAnsi="宋体" w:eastAsia="宋体" w:cs="宋体"/>
                <w:i w:val="0"/>
                <w:iCs w:val="0"/>
                <w:color w:val="000000"/>
                <w:sz w:val="24"/>
                <w:szCs w:val="24"/>
                <w:u w:val="none"/>
              </w:rPr>
            </w:pPr>
          </w:p>
        </w:tc>
        <w:tc>
          <w:tcPr>
            <w:tcW w:w="693" w:type="pct"/>
            <w:tcBorders>
              <w:top w:val="nil"/>
              <w:left w:val="nil"/>
              <w:bottom w:val="single" w:color="9BC2E6" w:sz="8" w:space="0"/>
              <w:right w:val="single" w:color="5B9BD5" w:sz="8" w:space="0"/>
            </w:tcBorders>
            <w:shd w:val="clear" w:color="auto" w:fill="auto"/>
            <w:noWrap/>
            <w:vAlign w:val="center"/>
          </w:tcPr>
          <w:p w14:paraId="5391B4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13,195.20</w:t>
            </w:r>
          </w:p>
        </w:tc>
      </w:tr>
      <w:tr w14:paraId="730E5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17" w:type="pct"/>
            <w:tcBorders>
              <w:top w:val="nil"/>
              <w:left w:val="single" w:color="5B9BD5" w:sz="8" w:space="0"/>
              <w:bottom w:val="single" w:color="5B9BD5" w:sz="8" w:space="0"/>
              <w:right w:val="single" w:color="9BC2E6" w:sz="8" w:space="0"/>
            </w:tcBorders>
            <w:shd w:val="clear" w:color="auto" w:fill="DDEBF7"/>
            <w:vAlign w:val="center"/>
          </w:tcPr>
          <w:p w14:paraId="0663FC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固定资产净值</w:t>
            </w:r>
          </w:p>
        </w:tc>
        <w:tc>
          <w:tcPr>
            <w:tcW w:w="693" w:type="pct"/>
            <w:tcBorders>
              <w:top w:val="nil"/>
              <w:left w:val="nil"/>
              <w:bottom w:val="single" w:color="5B9BD5" w:sz="8" w:space="0"/>
              <w:right w:val="single" w:color="9BC2E6" w:sz="8" w:space="0"/>
            </w:tcBorders>
            <w:shd w:val="clear" w:color="auto" w:fill="DDEBF7"/>
            <w:noWrap/>
            <w:vAlign w:val="center"/>
          </w:tcPr>
          <w:p w14:paraId="482807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12,638.70</w:t>
            </w:r>
          </w:p>
        </w:tc>
        <w:tc>
          <w:tcPr>
            <w:tcW w:w="897" w:type="pct"/>
            <w:tcBorders>
              <w:top w:val="nil"/>
              <w:left w:val="nil"/>
              <w:bottom w:val="single" w:color="5B9BD5" w:sz="8" w:space="0"/>
              <w:right w:val="single" w:color="9BC2E6" w:sz="8" w:space="0"/>
            </w:tcBorders>
            <w:shd w:val="clear" w:color="auto" w:fill="DDEBF7"/>
            <w:noWrap/>
            <w:vAlign w:val="center"/>
          </w:tcPr>
          <w:p w14:paraId="25187A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9,040.10</w:t>
            </w:r>
          </w:p>
        </w:tc>
        <w:tc>
          <w:tcPr>
            <w:tcW w:w="897" w:type="pct"/>
            <w:tcBorders>
              <w:top w:val="nil"/>
              <w:left w:val="nil"/>
              <w:bottom w:val="single" w:color="5B9BD5" w:sz="8" w:space="0"/>
              <w:right w:val="single" w:color="9BC2E6" w:sz="8" w:space="0"/>
            </w:tcBorders>
            <w:shd w:val="clear" w:color="auto" w:fill="DDEBF7"/>
            <w:noWrap/>
            <w:vAlign w:val="center"/>
          </w:tcPr>
          <w:p w14:paraId="29BC6FAC">
            <w:pPr>
              <w:jc w:val="center"/>
              <w:rPr>
                <w:rFonts w:hint="eastAsia" w:ascii="宋体" w:hAnsi="宋体" w:eastAsia="宋体" w:cs="宋体"/>
                <w:i w:val="0"/>
                <w:iCs w:val="0"/>
                <w:color w:val="000000"/>
                <w:sz w:val="24"/>
                <w:szCs w:val="24"/>
                <w:u w:val="none"/>
              </w:rPr>
            </w:pPr>
          </w:p>
        </w:tc>
        <w:tc>
          <w:tcPr>
            <w:tcW w:w="693" w:type="pct"/>
            <w:tcBorders>
              <w:top w:val="nil"/>
              <w:left w:val="nil"/>
              <w:bottom w:val="single" w:color="5B9BD5" w:sz="8" w:space="0"/>
              <w:right w:val="single" w:color="5B9BD5" w:sz="8" w:space="0"/>
            </w:tcBorders>
            <w:shd w:val="clear" w:color="auto" w:fill="DDEBF7"/>
            <w:noWrap/>
            <w:vAlign w:val="center"/>
          </w:tcPr>
          <w:p w14:paraId="33B28F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21,678.80</w:t>
            </w:r>
          </w:p>
        </w:tc>
      </w:tr>
    </w:tbl>
    <w:p w14:paraId="6DC6D73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bCs/>
          <w:sz w:val="32"/>
          <w:szCs w:val="32"/>
          <w:highlight w:val="none"/>
          <w:lang w:val="en-US" w:eastAsia="zh-CN"/>
        </w:rPr>
      </w:pPr>
    </w:p>
    <w:p w14:paraId="19FF50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2.资产合计及明细如下（金额：元）：</w:t>
      </w:r>
    </w:p>
    <w:p w14:paraId="50EAB21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b/>
          <w:bCs/>
          <w:sz w:val="32"/>
          <w:szCs w:val="32"/>
          <w:highlight w:val="none"/>
          <w:lang w:val="en-US" w:eastAsia="zh-CN"/>
        </w:rPr>
      </w:pPr>
      <w:r>
        <w:drawing>
          <wp:inline distT="0" distB="0" distL="114300" distR="114300">
            <wp:extent cx="5913755" cy="2426335"/>
            <wp:effectExtent l="9525" t="9525" r="20320" b="21590"/>
            <wp:docPr id="38" name="图片 1"/>
            <wp:cNvGraphicFramePr/>
            <a:graphic xmlns:a="http://schemas.openxmlformats.org/drawingml/2006/main">
              <a:graphicData uri="http://schemas.openxmlformats.org/drawingml/2006/picture">
                <pic:pic xmlns:pic="http://schemas.openxmlformats.org/drawingml/2006/picture">
                  <pic:nvPicPr>
                    <pic:cNvPr id="38" name="图片 1"/>
                    <pic:cNvPicPr/>
                  </pic:nvPicPr>
                  <pic:blipFill>
                    <a:blip r:embed="rId34"/>
                  </pic:blipFill>
                  <pic:spPr>
                    <a:xfrm>
                      <a:off x="0" y="0"/>
                      <a:ext cx="5913755" cy="2426335"/>
                    </a:xfrm>
                    <a:prstGeom prst="rect">
                      <a:avLst/>
                    </a:prstGeom>
                    <a:solidFill>
                      <a:srgbClr val="FFFFFF"/>
                    </a:solidFill>
                    <a:ln w="9525">
                      <a:solidFill>
                        <a:srgbClr val="000000"/>
                      </a:solidFill>
                    </a:ln>
                  </pic:spPr>
                </pic:pic>
              </a:graphicData>
            </a:graphic>
          </wp:inline>
        </w:drawing>
      </w:r>
    </w:p>
    <w:p w14:paraId="578640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z w:val="32"/>
          <w:szCs w:val="32"/>
          <w:highlight w:val="none"/>
          <w:lang w:val="en-US" w:eastAsia="zh-CN"/>
        </w:rPr>
      </w:pPr>
      <w:bookmarkStart w:id="36" w:name="_Toc5832"/>
      <w:r>
        <w:rPr>
          <w:rFonts w:hint="eastAsia" w:ascii="楷体" w:hAnsi="楷体" w:eastAsia="楷体" w:cs="楷体"/>
          <w:b/>
          <w:bCs/>
          <w:sz w:val="32"/>
          <w:szCs w:val="32"/>
          <w:highlight w:val="none"/>
          <w:lang w:val="en-US" w:eastAsia="zh-CN"/>
        </w:rPr>
        <w:t>（八）厉行节约保障措施的执行情况及其政策效果</w:t>
      </w:r>
      <w:bookmarkEnd w:id="36"/>
    </w:p>
    <w:p w14:paraId="00DF18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2024年，区科学技术协会深入贯彻落实中央关于“过紧日子”的要求，围绕“节约型机关”建设目标，通过宣传引导、重点领域管控等措施，全面压减非必要行政开支，优化资源配置，推动科普服务效能提升。采取措施如下：</w:t>
      </w:r>
    </w:p>
    <w:p w14:paraId="5C8C35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1.强化宣传教育，树立节约意识。</w:t>
      </w:r>
      <w:r>
        <w:rPr>
          <w:rFonts w:hint="eastAsia" w:ascii="仿宋" w:hAnsi="仿宋" w:eastAsia="仿宋" w:cs="仿宋"/>
          <w:sz w:val="32"/>
          <w:szCs w:val="32"/>
          <w:highlight w:val="none"/>
          <w:lang w:val="en-US" w:eastAsia="zh-CN"/>
        </w:rPr>
        <w:t>单位高度重视干部职工节约意识的培养，通过集中学习、日常沟通谈话等方式开展宣传教育活动，传达上级关于习惯过“紧日子”的要求，要求干部职工从政治高度认识“过紧日子”工作的重要性，将思想与行动统一到中央部署上来，增强了干部职工节约资源的责任感和使命感。同时，结合全国节能宣传周、世界水日、地球日等重要节点，通过在办公区域张贴节约标识、内部工作群推送提醒等方式，营造节俭氛围。</w:t>
      </w:r>
    </w:p>
    <w:p w14:paraId="249270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2.严格经费控制，重点领域管控。</w:t>
      </w:r>
      <w:r>
        <w:rPr>
          <w:rFonts w:hint="eastAsia" w:ascii="仿宋" w:hAnsi="仿宋" w:eastAsia="仿宋" w:cs="仿宋"/>
          <w:sz w:val="32"/>
          <w:szCs w:val="32"/>
          <w:highlight w:val="none"/>
          <w:lang w:val="en-US" w:eastAsia="zh-CN"/>
        </w:rPr>
        <w:t>认真贯彻落实中央八项规定精神和厉行节约要求，坚持“先预算、后支出”的原则，加强经费审批和使用管理，严控“三公”经费和其他公务支出。对办公用品采购，遵循非必要不开支，同时严格控制文件印刷数量和复印次数，文件一律采用双面打印，单面使用过的纸张重复利用于草稿纸，减少纸张消耗。引导干部职工养成绿色低碳的生活方式，培养随手关灯、关水的习惯，让节约意识内化于心、外化于行。</w:t>
      </w:r>
    </w:p>
    <w:p w14:paraId="54652C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3.整合科普资源，提高使用效益。</w:t>
      </w:r>
      <w:r>
        <w:rPr>
          <w:rFonts w:hint="eastAsia" w:ascii="仿宋" w:hAnsi="仿宋" w:eastAsia="仿宋" w:cs="仿宋"/>
          <w:sz w:val="32"/>
          <w:szCs w:val="32"/>
          <w:highlight w:val="none"/>
          <w:lang w:val="en-US" w:eastAsia="zh-CN"/>
        </w:rPr>
        <w:t>在科技工作者日和全国科普月等科普品牌活动中，整合资源，发挥区纲要办成员单位、镇街的部门的作用，联合开展活动，共享场地、设备等资源，减少重复投入，提高资金使用效应，形成全员参与、共同践行的良好局面，实现了科学普及与节约型机关建设的双促进。</w:t>
      </w:r>
    </w:p>
    <w:p w14:paraId="06CA2C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黑体" w:hAnsi="黑体" w:eastAsia="黑体" w:cs="黑体"/>
          <w:sz w:val="32"/>
          <w:szCs w:val="32"/>
          <w:highlight w:val="none"/>
          <w:lang w:val="en-US" w:eastAsia="zh-CN"/>
        </w:rPr>
      </w:pPr>
      <w:r>
        <w:rPr>
          <w:rFonts w:hint="eastAsia" w:ascii="仿宋" w:hAnsi="仿宋" w:eastAsia="仿宋" w:cs="仿宋"/>
          <w:b/>
          <w:bCs/>
          <w:sz w:val="32"/>
          <w:szCs w:val="32"/>
          <w:highlight w:val="none"/>
          <w:lang w:val="en-US" w:eastAsia="zh-CN"/>
        </w:rPr>
        <w:t>4.下一步工作计划。</w:t>
      </w:r>
      <w:r>
        <w:rPr>
          <w:rFonts w:hint="eastAsia" w:ascii="仿宋" w:hAnsi="仿宋" w:eastAsia="仿宋" w:cs="仿宋"/>
          <w:sz w:val="32"/>
          <w:szCs w:val="32"/>
          <w:highlight w:val="none"/>
          <w:lang w:val="en-US" w:eastAsia="zh-CN"/>
        </w:rPr>
        <w:t>单位通过强化宣传教育、重点领域管控和整合科普资源三项核心措施，在厉行节约方面取得了显著成效，下一步，区科学技术协会将继续完善长效机制、提升精细化管理水平，平衡好节约资源与工作效率的关系，推动科学普及事业高质量发展，为促进社会和谐与进步作出更大贡献。</w:t>
      </w:r>
    </w:p>
    <w:p w14:paraId="7E5B6A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楷体" w:hAnsi="楷体" w:eastAsia="楷体" w:cs="楷体"/>
          <w:b/>
          <w:bCs/>
          <w:sz w:val="32"/>
          <w:szCs w:val="32"/>
          <w:highlight w:val="none"/>
          <w:lang w:eastAsia="zh-CN"/>
        </w:rPr>
      </w:pPr>
      <w:bookmarkStart w:id="37" w:name="_Toc25722"/>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lang w:val="en-US" w:eastAsia="zh-CN"/>
        </w:rPr>
        <w:t>部门</w:t>
      </w:r>
      <w:r>
        <w:rPr>
          <w:rFonts w:hint="eastAsia" w:ascii="黑体" w:hAnsi="黑体" w:eastAsia="黑体" w:cs="黑体"/>
          <w:sz w:val="32"/>
          <w:szCs w:val="32"/>
          <w:highlight w:val="none"/>
          <w:lang w:eastAsia="zh-CN"/>
        </w:rPr>
        <w:t>绩效目标</w:t>
      </w:r>
      <w:bookmarkEnd w:id="37"/>
    </w:p>
    <w:p w14:paraId="354EC07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eastAsia="zh-CN"/>
        </w:rPr>
      </w:pPr>
      <w:bookmarkStart w:id="38" w:name="_Toc20753"/>
      <w:r>
        <w:rPr>
          <w:rFonts w:hint="eastAsia" w:ascii="楷体" w:hAnsi="楷体" w:eastAsia="楷体" w:cs="楷体"/>
          <w:b/>
          <w:bCs/>
          <w:sz w:val="32"/>
          <w:szCs w:val="32"/>
          <w:lang w:eastAsia="zh-CN"/>
        </w:rPr>
        <w:t>（一）总体目标</w:t>
      </w:r>
      <w:bookmarkEnd w:id="38"/>
    </w:p>
    <w:p w14:paraId="0BE7DA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楷体" w:hAnsi="楷体" w:eastAsia="楷体" w:cs="楷体"/>
          <w:b/>
          <w:bCs/>
          <w:sz w:val="32"/>
          <w:szCs w:val="32"/>
          <w:lang w:eastAsia="zh-CN"/>
        </w:rPr>
      </w:pPr>
      <w:r>
        <w:rPr>
          <w:rFonts w:hint="eastAsia" w:ascii="仿宋" w:hAnsi="仿宋" w:eastAsia="仿宋" w:cs="仿宋"/>
          <w:b w:val="0"/>
          <w:bCs w:val="0"/>
          <w:sz w:val="32"/>
          <w:szCs w:val="32"/>
          <w:lang w:eastAsia="zh-CN"/>
        </w:rPr>
        <w:t>以服务雁峰区高质量发展为核心，以提升全民科学素质、服务科技工作者、服务创新驱动发展战略为根本任务，将雁峰区科协建设成为政治坚定、思想引领有力、联系服务紧密、组织体系健全的现代化科技群团。通过广泛开展科学普及、学术交流、人才举荐、决策咨询等工作，营造热爱科学、崇尚创新的社会氛围，激发全区科技人才的创新活力，为推动雁峰区经济社会发展和科技创新中心建设提供坚实的科技和智力支撑。</w:t>
      </w:r>
    </w:p>
    <w:p w14:paraId="14E0093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eastAsia="zh-CN"/>
        </w:rPr>
      </w:pPr>
      <w:bookmarkStart w:id="39" w:name="_Toc19636"/>
      <w:r>
        <w:rPr>
          <w:rFonts w:hint="eastAsia" w:ascii="楷体" w:hAnsi="楷体" w:eastAsia="楷体" w:cs="楷体"/>
          <w:b/>
          <w:bCs/>
          <w:sz w:val="32"/>
          <w:szCs w:val="32"/>
          <w:lang w:eastAsia="zh-CN"/>
        </w:rPr>
        <w:t>（二）分类目标</w:t>
      </w:r>
      <w:bookmarkEnd w:id="39"/>
    </w:p>
    <w:p w14:paraId="37B32AB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以下目标按核心职能模块进行划分，并设定具体的量化指标与预期效果。</w:t>
      </w:r>
    </w:p>
    <w:p w14:paraId="52E08FF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lang w:eastAsia="zh-CN"/>
        </w:rPr>
        <w:t>科学普及与全民科学素质提升。科普活动覆盖面与影响力。</w:t>
      </w:r>
      <w:r>
        <w:rPr>
          <w:rFonts w:hint="eastAsia" w:ascii="仿宋" w:hAnsi="仿宋" w:eastAsia="仿宋" w:cs="仿宋"/>
          <w:b w:val="0"/>
          <w:bCs w:val="0"/>
          <w:sz w:val="32"/>
          <w:szCs w:val="32"/>
          <w:lang w:eastAsia="zh-CN"/>
        </w:rPr>
        <w:t>量化指标：全年组织开展各类主题科普活动（如全国科普日、科技活动周等）不少于12场次。举办“科普大讲堂”或前沿科技报告会不少于6场。组织科普大篷车进校园、进社区、进乡村活动不少于10次。直接参与线下科普活动的公众人数年均达到5000人次以上。通过微信公众号等新媒体平台发布的科普内容，年阅读总量超过10万次。预期效果：公众对前沿科技的认知度明显提升，科学文明健康的生活方式进一步普及。</w:t>
      </w:r>
      <w:r>
        <w:rPr>
          <w:rFonts w:hint="eastAsia" w:ascii="仿宋" w:hAnsi="仿宋" w:eastAsia="仿宋" w:cs="仿宋"/>
          <w:b/>
          <w:bCs/>
          <w:sz w:val="32"/>
          <w:szCs w:val="32"/>
          <w:lang w:val="en-US" w:eastAsia="zh-CN"/>
        </w:rPr>
        <w:t>一是</w:t>
      </w:r>
      <w:r>
        <w:rPr>
          <w:rFonts w:hint="eastAsia" w:ascii="仿宋" w:hAnsi="仿宋" w:eastAsia="仿宋" w:cs="仿宋"/>
          <w:b/>
          <w:bCs/>
          <w:sz w:val="32"/>
          <w:szCs w:val="32"/>
          <w:lang w:eastAsia="zh-CN"/>
        </w:rPr>
        <w:t>科普阵地与资源建设。</w:t>
      </w:r>
      <w:r>
        <w:rPr>
          <w:rFonts w:hint="eastAsia" w:ascii="仿宋" w:hAnsi="仿宋" w:eastAsia="仿宋" w:cs="仿宋"/>
          <w:b w:val="0"/>
          <w:bCs w:val="0"/>
          <w:sz w:val="32"/>
          <w:szCs w:val="32"/>
          <w:lang w:eastAsia="zh-CN"/>
        </w:rPr>
        <w:t>量化指标：新认定或提升区级科普教育基地2-3家。创建或巩固“科普示范社区（村）”3-5个。自主开发或合作制作原创科普图文、视频、折页等资源不少于20项。预期效果：形成一批具有雁峰特色的科普品牌阵地与资源，科普服务的可及性和便捷性显著增强。</w:t>
      </w:r>
      <w:r>
        <w:rPr>
          <w:rFonts w:hint="eastAsia" w:ascii="仿宋" w:hAnsi="仿宋" w:eastAsia="仿宋" w:cs="仿宋"/>
          <w:b/>
          <w:bCs/>
          <w:sz w:val="32"/>
          <w:szCs w:val="32"/>
          <w:lang w:val="en-US" w:eastAsia="zh-CN"/>
        </w:rPr>
        <w:t>二是</w:t>
      </w:r>
      <w:r>
        <w:rPr>
          <w:rFonts w:hint="eastAsia" w:ascii="仿宋" w:hAnsi="仿宋" w:eastAsia="仿宋" w:cs="仿宋"/>
          <w:b/>
          <w:bCs/>
          <w:sz w:val="32"/>
          <w:szCs w:val="32"/>
          <w:lang w:eastAsia="zh-CN"/>
        </w:rPr>
        <w:t>重点人群科学素质行动。</w:t>
      </w:r>
      <w:r>
        <w:rPr>
          <w:rFonts w:hint="eastAsia" w:ascii="仿宋" w:hAnsi="仿宋" w:eastAsia="仿宋" w:cs="仿宋"/>
          <w:b w:val="0"/>
          <w:bCs w:val="0"/>
          <w:sz w:val="32"/>
          <w:szCs w:val="32"/>
          <w:lang w:eastAsia="zh-CN"/>
        </w:rPr>
        <w:t>量化指标：联合教育部门，组织开展青少年科技创新大赛、机器人大赛等赛事活动，覆盖中小学校不少于15所，参赛学生不少于800人次。针对城镇劳动者和产业工人，开展职业技能、安全生产等主题培训不少于4场。针对领导干部和公务员，举办科技前沿知识讲座或实地考察不少于2场。预期效果：重点人群的科学决策能力、科学生产能力和科学生活能力得到有效提升。</w:t>
      </w:r>
    </w:p>
    <w:p w14:paraId="7EAC7BA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lang w:eastAsia="zh-CN"/>
        </w:rPr>
        <w:t>服务科技工作者。</w:t>
      </w:r>
      <w:r>
        <w:rPr>
          <w:rFonts w:hint="eastAsia" w:ascii="仿宋" w:hAnsi="仿宋" w:eastAsia="仿宋" w:cs="仿宋"/>
          <w:b/>
          <w:bCs/>
          <w:sz w:val="32"/>
          <w:szCs w:val="32"/>
          <w:lang w:val="en-US" w:eastAsia="zh-CN"/>
        </w:rPr>
        <w:t>一是</w:t>
      </w:r>
      <w:r>
        <w:rPr>
          <w:rFonts w:hint="eastAsia" w:ascii="仿宋" w:hAnsi="仿宋" w:eastAsia="仿宋" w:cs="仿宋"/>
          <w:b/>
          <w:bCs/>
          <w:sz w:val="32"/>
          <w:szCs w:val="32"/>
          <w:lang w:eastAsia="zh-CN"/>
        </w:rPr>
        <w:t>联系与服务机制。</w:t>
      </w:r>
      <w:r>
        <w:rPr>
          <w:rFonts w:hint="eastAsia" w:ascii="仿宋" w:hAnsi="仿宋" w:eastAsia="仿宋" w:cs="仿宋"/>
          <w:b w:val="0"/>
          <w:bCs w:val="0"/>
          <w:sz w:val="32"/>
          <w:szCs w:val="32"/>
          <w:lang w:eastAsia="zh-CN"/>
        </w:rPr>
        <w:t>量化指标：建立健全科协委员联系基层科技工作者制度，每位委员固定联系5-10名一线科技工作者。全年走访、慰问优秀科技工作者和困难科技工作者不少于30人次。举办科技工作者座谈会、联谊活动不少于4次。预期效果：科技工作者的归属感和凝聚力显著增强，畅通诉求表达渠道。</w:t>
      </w:r>
      <w:r>
        <w:rPr>
          <w:rFonts w:hint="eastAsia" w:ascii="仿宋" w:hAnsi="仿宋" w:eastAsia="仿宋" w:cs="仿宋"/>
          <w:b/>
          <w:bCs/>
          <w:sz w:val="32"/>
          <w:szCs w:val="32"/>
          <w:lang w:val="en-US" w:eastAsia="zh-CN"/>
        </w:rPr>
        <w:t>二是</w:t>
      </w:r>
      <w:r>
        <w:rPr>
          <w:rFonts w:hint="eastAsia" w:ascii="仿宋" w:hAnsi="仿宋" w:eastAsia="仿宋" w:cs="仿宋"/>
          <w:b/>
          <w:bCs/>
          <w:sz w:val="32"/>
          <w:szCs w:val="32"/>
          <w:lang w:eastAsia="zh-CN"/>
        </w:rPr>
        <w:t>人才举荐与表彰。</w:t>
      </w:r>
      <w:r>
        <w:rPr>
          <w:rFonts w:hint="eastAsia" w:ascii="仿宋" w:hAnsi="仿宋" w:eastAsia="仿宋" w:cs="仿宋"/>
          <w:b w:val="0"/>
          <w:bCs w:val="0"/>
          <w:sz w:val="32"/>
          <w:szCs w:val="32"/>
          <w:lang w:eastAsia="zh-CN"/>
        </w:rPr>
        <w:t>量化指标：积极向上级科协和相关部门举荐优秀科技人才，年推荐参评市级及以上人才计划、科技奖项的人选不少于5名。组织开展区级“优秀科技工作者”、“最美科技志愿者”等评选表彰活动1次。预期效果：激发科技工作者的荣誉感和创新热情，营造尊重知识、尊重人才的社会风尚。</w:t>
      </w:r>
      <w:r>
        <w:rPr>
          <w:rFonts w:hint="eastAsia" w:ascii="仿宋" w:hAnsi="仿宋" w:eastAsia="仿宋" w:cs="仿宋"/>
          <w:b/>
          <w:bCs/>
          <w:sz w:val="32"/>
          <w:szCs w:val="32"/>
          <w:lang w:val="en-US" w:eastAsia="zh-CN"/>
        </w:rPr>
        <w:t>三是</w:t>
      </w:r>
      <w:r>
        <w:rPr>
          <w:rFonts w:hint="eastAsia" w:ascii="仿宋" w:hAnsi="仿宋" w:eastAsia="仿宋" w:cs="仿宋"/>
          <w:b/>
          <w:bCs/>
          <w:sz w:val="32"/>
          <w:szCs w:val="32"/>
          <w:lang w:eastAsia="zh-CN"/>
        </w:rPr>
        <w:t>学术交流与能力提升。</w:t>
      </w:r>
      <w:r>
        <w:rPr>
          <w:rFonts w:hint="eastAsia" w:ascii="仿宋" w:hAnsi="仿宋" w:eastAsia="仿宋" w:cs="仿宋"/>
          <w:b w:val="0"/>
          <w:bCs w:val="0"/>
          <w:sz w:val="32"/>
          <w:szCs w:val="32"/>
          <w:lang w:eastAsia="zh-CN"/>
        </w:rPr>
        <w:t>量化指标：支持区内学会、协会、企业科协等基层组织开展学术交流活动不少于5场。组织科技工作者参加跨区域、高水平的学术论坛或研修班不少于2次。预期效果：拓展科技工作者的学术视野，促进学科交叉和产学研合作。</w:t>
      </w:r>
    </w:p>
    <w:p w14:paraId="58F68B2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服务创新驱动与决策咨询。</w:t>
      </w:r>
      <w:r>
        <w:rPr>
          <w:rFonts w:hint="eastAsia" w:ascii="仿宋" w:hAnsi="仿宋" w:eastAsia="仿宋" w:cs="仿宋"/>
          <w:b/>
          <w:bCs/>
          <w:sz w:val="32"/>
          <w:szCs w:val="32"/>
          <w:lang w:val="en-US" w:eastAsia="zh-CN"/>
        </w:rPr>
        <w:t>一是</w:t>
      </w:r>
      <w:r>
        <w:rPr>
          <w:rFonts w:hint="eastAsia" w:ascii="仿宋" w:hAnsi="仿宋" w:eastAsia="仿宋" w:cs="仿宋"/>
          <w:b/>
          <w:bCs/>
          <w:sz w:val="32"/>
          <w:szCs w:val="32"/>
          <w:lang w:eastAsia="zh-CN"/>
        </w:rPr>
        <w:t>服务企业技术创新。</w:t>
      </w:r>
      <w:r>
        <w:rPr>
          <w:rFonts w:hint="eastAsia" w:ascii="仿宋" w:hAnsi="仿宋" w:eastAsia="仿宋" w:cs="仿宋"/>
          <w:b w:val="0"/>
          <w:bCs w:val="0"/>
          <w:sz w:val="32"/>
          <w:szCs w:val="32"/>
          <w:lang w:eastAsia="zh-CN"/>
        </w:rPr>
        <w:t>量化指标：新建企业科协、园区科协等基层组织2家。组织专家服务团深入企业开展“科技义诊”、技术咨询活动不少于3次。促成校企合作、技术转让或联合攻关项目1-2项。预期效果：推动科技创新资源向企业集聚，助力解决企业技术难题。</w:t>
      </w:r>
      <w:r>
        <w:rPr>
          <w:rFonts w:hint="eastAsia" w:ascii="仿宋" w:hAnsi="仿宋" w:eastAsia="仿宋" w:cs="仿宋"/>
          <w:b/>
          <w:bCs/>
          <w:sz w:val="32"/>
          <w:szCs w:val="32"/>
          <w:lang w:val="en-US" w:eastAsia="zh-CN"/>
        </w:rPr>
        <w:t>二是</w:t>
      </w:r>
      <w:r>
        <w:rPr>
          <w:rFonts w:hint="eastAsia" w:ascii="仿宋" w:hAnsi="仿宋" w:eastAsia="仿宋" w:cs="仿宋"/>
          <w:b/>
          <w:bCs/>
          <w:sz w:val="32"/>
          <w:szCs w:val="32"/>
          <w:lang w:eastAsia="zh-CN"/>
        </w:rPr>
        <w:t>智库作用与建言献策。</w:t>
      </w:r>
      <w:r>
        <w:rPr>
          <w:rFonts w:hint="eastAsia" w:ascii="仿宋" w:hAnsi="仿宋" w:eastAsia="仿宋" w:cs="仿宋"/>
          <w:b w:val="0"/>
          <w:bCs w:val="0"/>
          <w:sz w:val="32"/>
          <w:szCs w:val="32"/>
          <w:lang w:eastAsia="zh-CN"/>
        </w:rPr>
        <w:t>量化指标：围绕区委区政府中心工作（如产业发展、智慧城市、乡村振兴等），组织科技工作者开展专题调研，形成高质量的决策咨询报告或政协提案不少于2篇。其中至少1篇获得区级及以上领导的肯定性批示或被相关部门采纳。预期效果：科协作为区域科技智库的作用得到有效发挥，为科学决策提供有力支撑。</w:t>
      </w:r>
    </w:p>
    <w:p w14:paraId="09A840E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楷体" w:hAnsi="楷体" w:eastAsia="楷体" w:cs="楷体"/>
          <w:b/>
          <w:bCs/>
          <w:sz w:val="32"/>
          <w:szCs w:val="32"/>
          <w:lang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自身组织建设与效能提升。</w:t>
      </w:r>
      <w:r>
        <w:rPr>
          <w:rFonts w:hint="eastAsia" w:ascii="仿宋" w:hAnsi="仿宋" w:eastAsia="仿宋" w:cs="仿宋"/>
          <w:b/>
          <w:bCs/>
          <w:sz w:val="32"/>
          <w:szCs w:val="32"/>
          <w:lang w:val="en-US" w:eastAsia="zh-CN"/>
        </w:rPr>
        <w:t>一是</w:t>
      </w:r>
      <w:r>
        <w:rPr>
          <w:rFonts w:hint="eastAsia" w:ascii="仿宋" w:hAnsi="仿宋" w:eastAsia="仿宋" w:cs="仿宋"/>
          <w:b/>
          <w:bCs/>
          <w:sz w:val="32"/>
          <w:szCs w:val="32"/>
          <w:lang w:eastAsia="zh-CN"/>
        </w:rPr>
        <w:t>组织网络建设。</w:t>
      </w:r>
      <w:r>
        <w:rPr>
          <w:rFonts w:hint="eastAsia" w:ascii="仿宋" w:hAnsi="仿宋" w:eastAsia="仿宋" w:cs="仿宋"/>
          <w:b w:val="0"/>
          <w:bCs w:val="0"/>
          <w:sz w:val="32"/>
          <w:szCs w:val="32"/>
          <w:lang w:eastAsia="zh-CN"/>
        </w:rPr>
        <w:t>量化指标：全区乡镇（街道）科协组织覆盖率达到100%。指导基层科协组织规范化开展活动，年督导检查覆盖率达到80%。预期效果：形成上下联动、运行高效的科协组织体系。</w:t>
      </w:r>
      <w:r>
        <w:rPr>
          <w:rFonts w:hint="eastAsia" w:ascii="仿宋" w:hAnsi="仿宋" w:eastAsia="仿宋" w:cs="仿宋"/>
          <w:b/>
          <w:bCs/>
          <w:sz w:val="32"/>
          <w:szCs w:val="32"/>
          <w:lang w:val="en-US" w:eastAsia="zh-CN"/>
        </w:rPr>
        <w:t>二是</w:t>
      </w:r>
      <w:r>
        <w:rPr>
          <w:rFonts w:hint="eastAsia" w:ascii="仿宋" w:hAnsi="仿宋" w:eastAsia="仿宋" w:cs="仿宋"/>
          <w:b/>
          <w:bCs/>
          <w:sz w:val="32"/>
          <w:szCs w:val="32"/>
          <w:lang w:eastAsia="zh-CN"/>
        </w:rPr>
        <w:t>工作效能与满意度。</w:t>
      </w:r>
      <w:r>
        <w:rPr>
          <w:rFonts w:hint="eastAsia" w:ascii="仿宋" w:hAnsi="仿宋" w:eastAsia="仿宋" w:cs="仿宋"/>
          <w:b w:val="0"/>
          <w:bCs w:val="0"/>
          <w:sz w:val="32"/>
          <w:szCs w:val="32"/>
          <w:lang w:eastAsia="zh-CN"/>
        </w:rPr>
        <w:t>量化指标：年度重点工作任务完成率达到95%以上。通过问卷调查，科技工作者对科协服务的满意度达到85%以上。财政资金使用合规率达到100%，项目经费执行进度符合要求。预期效果：内部管理规范有序，服务效率和公信力持续提升。</w:t>
      </w:r>
    </w:p>
    <w:p w14:paraId="308B02B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黑体" w:hAnsi="黑体" w:eastAsia="黑体" w:cs="黑体"/>
          <w:sz w:val="32"/>
          <w:szCs w:val="32"/>
          <w:highlight w:val="none"/>
          <w:lang w:eastAsia="zh-CN"/>
        </w:rPr>
      </w:pPr>
      <w:bookmarkStart w:id="40" w:name="_Toc3655"/>
      <w:bookmarkStart w:id="41" w:name="_Toc6424"/>
      <w:bookmarkStart w:id="42" w:name="_Toc29770"/>
      <w:r>
        <w:rPr>
          <w:rFonts w:hint="eastAsia" w:ascii="黑体" w:hAnsi="黑体" w:eastAsia="黑体" w:cs="黑体"/>
          <w:sz w:val="32"/>
          <w:szCs w:val="32"/>
          <w:highlight w:val="none"/>
          <w:lang w:val="en-US" w:eastAsia="zh-CN"/>
        </w:rPr>
        <w:t>五、部门</w:t>
      </w:r>
      <w:r>
        <w:rPr>
          <w:rFonts w:hint="eastAsia" w:ascii="黑体" w:hAnsi="黑体" w:eastAsia="黑体" w:cs="黑体"/>
          <w:sz w:val="32"/>
          <w:szCs w:val="32"/>
          <w:highlight w:val="none"/>
          <w:lang w:eastAsia="zh-CN"/>
        </w:rPr>
        <w:t>绩效考评情况</w:t>
      </w:r>
      <w:bookmarkEnd w:id="40"/>
      <w:bookmarkEnd w:id="41"/>
      <w:bookmarkEnd w:id="42"/>
    </w:p>
    <w:p w14:paraId="1FC593C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43" w:name="_Toc519"/>
      <w:bookmarkStart w:id="44" w:name="_Toc10865"/>
      <w:bookmarkStart w:id="45" w:name="_Toc8508"/>
      <w:r>
        <w:rPr>
          <w:rFonts w:hint="eastAsia" w:ascii="楷体" w:hAnsi="楷体" w:eastAsia="楷体" w:cs="楷体"/>
          <w:b/>
          <w:bCs/>
          <w:sz w:val="32"/>
          <w:szCs w:val="32"/>
          <w:lang w:val="en-US" w:eastAsia="zh-CN"/>
        </w:rPr>
        <w:t>（一）评价框架</w:t>
      </w:r>
      <w:bookmarkEnd w:id="43"/>
      <w:bookmarkEnd w:id="44"/>
      <w:bookmarkEnd w:id="45"/>
    </w:p>
    <w:p w14:paraId="46EE98AD">
      <w:pPr>
        <w:pStyle w:val="1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 w:hAnsi="仿宋" w:eastAsia="仿宋" w:cs="仿宋"/>
          <w:b w:val="0"/>
          <w:bCs w:val="0"/>
          <w:i w:val="0"/>
          <w:iCs w:val="0"/>
          <w:caps w:val="0"/>
          <w:color w:val="000000"/>
          <w:spacing w:val="0"/>
          <w:sz w:val="32"/>
          <w:szCs w:val="32"/>
          <w:highlight w:val="yellow"/>
          <w:u w:val="none"/>
          <w:shd w:val="clear" w:fill="FFFFFF"/>
          <w:lang w:val="en-US" w:eastAsia="zh-CN"/>
        </w:rPr>
      </w:pPr>
      <w:r>
        <w:rPr>
          <w:rFonts w:hint="eastAsia" w:ascii="仿宋" w:hAnsi="仿宋" w:eastAsia="仿宋" w:cs="仿宋"/>
          <w:b w:val="0"/>
          <w:bCs w:val="0"/>
          <w:i w:val="0"/>
          <w:iCs w:val="0"/>
          <w:caps w:val="0"/>
          <w:color w:val="000000"/>
          <w:spacing w:val="0"/>
          <w:sz w:val="32"/>
          <w:szCs w:val="32"/>
          <w:highlight w:val="none"/>
          <w:u w:val="none"/>
          <w:shd w:val="clear" w:fill="FFFFFF"/>
          <w:lang w:val="en-US" w:eastAsia="zh-CN"/>
        </w:rPr>
        <w:t>依据财政部《关于全面实施预算绩效管理的意见》，《中华人民共和国预算法》等评价依据，设定以下评价指标：</w:t>
      </w:r>
    </w:p>
    <w:p w14:paraId="1040E76E">
      <w:pPr>
        <w:pStyle w:val="1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bCs/>
          <w:i w:val="0"/>
          <w:iCs w:val="0"/>
          <w:caps w:val="0"/>
          <w:color w:val="000000"/>
          <w:spacing w:val="0"/>
          <w:sz w:val="32"/>
          <w:szCs w:val="32"/>
          <w:highlight w:val="none"/>
          <w:u w:val="none"/>
          <w:shd w:val="clear" w:fill="FFFFFF"/>
          <w:lang w:val="en-US" w:eastAsia="zh-CN"/>
        </w:rPr>
      </w:pPr>
      <w:r>
        <w:rPr>
          <w:rFonts w:hint="eastAsia" w:ascii="仿宋" w:hAnsi="仿宋" w:eastAsia="仿宋" w:cs="仿宋"/>
          <w:b/>
          <w:bCs/>
          <w:i w:val="0"/>
          <w:iCs w:val="0"/>
          <w:caps w:val="0"/>
          <w:color w:val="000000"/>
          <w:spacing w:val="0"/>
          <w:sz w:val="32"/>
          <w:szCs w:val="32"/>
          <w:highlight w:val="none"/>
          <w:u w:val="none"/>
          <w:shd w:val="clear" w:fill="FFFFFF"/>
          <w:lang w:val="en-US" w:eastAsia="zh-CN"/>
        </w:rPr>
        <w:t>1.投入指标20分：目标设定、预算配置。</w:t>
      </w:r>
    </w:p>
    <w:p w14:paraId="4BAF2F52">
      <w:pPr>
        <w:pStyle w:val="1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bCs/>
          <w:i w:val="0"/>
          <w:iCs w:val="0"/>
          <w:caps w:val="0"/>
          <w:color w:val="000000"/>
          <w:spacing w:val="0"/>
          <w:sz w:val="32"/>
          <w:szCs w:val="32"/>
          <w:highlight w:val="none"/>
          <w:u w:val="none"/>
          <w:shd w:val="clear" w:fill="FFFFFF"/>
          <w:lang w:val="en-US" w:eastAsia="zh-CN"/>
        </w:rPr>
      </w:pPr>
      <w:r>
        <w:rPr>
          <w:rFonts w:hint="eastAsia" w:ascii="仿宋" w:hAnsi="仿宋" w:eastAsia="仿宋" w:cs="仿宋"/>
          <w:b/>
          <w:bCs/>
          <w:i w:val="0"/>
          <w:iCs w:val="0"/>
          <w:caps w:val="0"/>
          <w:color w:val="000000"/>
          <w:spacing w:val="0"/>
          <w:sz w:val="32"/>
          <w:szCs w:val="32"/>
          <w:highlight w:val="none"/>
          <w:u w:val="none"/>
          <w:shd w:val="clear" w:fill="FFFFFF"/>
          <w:lang w:val="en-US" w:eastAsia="zh-CN"/>
        </w:rPr>
        <w:t>2.过程指标30分：预算执行、部门管理、资产管理。</w:t>
      </w:r>
    </w:p>
    <w:p w14:paraId="7EF6695F">
      <w:pPr>
        <w:pStyle w:val="1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bCs/>
          <w:i w:val="0"/>
          <w:iCs w:val="0"/>
          <w:caps w:val="0"/>
          <w:color w:val="000000"/>
          <w:spacing w:val="0"/>
          <w:sz w:val="32"/>
          <w:szCs w:val="32"/>
          <w:highlight w:val="none"/>
          <w:u w:val="none"/>
          <w:shd w:val="clear" w:fill="FFFFFF"/>
          <w:lang w:val="en-US" w:eastAsia="zh-CN"/>
        </w:rPr>
      </w:pPr>
      <w:r>
        <w:rPr>
          <w:rFonts w:hint="eastAsia" w:ascii="仿宋" w:hAnsi="仿宋" w:eastAsia="仿宋" w:cs="仿宋"/>
          <w:b/>
          <w:bCs/>
          <w:i w:val="0"/>
          <w:iCs w:val="0"/>
          <w:caps w:val="0"/>
          <w:color w:val="000000"/>
          <w:spacing w:val="0"/>
          <w:sz w:val="32"/>
          <w:szCs w:val="32"/>
          <w:highlight w:val="none"/>
          <w:u w:val="none"/>
          <w:shd w:val="clear" w:fill="FFFFFF"/>
          <w:lang w:val="en-US" w:eastAsia="zh-CN"/>
        </w:rPr>
        <w:t>3.产出指标30分：职能工作完成率、重点工作办结率。</w:t>
      </w:r>
    </w:p>
    <w:p w14:paraId="0E6B866E">
      <w:pPr>
        <w:pStyle w:val="1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bCs/>
          <w:i w:val="0"/>
          <w:iCs w:val="0"/>
          <w:caps w:val="0"/>
          <w:color w:val="000000"/>
          <w:spacing w:val="0"/>
          <w:sz w:val="32"/>
          <w:szCs w:val="32"/>
          <w:highlight w:val="none"/>
          <w:u w:val="none"/>
          <w:shd w:val="clear" w:fill="FFFFFF"/>
          <w:lang w:val="en-US" w:eastAsia="zh-CN"/>
        </w:rPr>
      </w:pPr>
      <w:r>
        <w:rPr>
          <w:rFonts w:hint="eastAsia" w:ascii="仿宋" w:hAnsi="仿宋" w:eastAsia="仿宋" w:cs="仿宋"/>
          <w:b/>
          <w:bCs/>
          <w:i w:val="0"/>
          <w:iCs w:val="0"/>
          <w:caps w:val="0"/>
          <w:color w:val="000000"/>
          <w:spacing w:val="0"/>
          <w:sz w:val="32"/>
          <w:szCs w:val="32"/>
          <w:highlight w:val="none"/>
          <w:u w:val="none"/>
          <w:shd w:val="clear" w:fill="FFFFFF"/>
          <w:lang w:val="en-US" w:eastAsia="zh-CN"/>
        </w:rPr>
        <w:t>4.效益指标20分：社会效益、相关人员满意度。</w:t>
      </w:r>
    </w:p>
    <w:p w14:paraId="561A01AB">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bCs/>
          <w:i w:val="0"/>
          <w:iCs w:val="0"/>
          <w:caps w:val="0"/>
          <w:color w:val="000000"/>
          <w:spacing w:val="0"/>
          <w:sz w:val="32"/>
          <w:szCs w:val="32"/>
          <w:highlight w:val="none"/>
          <w:u w:val="none"/>
          <w:shd w:val="clear" w:fill="FFFFFF"/>
          <w:lang w:val="en-US" w:eastAsia="zh-CN"/>
        </w:rPr>
        <w:sectPr>
          <w:footerReference r:id="rId5"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32" w:charSpace="0"/>
        </w:sectPr>
      </w:pPr>
    </w:p>
    <w:p w14:paraId="46FE2DB3">
      <w:pPr>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jc w:val="both"/>
        <w:textAlignment w:val="auto"/>
        <w:outlineLvl w:val="1"/>
        <w:rPr>
          <w:rFonts w:hint="default" w:ascii="楷体" w:hAnsi="楷体" w:eastAsia="楷体" w:cs="楷体"/>
          <w:b/>
          <w:bCs/>
          <w:sz w:val="32"/>
          <w:szCs w:val="32"/>
          <w:highlight w:val="none"/>
          <w:lang w:val="en-US" w:eastAsia="zh-CN"/>
        </w:rPr>
      </w:pPr>
      <w:bookmarkStart w:id="46" w:name="_Toc7412"/>
      <w:bookmarkStart w:id="47" w:name="_Toc15243"/>
      <w:bookmarkStart w:id="48" w:name="_Toc25462"/>
      <w:r>
        <w:rPr>
          <w:rFonts w:hint="eastAsia" w:ascii="楷体" w:hAnsi="楷体" w:eastAsia="楷体" w:cs="楷体"/>
          <w:b/>
          <w:bCs/>
          <w:sz w:val="32"/>
          <w:szCs w:val="32"/>
          <w:highlight w:val="none"/>
          <w:lang w:val="en-US" w:eastAsia="zh-CN"/>
        </w:rPr>
        <w:t>（二）评价分析</w:t>
      </w:r>
      <w:bookmarkEnd w:id="46"/>
      <w:bookmarkEnd w:id="47"/>
      <w:bookmarkEnd w:id="48"/>
    </w:p>
    <w:p w14:paraId="01580A32">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3" w:firstLineChars="200"/>
        <w:jc w:val="both"/>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bCs/>
          <w:i w:val="0"/>
          <w:iCs w:val="0"/>
          <w:caps w:val="0"/>
          <w:color w:val="000000"/>
          <w:spacing w:val="0"/>
          <w:sz w:val="32"/>
          <w:szCs w:val="32"/>
          <w:u w:val="none"/>
          <w:shd w:val="clear" w:fill="FFFFFF"/>
          <w:lang w:val="en-US" w:eastAsia="zh-CN"/>
        </w:rPr>
        <w:t>1.总分100分，得分87分，扣分13分，详见后述绩效评价得分扣分表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4"/>
        <w:gridCol w:w="2218"/>
        <w:gridCol w:w="2196"/>
        <w:gridCol w:w="859"/>
        <w:gridCol w:w="832"/>
        <w:gridCol w:w="886"/>
        <w:gridCol w:w="1855"/>
        <w:gridCol w:w="4644"/>
      </w:tblGrid>
      <w:tr w14:paraId="35854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7FA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5D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A6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D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F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94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扣分</w:t>
            </w: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8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扣分说明</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8E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评价要点</w:t>
            </w:r>
          </w:p>
        </w:tc>
      </w:tr>
      <w:tr w14:paraId="32EF8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3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投入（20分）</w:t>
            </w:r>
          </w:p>
        </w:tc>
        <w:tc>
          <w:tcPr>
            <w:tcW w:w="7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AA4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目标设定（10分）</w:t>
            </w: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4B6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绩效目标合理性</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1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B6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A8597">
            <w:pPr>
              <w:jc w:val="center"/>
              <w:rPr>
                <w:rFonts w:hint="eastAsia" w:ascii="宋体" w:hAnsi="宋体" w:eastAsia="宋体" w:cs="宋体"/>
                <w:i w:val="0"/>
                <w:iCs w:val="0"/>
                <w:color w:val="000000"/>
                <w:sz w:val="22"/>
                <w:szCs w:val="22"/>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F0DCE">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999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是否符合国家法律法规、国民经济和社会发展总体规划；②是否符合部门“三定”方案确定的职责；③是否符合部门制定的发展实施规划和年度主要工作计划；④所属部门（单位）编报预算时是否按要求编制绩效目标。</w:t>
            </w:r>
          </w:p>
        </w:tc>
      </w:tr>
      <w:tr w14:paraId="1078B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DEEB7">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E2F21">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606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绩效指标明确性</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F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3A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61BEA">
            <w:pPr>
              <w:jc w:val="center"/>
              <w:rPr>
                <w:rFonts w:hint="eastAsia" w:ascii="宋体" w:hAnsi="宋体" w:eastAsia="宋体" w:cs="宋体"/>
                <w:i w:val="0"/>
                <w:iCs w:val="0"/>
                <w:color w:val="000000"/>
                <w:sz w:val="22"/>
                <w:szCs w:val="22"/>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3340E">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517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是否将部门整体的绩效目标细化分解为具体的工作任务；②是否通过清晰、可衡量的指标值予以体现；③是否将项目绩效目标与部门年度的任务数或计划数相对应：④是否与本年度部门预算资金相匹配，是否对下属部门（单位）预算编报的绩效目标进行审核。</w:t>
            </w:r>
          </w:p>
        </w:tc>
      </w:tr>
      <w:tr w14:paraId="6D43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22D4">
            <w:pPr>
              <w:jc w:val="center"/>
              <w:rPr>
                <w:rFonts w:hint="eastAsia" w:ascii="宋体" w:hAnsi="宋体" w:eastAsia="宋体" w:cs="宋体"/>
                <w:i w:val="0"/>
                <w:iCs w:val="0"/>
                <w:color w:val="000000"/>
                <w:sz w:val="22"/>
                <w:szCs w:val="22"/>
                <w:u w:val="none"/>
              </w:rPr>
            </w:pPr>
          </w:p>
        </w:tc>
        <w:tc>
          <w:tcPr>
            <w:tcW w:w="7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00B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预算编制与配置（10分）</w:t>
            </w: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A1E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在职人员控制率</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6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B3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F7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58141">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2C4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在职人员控制率=（在职人员数/编制数）×100%。聘用人员控制率</w:t>
            </w:r>
            <w:r>
              <w:rPr>
                <w:rFonts w:ascii="Arial" w:hAnsi="Arial" w:eastAsia="宋体" w:cs="Arial"/>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人社和编办共同批复的人数；在职人员数：部门（单位）实际在职人数，以财政部门确定的部门决算编制口径为准。编制数：机构编制部门核定批复的部门（单位）的人员编制数。</w:t>
            </w:r>
          </w:p>
        </w:tc>
      </w:tr>
      <w:tr w14:paraId="033B7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BC257">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62EA1">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00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预算编制科学性与配置合理性</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B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8A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95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4DD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年初预算经过调整，未提供预算调整批复</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5A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预算编制科学性，预算与政策目标的匹配度与预算标准合理性。</w:t>
            </w:r>
          </w:p>
        </w:tc>
      </w:tr>
      <w:tr w14:paraId="46C98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0"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7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过程（30分）</w:t>
            </w:r>
          </w:p>
        </w:tc>
        <w:tc>
          <w:tcPr>
            <w:tcW w:w="7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5D49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预算执行（10分）</w:t>
            </w: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7A4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预算约束合规性</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E6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B9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486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48E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1.存在2024年支付2025年工会行政支出的跨期费用支付情况。</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FD0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预算约束：支出是否严格遵循人大批准的预算，有无超预算、无预算开支的现象。</w:t>
            </w:r>
          </w:p>
        </w:tc>
      </w:tr>
      <w:tr w14:paraId="4134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8939">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B0A47">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8E0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用途合规性</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4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36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6B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6DE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存在基本支出挤占项目支出的情况。</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7B1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途合规：资金是否用于预算规定的用途，特别是基本支出和项目支出之间、不同项目之间是否存在擅自调剂、挤占挪用的情况。资金分配及时性（转移支付下达时效，资金保障有效性；是否接受检查，受过处罚或上缴财政资金情况</w:t>
            </w:r>
          </w:p>
        </w:tc>
      </w:tr>
      <w:tr w14:paraId="7E98D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87FD0">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80CBB">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789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程序合规性</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2A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6C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23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FAD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1.存在政采合同与验收为同一天，业务活动不可能一天完成，属于程序违规。</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74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程序合规：政府采购、国库集中支付、资产管理等环节是否符合法律法规和制度规定。</w:t>
            </w:r>
          </w:p>
        </w:tc>
      </w:tr>
      <w:tr w14:paraId="65E84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B966">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273E7">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40E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进度匹配度</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6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9C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0847C">
            <w:pPr>
              <w:jc w:val="center"/>
              <w:rPr>
                <w:rFonts w:hint="eastAsia" w:ascii="宋体" w:hAnsi="宋体" w:eastAsia="宋体" w:cs="宋体"/>
                <w:i w:val="0"/>
                <w:iCs w:val="0"/>
                <w:color w:val="000000"/>
                <w:sz w:val="22"/>
                <w:szCs w:val="22"/>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355E5">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C2E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支出总量进度：部门总支出完成了年度预算的百分之多少？是否与时间进度相匹配？是否存在“前期慢、后期突击花钱”或“支出进度严重滞后”的问题。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分项支出进度：基本支出（人员工资、办公经费）和项目支出（专项业务、事业发展项目）各自的执行进度如何。</w:t>
            </w:r>
          </w:p>
        </w:tc>
      </w:tr>
      <w:tr w14:paraId="0B2B8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8919">
            <w:pPr>
              <w:jc w:val="center"/>
              <w:rPr>
                <w:rFonts w:hint="eastAsia" w:ascii="宋体" w:hAnsi="宋体" w:eastAsia="宋体" w:cs="宋体"/>
                <w:i w:val="0"/>
                <w:iCs w:val="0"/>
                <w:color w:val="000000"/>
                <w:sz w:val="22"/>
                <w:szCs w:val="22"/>
                <w:u w:val="none"/>
              </w:rPr>
            </w:pPr>
          </w:p>
        </w:tc>
        <w:tc>
          <w:tcPr>
            <w:tcW w:w="7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98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部门管理（15分）</w:t>
            </w: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8A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管理制度健全性</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09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D2D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C1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62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提供其他管理制度。如：预算管理制度，内部控制制度，政府采购管理制度，国有资产管理制度，合同管理制度，专项资金管理办法，绩效管理制度，信息化管理制度，决算与财务报告制度，监督与审计制度等。</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39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①部门（单位）内控制度、内部财务管理制度和会计核算制度是否健全；②相关管理制度是否合法、合规、完整、有效；</w:t>
            </w:r>
          </w:p>
        </w:tc>
      </w:tr>
      <w:tr w14:paraId="2F469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7614">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9CFA9">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534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制度执行有效性</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B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44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B6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5F597">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B7C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①相关管理制度是否得到有效执行；②是否存在整改情况；</w:t>
            </w:r>
          </w:p>
        </w:tc>
      </w:tr>
      <w:tr w14:paraId="0EAAD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0724D">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3A09D">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CA5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预决算信息公开化</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2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E22B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4DC3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6A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A7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①无涉密情况的预算单位按规定及时、准确、完整地公开预决算和绩效管理信息；②基础数据信息和会计信息资料真实、准确、完整；</w:t>
            </w:r>
          </w:p>
        </w:tc>
      </w:tr>
      <w:tr w14:paraId="1DA86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F443C">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4043F">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92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报销凭证的合规性与时效性</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6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4198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A7FB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5C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发放工资的依据缺少经审批的工资明细表，缺少银行代发明细回单。2.支付医疗保险、工伤保险、职业年金后仅附国库支付单，银行端查询缴税凭证，未附人员名单、缴费基数确认表、明确的计算依据、审批流程、银行付款回单等。3.发放人员经费性质的交通补贴缺乏人力资源或组织部门的审核盖章。4.借调人员的过节费用由借调单位（非工资发放单位）直接发放。5.支付食堂餐费无计算依据（如用餐人数、餐标、天数等），支付周期混乱，支付不及时，跨期或可能重复核算的情况。</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E53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资金分配及时性（转移支付下达时效，资金保障有效性；是否接受检查，受过处罚或上缴财政资金情况</w:t>
            </w:r>
          </w:p>
        </w:tc>
      </w:tr>
      <w:tr w14:paraId="20DC0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DB09">
            <w:pPr>
              <w:jc w:val="center"/>
              <w:rPr>
                <w:rFonts w:hint="eastAsia" w:ascii="宋体" w:hAnsi="宋体" w:eastAsia="宋体" w:cs="宋体"/>
                <w:i w:val="0"/>
                <w:iCs w:val="0"/>
                <w:color w:val="000000"/>
                <w:sz w:val="22"/>
                <w:szCs w:val="22"/>
                <w:u w:val="none"/>
              </w:rPr>
            </w:pPr>
          </w:p>
        </w:tc>
        <w:tc>
          <w:tcPr>
            <w:tcW w:w="7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A6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资产管理（5分）</w:t>
            </w:r>
          </w:p>
        </w:tc>
        <w:tc>
          <w:tcPr>
            <w:tcW w:w="7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01C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资产管理有效性</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9F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58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C32E7">
            <w:pPr>
              <w:jc w:val="center"/>
              <w:rPr>
                <w:rFonts w:hint="eastAsia" w:ascii="宋体" w:hAnsi="宋体" w:eastAsia="宋体" w:cs="宋体"/>
                <w:i w:val="0"/>
                <w:iCs w:val="0"/>
                <w:color w:val="000000"/>
                <w:sz w:val="22"/>
                <w:szCs w:val="22"/>
                <w:u w:val="none"/>
              </w:rPr>
            </w:pPr>
          </w:p>
        </w:tc>
        <w:tc>
          <w:tcPr>
            <w:tcW w:w="6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0F00AD">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139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①资产保存是否完整并有台账；</w:t>
            </w:r>
          </w:p>
        </w:tc>
      </w:tr>
      <w:tr w14:paraId="161C1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F238B">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DB597">
            <w:pPr>
              <w:jc w:val="left"/>
              <w:rPr>
                <w:rFonts w:hint="eastAsia" w:ascii="宋体" w:hAnsi="宋体" w:eastAsia="宋体" w:cs="宋体"/>
                <w:i w:val="0"/>
                <w:iCs w:val="0"/>
                <w:color w:val="000000"/>
                <w:sz w:val="22"/>
                <w:szCs w:val="22"/>
                <w:u w:val="none"/>
              </w:rPr>
            </w:pP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F59B6">
            <w:pPr>
              <w:jc w:val="left"/>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04D5">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4120C">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8A67F">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3E319">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B67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②资产配置是否合理，是否有闲置现象；</w:t>
            </w:r>
          </w:p>
        </w:tc>
      </w:tr>
      <w:tr w14:paraId="1E1EE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3F2B">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0A55D">
            <w:pPr>
              <w:jc w:val="left"/>
              <w:rPr>
                <w:rFonts w:hint="eastAsia" w:ascii="宋体" w:hAnsi="宋体" w:eastAsia="宋体" w:cs="宋体"/>
                <w:i w:val="0"/>
                <w:iCs w:val="0"/>
                <w:color w:val="000000"/>
                <w:sz w:val="22"/>
                <w:szCs w:val="22"/>
                <w:u w:val="none"/>
              </w:rPr>
            </w:pP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AFB64">
            <w:pPr>
              <w:jc w:val="left"/>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0899">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4688E">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FEE2F">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5FA02">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CDE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③资产处置是否规范；</w:t>
            </w:r>
          </w:p>
        </w:tc>
      </w:tr>
      <w:tr w14:paraId="0746C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B9FD">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0B535">
            <w:pPr>
              <w:jc w:val="left"/>
              <w:rPr>
                <w:rFonts w:hint="eastAsia" w:ascii="宋体" w:hAnsi="宋体" w:eastAsia="宋体" w:cs="宋体"/>
                <w:i w:val="0"/>
                <w:iCs w:val="0"/>
                <w:color w:val="000000"/>
                <w:sz w:val="22"/>
                <w:szCs w:val="22"/>
                <w:u w:val="none"/>
              </w:rPr>
            </w:pP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BBF95">
            <w:pPr>
              <w:jc w:val="left"/>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450D">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FE1D9">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73E0C">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A6B99">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F5C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④资产账务管理是否合规，是否账实相符；</w:t>
            </w:r>
          </w:p>
        </w:tc>
      </w:tr>
      <w:tr w14:paraId="07B61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3DF3">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2FFB2">
            <w:pPr>
              <w:jc w:val="left"/>
              <w:rPr>
                <w:rFonts w:hint="eastAsia" w:ascii="宋体" w:hAnsi="宋体" w:eastAsia="宋体" w:cs="宋体"/>
                <w:i w:val="0"/>
                <w:iCs w:val="0"/>
                <w:color w:val="000000"/>
                <w:sz w:val="22"/>
                <w:szCs w:val="22"/>
                <w:u w:val="none"/>
              </w:rPr>
            </w:pP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A2B1F">
            <w:pPr>
              <w:jc w:val="left"/>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66A8">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A4B0B">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C45FB">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8FB24">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A7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⑤是否完成国有“三资”盘活工作，资产是否有偿使用或处置收入及时足额上缴；</w:t>
            </w:r>
          </w:p>
        </w:tc>
      </w:tr>
      <w:tr w14:paraId="4ED16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A35E8">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AA688">
            <w:pPr>
              <w:jc w:val="left"/>
              <w:rPr>
                <w:rFonts w:hint="eastAsia" w:ascii="宋体" w:hAnsi="宋体" w:eastAsia="宋体" w:cs="宋体"/>
                <w:i w:val="0"/>
                <w:iCs w:val="0"/>
                <w:color w:val="000000"/>
                <w:sz w:val="22"/>
                <w:szCs w:val="22"/>
                <w:u w:val="none"/>
              </w:rPr>
            </w:pP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8A71D">
            <w:pPr>
              <w:jc w:val="left"/>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AD64E">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71231">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DB107">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ACA92">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7AD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⑥相关资产购置是否履行政府采购手续，外租资产是否走合规程序；</w:t>
            </w:r>
          </w:p>
        </w:tc>
      </w:tr>
      <w:tr w14:paraId="05C3D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62E92">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E85F5">
            <w:pPr>
              <w:jc w:val="left"/>
              <w:rPr>
                <w:rFonts w:hint="eastAsia" w:ascii="宋体" w:hAnsi="宋体" w:eastAsia="宋体" w:cs="宋体"/>
                <w:i w:val="0"/>
                <w:iCs w:val="0"/>
                <w:color w:val="000000"/>
                <w:sz w:val="22"/>
                <w:szCs w:val="22"/>
                <w:u w:val="none"/>
              </w:rPr>
            </w:pP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72D1D">
            <w:pPr>
              <w:jc w:val="left"/>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5105">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E70AF">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3C00D">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27B39">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0D9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⑦资产是否定期进行盘点并有记录。</w:t>
            </w:r>
          </w:p>
        </w:tc>
      </w:tr>
      <w:tr w14:paraId="49A7A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BD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产出（20分）</w:t>
            </w:r>
          </w:p>
        </w:tc>
        <w:tc>
          <w:tcPr>
            <w:tcW w:w="7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DD27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职能工作完成率（10分）</w:t>
            </w: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5EC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组织建设工作</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3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DCD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5BD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6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0D5362">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2ED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按照区直工委要求扎实开展好党委学习教育，依托“一月一课一片一实践”主题党日活动，严格落实一会一课要求，推动党组织规范建设。</w:t>
            </w:r>
          </w:p>
        </w:tc>
      </w:tr>
      <w:tr w14:paraId="7E557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22ABE">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8DE1D">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621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救助工作</w:t>
            </w: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4EC26">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F0C8A">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F8DBB">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07408">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A2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对辖区因灾、因病致困的家庭实施人道主义救助，做到应救尽救，救助资金发放及时率与对象精准率均达100%。</w:t>
            </w:r>
          </w:p>
        </w:tc>
      </w:tr>
      <w:tr w14:paraId="7E038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8520">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206C2">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CFE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宣传活动</w:t>
            </w: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F3C85">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D75C1">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803D6">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F04ED">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92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通过多形式、多渠道的宣传活动，显著提升了红十字精神与社会应急知识在公众中的覆盖面与影响力（发放宣传资料数超1万份）。</w:t>
            </w:r>
          </w:p>
        </w:tc>
      </w:tr>
      <w:tr w14:paraId="4D047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760AE">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C1667">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63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三献工作</w:t>
            </w: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B63D7">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D6EA8">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34994">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37E69">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BE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广泛开展无偿献血宣传动员和造血干细胞捐献志愿者宣传，开展遗体及器官捐献宣传登记服务。四是社会影响力提升。通过多渠道宣传，确保本区居民对红十字会核心业务的知晓度与满意度较上年度有所提升。</w:t>
            </w:r>
          </w:p>
        </w:tc>
      </w:tr>
      <w:tr w14:paraId="56838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E736">
            <w:pPr>
              <w:jc w:val="center"/>
              <w:rPr>
                <w:rFonts w:hint="eastAsia" w:ascii="宋体" w:hAnsi="宋体" w:eastAsia="宋体" w:cs="宋体"/>
                <w:i w:val="0"/>
                <w:iCs w:val="0"/>
                <w:color w:val="000000"/>
                <w:sz w:val="22"/>
                <w:szCs w:val="22"/>
                <w:u w:val="none"/>
              </w:rPr>
            </w:pPr>
          </w:p>
        </w:tc>
        <w:tc>
          <w:tcPr>
            <w:tcW w:w="7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762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重点工作办结率（10分）</w:t>
            </w: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AE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“博爱家园”项目建设</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A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E8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8D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6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4E2C2">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5B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标准建成了集应急培训、扶贫帮困、解决就业于一体的综合性人道服务阵地，完成东洲岛应急救护站申请、建设，确保在旅发会前投入使用；完成衡阳幼师和衡阳市委党校应急救护培训基地申报及建设，开展培训受益人群数万人。</w:t>
            </w:r>
          </w:p>
        </w:tc>
      </w:tr>
      <w:tr w14:paraId="327DE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A4244">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F6102">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941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应急救助站的建设</w:t>
            </w: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F0F0C">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C86EC">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84DBE">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837D2">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E0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年内完成应急救护普及性培训覆盖不少于500人次，确保重点行业、社区应急救护知识普及率稳步提升。</w:t>
            </w:r>
          </w:p>
        </w:tc>
      </w:tr>
      <w:tr w14:paraId="68BFE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FCDCC">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CE65F">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225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院校完成应急救护智能化培训基地建设</w:t>
            </w: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24B5">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FFBF8">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5FD04">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CE22F">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BD6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培训数量目标：组织开展红十字救护员标准化培训班。深入社区、学校、机关、企业开展普及性救护知识讲座不少于10场</w:t>
            </w:r>
          </w:p>
        </w:tc>
      </w:tr>
      <w:tr w14:paraId="0A572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4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效益（30分）</w:t>
            </w:r>
          </w:p>
        </w:tc>
        <w:tc>
          <w:tcPr>
            <w:tcW w:w="7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D5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社会效益（20分）</w:t>
            </w: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BA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生命健康守护精准高效，彰显人道救助直接效益。</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938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B6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3E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6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C36B1">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81A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通过建立“评审-救助-跟踪”的闭环管理，成功救治白血病、先心病儿童并实现100%康复率；同时储备35份器官及5份造血干细胞捐献资源，直接守护了群众生命健康，体现了核心使命的履行度。</w:t>
            </w:r>
          </w:p>
        </w:tc>
      </w:tr>
      <w:tr w14:paraId="05341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5734">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62A31">
            <w:pPr>
              <w:jc w:val="center"/>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89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公共应急能力显著提升，体现安全防线构建效益。</w:t>
            </w: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99C6F">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32C6B">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39082">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E573D">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9C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通过“博爱家园”、应急救护站及培训基地等阵地建设，结合“进社区、进学校”的12场普及培训，新增52名持证救护员，使数千群众受益，有效筑牢了社会公共安全的基础防线。</w:t>
            </w:r>
          </w:p>
        </w:tc>
      </w:tr>
      <w:tr w14:paraId="64EE7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5E36B">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35F7D">
            <w:pPr>
              <w:jc w:val="center"/>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721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社会爱心资源成功激活，凸显慈善动员创新效益。</w:t>
            </w: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F3797">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5FD60">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D049A">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0D43B">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BF6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成功策划并实现公众募资“从零到一”的突破，首次众筹即动员百余群众参与，为配置AED等公共设施开辟了可持续的社会化渠道，展示了在动员社会力量、汇聚民间爱心方面的创新能力。</w:t>
            </w:r>
          </w:p>
        </w:tc>
      </w:tr>
      <w:tr w14:paraId="762DC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5B9E">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AF2B2">
            <w:pPr>
              <w:jc w:val="center"/>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9A6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品牌项目标杆效应突出，实现资金投入倍增效益。</w:t>
            </w: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F68AF">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14407">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5FC3E">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82817">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481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“博爱家园”项目高效整合应急培训、扶贫帮困等多重功能，获得省市级高度认可并形成可推广模式，确保15万资金投入创造了远超预期的综合社会价值，实现了资金效益的最大化。</w:t>
            </w:r>
          </w:p>
        </w:tc>
      </w:tr>
      <w:tr w14:paraId="26071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7FE77">
            <w:pPr>
              <w:jc w:val="center"/>
              <w:rPr>
                <w:rFonts w:hint="eastAsia" w:ascii="宋体" w:hAnsi="宋体" w:eastAsia="宋体" w:cs="宋体"/>
                <w:i w:val="0"/>
                <w:iCs w:val="0"/>
                <w:color w:val="000000"/>
                <w:sz w:val="22"/>
                <w:szCs w:val="22"/>
                <w:u w:val="none"/>
              </w:rPr>
            </w:pPr>
          </w:p>
        </w:tc>
        <w:tc>
          <w:tcPr>
            <w:tcW w:w="7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D876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相关人员满意度（10分）</w:t>
            </w: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B92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区委领导班子满意度</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2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F4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4FD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6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BC50A">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92D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区委领导班子满意度≥90%。</w:t>
            </w:r>
          </w:p>
        </w:tc>
      </w:tr>
      <w:tr w14:paraId="057C2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68CAE">
            <w:pPr>
              <w:jc w:val="center"/>
              <w:rPr>
                <w:rFonts w:hint="eastAsia" w:ascii="宋体" w:hAnsi="宋体" w:eastAsia="宋体" w:cs="宋体"/>
                <w:i w:val="0"/>
                <w:iCs w:val="0"/>
                <w:color w:val="000000"/>
                <w:sz w:val="22"/>
                <w:szCs w:val="22"/>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F9692">
            <w:pPr>
              <w:jc w:val="left"/>
              <w:rPr>
                <w:rFonts w:hint="eastAsia" w:ascii="宋体" w:hAnsi="宋体" w:eastAsia="宋体" w:cs="宋体"/>
                <w:i w:val="0"/>
                <w:iCs w:val="0"/>
                <w:color w:val="000000"/>
                <w:sz w:val="22"/>
                <w:szCs w:val="22"/>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AF2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项目获得省、市红十字会高度认可</w:t>
            </w: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1CB9">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C1828">
            <w:pPr>
              <w:jc w:val="center"/>
              <w:rPr>
                <w:rFonts w:hint="eastAsia" w:ascii="宋体" w:hAnsi="宋体" w:eastAsia="宋体" w:cs="宋体"/>
                <w:i w:val="0"/>
                <w:iCs w:val="0"/>
                <w:color w:val="000000"/>
                <w:sz w:val="22"/>
                <w:szCs w:val="22"/>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40855">
            <w:pPr>
              <w:jc w:val="center"/>
              <w:rPr>
                <w:rFonts w:hint="eastAsia" w:ascii="宋体" w:hAnsi="宋体" w:eastAsia="宋体" w:cs="宋体"/>
                <w:i w:val="0"/>
                <w:iCs w:val="0"/>
                <w:color w:val="000000"/>
                <w:sz w:val="22"/>
                <w:szCs w:val="22"/>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FAB42">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411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形成了可复制、可推广的标杆项目模式。</w:t>
            </w:r>
          </w:p>
        </w:tc>
      </w:tr>
      <w:tr w14:paraId="22DA4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98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9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3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8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0D519">
            <w:pPr>
              <w:jc w:val="center"/>
              <w:rPr>
                <w:rFonts w:hint="eastAsia" w:ascii="宋体" w:hAnsi="宋体" w:eastAsia="宋体" w:cs="宋体"/>
                <w:i w:val="0"/>
                <w:iCs w:val="0"/>
                <w:color w:val="000000"/>
                <w:sz w:val="22"/>
                <w:szCs w:val="22"/>
                <w:u w:val="none"/>
              </w:rPr>
            </w:pPr>
          </w:p>
        </w:tc>
        <w:tc>
          <w:tcPr>
            <w:tcW w:w="1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3086">
            <w:pPr>
              <w:rPr>
                <w:rFonts w:hint="eastAsia" w:ascii="宋体" w:hAnsi="宋体" w:eastAsia="宋体" w:cs="宋体"/>
                <w:i w:val="0"/>
                <w:iCs w:val="0"/>
                <w:color w:val="000000"/>
                <w:sz w:val="22"/>
                <w:szCs w:val="22"/>
                <w:u w:val="none"/>
              </w:rPr>
            </w:pPr>
          </w:p>
        </w:tc>
      </w:tr>
    </w:tbl>
    <w:p w14:paraId="45515A4A">
      <w:pPr>
        <w:pStyle w:val="1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jc w:val="left"/>
        <w:rPr>
          <w:rFonts w:hint="eastAsia" w:ascii="仿宋" w:hAnsi="仿宋" w:eastAsia="仿宋" w:cs="仿宋"/>
          <w:b w:val="0"/>
          <w:bCs w:val="0"/>
          <w:i w:val="0"/>
          <w:iCs w:val="0"/>
          <w:caps w:val="0"/>
          <w:color w:val="000000"/>
          <w:spacing w:val="0"/>
          <w:sz w:val="32"/>
          <w:szCs w:val="32"/>
          <w:u w:val="none"/>
          <w:shd w:val="clear" w:fill="FFFFFF"/>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32" w:charSpace="0"/>
        </w:sectPr>
      </w:pPr>
    </w:p>
    <w:p w14:paraId="49EEA4F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49" w:name="_Toc31438"/>
      <w:bookmarkStart w:id="50" w:name="_Toc26985"/>
      <w:bookmarkStart w:id="51" w:name="_Toc22056"/>
      <w:r>
        <w:rPr>
          <w:rFonts w:hint="eastAsia" w:ascii="楷体" w:hAnsi="楷体" w:eastAsia="楷体" w:cs="楷体"/>
          <w:b/>
          <w:bCs/>
          <w:sz w:val="32"/>
          <w:szCs w:val="32"/>
          <w:lang w:val="en-US" w:eastAsia="zh-CN"/>
        </w:rPr>
        <w:t>（三）评价结果</w:t>
      </w:r>
      <w:bookmarkEnd w:id="49"/>
      <w:bookmarkEnd w:id="50"/>
      <w:bookmarkEnd w:id="51"/>
    </w:p>
    <w:p w14:paraId="59C16C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1.绩效评价结果定级</w:t>
      </w:r>
    </w:p>
    <w:p w14:paraId="27D5FB03">
      <w:pPr>
        <w:pStyle w:val="1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i w:val="0"/>
          <w:iCs w:val="0"/>
          <w:caps w:val="0"/>
          <w:color w:val="000000"/>
          <w:spacing w:val="0"/>
          <w:sz w:val="32"/>
          <w:szCs w:val="32"/>
          <w:u w:val="none"/>
          <w:shd w:val="clear" w:fill="FFFFFF"/>
        </w:rPr>
        <w:t>本次绩效评价结果采用综合评分定级的方法，根据项目收集相关资料、项目访谈以及相关的规定与标准，总分值为100分，评价等级分优</w:t>
      </w:r>
      <w:r>
        <w:rPr>
          <w:rFonts w:hint="eastAsia" w:ascii="仿宋" w:hAnsi="仿宋" w:eastAsia="仿宋" w:cs="仿宋"/>
          <w:i w:val="0"/>
          <w:iCs w:val="0"/>
          <w:caps w:val="0"/>
          <w:color w:val="000000"/>
          <w:spacing w:val="0"/>
          <w:sz w:val="32"/>
          <w:szCs w:val="32"/>
          <w:u w:val="none"/>
          <w:shd w:val="clear" w:fill="FFFFFF"/>
          <w:lang w:val="en-US" w:eastAsia="zh-CN"/>
        </w:rPr>
        <w:t>秀</w:t>
      </w:r>
      <w:r>
        <w:rPr>
          <w:rFonts w:hint="eastAsia" w:ascii="仿宋" w:hAnsi="仿宋" w:eastAsia="仿宋" w:cs="仿宋"/>
          <w:i w:val="0"/>
          <w:iCs w:val="0"/>
          <w:caps w:val="0"/>
          <w:color w:val="000000"/>
          <w:spacing w:val="0"/>
          <w:sz w:val="32"/>
          <w:szCs w:val="32"/>
          <w:u w:val="none"/>
          <w:shd w:val="clear" w:fill="FFFFFF"/>
        </w:rPr>
        <w:t>、良</w:t>
      </w:r>
      <w:r>
        <w:rPr>
          <w:rFonts w:hint="eastAsia" w:ascii="仿宋" w:hAnsi="仿宋" w:eastAsia="仿宋" w:cs="仿宋"/>
          <w:i w:val="0"/>
          <w:iCs w:val="0"/>
          <w:caps w:val="0"/>
          <w:color w:val="000000"/>
          <w:spacing w:val="0"/>
          <w:sz w:val="32"/>
          <w:szCs w:val="32"/>
          <w:u w:val="none"/>
          <w:shd w:val="clear" w:fill="FFFFFF"/>
          <w:lang w:val="en-US" w:eastAsia="zh-CN"/>
        </w:rPr>
        <w:t>好</w:t>
      </w:r>
      <w:r>
        <w:rPr>
          <w:rFonts w:hint="eastAsia" w:ascii="仿宋" w:hAnsi="仿宋" w:eastAsia="仿宋" w:cs="仿宋"/>
          <w:i w:val="0"/>
          <w:iCs w:val="0"/>
          <w:caps w:val="0"/>
          <w:color w:val="000000"/>
          <w:spacing w:val="0"/>
          <w:sz w:val="32"/>
          <w:szCs w:val="32"/>
          <w:u w:val="none"/>
          <w:shd w:val="clear" w:fill="FFFFFF"/>
        </w:rPr>
        <w:t>、</w:t>
      </w:r>
      <w:r>
        <w:rPr>
          <w:rFonts w:hint="eastAsia" w:ascii="仿宋" w:hAnsi="仿宋" w:eastAsia="仿宋" w:cs="仿宋"/>
          <w:i w:val="0"/>
          <w:iCs w:val="0"/>
          <w:caps w:val="0"/>
          <w:color w:val="000000"/>
          <w:spacing w:val="0"/>
          <w:sz w:val="32"/>
          <w:szCs w:val="32"/>
          <w:u w:val="none"/>
          <w:shd w:val="clear" w:fill="FFFFFF"/>
          <w:lang w:val="en-US" w:eastAsia="zh-CN"/>
        </w:rPr>
        <w:t>中等</w:t>
      </w:r>
      <w:r>
        <w:rPr>
          <w:rFonts w:hint="eastAsia" w:ascii="仿宋" w:hAnsi="仿宋" w:eastAsia="仿宋" w:cs="仿宋"/>
          <w:i w:val="0"/>
          <w:iCs w:val="0"/>
          <w:caps w:val="0"/>
          <w:color w:val="000000"/>
          <w:spacing w:val="0"/>
          <w:sz w:val="32"/>
          <w:szCs w:val="32"/>
          <w:u w:val="none"/>
          <w:shd w:val="clear" w:fill="FFFFFF"/>
        </w:rPr>
        <w:t>、</w:t>
      </w:r>
      <w:r>
        <w:rPr>
          <w:rFonts w:hint="eastAsia" w:ascii="仿宋" w:hAnsi="仿宋" w:eastAsia="仿宋" w:cs="仿宋"/>
          <w:i w:val="0"/>
          <w:iCs w:val="0"/>
          <w:caps w:val="0"/>
          <w:color w:val="000000"/>
          <w:spacing w:val="0"/>
          <w:sz w:val="32"/>
          <w:szCs w:val="32"/>
          <w:u w:val="none"/>
          <w:shd w:val="clear" w:fill="FFFFFF"/>
          <w:lang w:val="en-US" w:eastAsia="zh-CN"/>
        </w:rPr>
        <w:t>较</w:t>
      </w:r>
      <w:r>
        <w:rPr>
          <w:rFonts w:hint="eastAsia" w:ascii="仿宋" w:hAnsi="仿宋" w:eastAsia="仿宋" w:cs="仿宋"/>
          <w:i w:val="0"/>
          <w:iCs w:val="0"/>
          <w:caps w:val="0"/>
          <w:color w:val="000000"/>
          <w:spacing w:val="0"/>
          <w:sz w:val="32"/>
          <w:szCs w:val="32"/>
          <w:u w:val="none"/>
          <w:shd w:val="clear" w:fill="FFFFFF"/>
          <w:lang w:eastAsia="zh-CN"/>
        </w:rPr>
        <w:t>差</w:t>
      </w:r>
      <w:r>
        <w:rPr>
          <w:rFonts w:hint="eastAsia" w:ascii="仿宋" w:hAnsi="仿宋" w:eastAsia="仿宋" w:cs="仿宋"/>
          <w:i w:val="0"/>
          <w:iCs w:val="0"/>
          <w:caps w:val="0"/>
          <w:color w:val="000000"/>
          <w:spacing w:val="0"/>
          <w:sz w:val="32"/>
          <w:szCs w:val="32"/>
          <w:u w:val="none"/>
          <w:shd w:val="clear" w:fill="FFFFFF"/>
        </w:rPr>
        <w:t>四档。评价得分高于</w:t>
      </w:r>
      <w:r>
        <w:rPr>
          <w:rFonts w:hint="eastAsia" w:ascii="仿宋" w:hAnsi="仿宋" w:eastAsia="仿宋" w:cs="仿宋"/>
          <w:i w:val="0"/>
          <w:iCs w:val="0"/>
          <w:caps w:val="0"/>
          <w:color w:val="000000"/>
          <w:spacing w:val="0"/>
          <w:sz w:val="32"/>
          <w:szCs w:val="32"/>
          <w:u w:val="none"/>
          <w:shd w:val="clear" w:fill="FFFFFF"/>
          <w:lang w:val="en-US" w:eastAsia="zh-CN"/>
        </w:rPr>
        <w:t>或等于</w:t>
      </w:r>
      <w:r>
        <w:rPr>
          <w:rFonts w:hint="eastAsia" w:ascii="仿宋" w:hAnsi="仿宋" w:eastAsia="仿宋" w:cs="仿宋"/>
          <w:i w:val="0"/>
          <w:iCs w:val="0"/>
          <w:caps w:val="0"/>
          <w:color w:val="000000"/>
          <w:spacing w:val="0"/>
          <w:sz w:val="32"/>
          <w:szCs w:val="32"/>
          <w:u w:val="none"/>
          <w:shd w:val="clear" w:fill="FFFFFF"/>
        </w:rPr>
        <w:t>90分</w:t>
      </w:r>
      <w:r>
        <w:rPr>
          <w:rFonts w:hint="eastAsia" w:ascii="仿宋" w:hAnsi="仿宋" w:eastAsia="仿宋" w:cs="仿宋"/>
          <w:i w:val="0"/>
          <w:iCs w:val="0"/>
          <w:caps w:val="0"/>
          <w:color w:val="000000"/>
          <w:spacing w:val="0"/>
          <w:sz w:val="32"/>
          <w:szCs w:val="32"/>
          <w:u w:val="none"/>
          <w:shd w:val="clear" w:fill="FFFFFF"/>
          <w:lang w:val="en-US" w:eastAsia="zh-CN"/>
        </w:rPr>
        <w:t>评价</w:t>
      </w:r>
      <w:r>
        <w:rPr>
          <w:rFonts w:hint="eastAsia" w:ascii="仿宋" w:hAnsi="仿宋" w:eastAsia="仿宋" w:cs="仿宋"/>
          <w:i w:val="0"/>
          <w:iCs w:val="0"/>
          <w:caps w:val="0"/>
          <w:color w:val="000000"/>
          <w:spacing w:val="0"/>
          <w:sz w:val="32"/>
          <w:szCs w:val="32"/>
          <w:u w:val="none"/>
          <w:shd w:val="clear" w:fill="FFFFFF"/>
        </w:rPr>
        <w:t>为优</w:t>
      </w:r>
      <w:r>
        <w:rPr>
          <w:rFonts w:hint="eastAsia" w:ascii="仿宋" w:hAnsi="仿宋" w:eastAsia="仿宋" w:cs="仿宋"/>
          <w:i w:val="0"/>
          <w:iCs w:val="0"/>
          <w:caps w:val="0"/>
          <w:color w:val="000000"/>
          <w:spacing w:val="0"/>
          <w:sz w:val="32"/>
          <w:szCs w:val="32"/>
          <w:u w:val="none"/>
          <w:shd w:val="clear" w:fill="FFFFFF"/>
          <w:lang w:val="en-US" w:eastAsia="zh-CN"/>
        </w:rPr>
        <w:t>秀</w:t>
      </w:r>
      <w:r>
        <w:rPr>
          <w:rFonts w:hint="eastAsia" w:ascii="仿宋" w:hAnsi="仿宋" w:eastAsia="仿宋" w:cs="仿宋"/>
          <w:i w:val="0"/>
          <w:iCs w:val="0"/>
          <w:caps w:val="0"/>
          <w:color w:val="000000"/>
          <w:spacing w:val="0"/>
          <w:sz w:val="32"/>
          <w:szCs w:val="32"/>
          <w:u w:val="none"/>
          <w:shd w:val="clear" w:fill="FFFFFF"/>
        </w:rPr>
        <w:t>；得分在</w:t>
      </w:r>
      <w:r>
        <w:rPr>
          <w:rFonts w:hint="eastAsia" w:ascii="仿宋" w:hAnsi="仿宋" w:eastAsia="仿宋" w:cs="仿宋"/>
          <w:i w:val="0"/>
          <w:iCs w:val="0"/>
          <w:caps w:val="0"/>
          <w:color w:val="000000"/>
          <w:spacing w:val="0"/>
          <w:sz w:val="32"/>
          <w:szCs w:val="32"/>
          <w:u w:val="none"/>
          <w:shd w:val="clear" w:fill="FFFFFF"/>
          <w:lang w:val="en-US" w:eastAsia="zh-CN"/>
        </w:rPr>
        <w:t>高于或等于80</w:t>
      </w:r>
      <w:r>
        <w:rPr>
          <w:rFonts w:hint="eastAsia" w:ascii="仿宋" w:hAnsi="仿宋" w:eastAsia="仿宋" w:cs="仿宋"/>
          <w:i w:val="0"/>
          <w:iCs w:val="0"/>
          <w:caps w:val="0"/>
          <w:color w:val="000000"/>
          <w:spacing w:val="0"/>
          <w:sz w:val="32"/>
          <w:szCs w:val="32"/>
          <w:u w:val="none"/>
          <w:shd w:val="clear" w:fill="FFFFFF"/>
        </w:rPr>
        <w:t>分</w:t>
      </w:r>
      <w:r>
        <w:rPr>
          <w:rFonts w:hint="eastAsia" w:ascii="仿宋" w:hAnsi="仿宋" w:eastAsia="仿宋" w:cs="仿宋"/>
          <w:i w:val="0"/>
          <w:iCs w:val="0"/>
          <w:caps w:val="0"/>
          <w:color w:val="000000"/>
          <w:spacing w:val="0"/>
          <w:sz w:val="32"/>
          <w:szCs w:val="32"/>
          <w:u w:val="none"/>
          <w:shd w:val="clear" w:fill="FFFFFF"/>
          <w:lang w:val="en-US" w:eastAsia="zh-CN"/>
        </w:rPr>
        <w:t>小于</w:t>
      </w:r>
      <w:r>
        <w:rPr>
          <w:rFonts w:hint="eastAsia" w:ascii="仿宋" w:hAnsi="仿宋" w:eastAsia="仿宋" w:cs="仿宋"/>
          <w:i w:val="0"/>
          <w:iCs w:val="0"/>
          <w:caps w:val="0"/>
          <w:color w:val="000000"/>
          <w:spacing w:val="0"/>
          <w:sz w:val="32"/>
          <w:szCs w:val="32"/>
          <w:u w:val="none"/>
          <w:shd w:val="clear" w:fill="FFFFFF"/>
        </w:rPr>
        <w:t>90分</w:t>
      </w:r>
      <w:r>
        <w:rPr>
          <w:rFonts w:hint="eastAsia" w:ascii="仿宋" w:hAnsi="仿宋" w:eastAsia="仿宋" w:cs="仿宋"/>
          <w:i w:val="0"/>
          <w:iCs w:val="0"/>
          <w:caps w:val="0"/>
          <w:color w:val="000000"/>
          <w:spacing w:val="0"/>
          <w:sz w:val="32"/>
          <w:szCs w:val="32"/>
          <w:u w:val="none"/>
          <w:shd w:val="clear" w:fill="FFFFFF"/>
          <w:lang w:val="en-US" w:eastAsia="zh-CN"/>
        </w:rPr>
        <w:t>评价</w:t>
      </w:r>
      <w:r>
        <w:rPr>
          <w:rFonts w:hint="eastAsia" w:ascii="仿宋" w:hAnsi="仿宋" w:eastAsia="仿宋" w:cs="仿宋"/>
          <w:i w:val="0"/>
          <w:iCs w:val="0"/>
          <w:caps w:val="0"/>
          <w:color w:val="000000"/>
          <w:spacing w:val="0"/>
          <w:sz w:val="32"/>
          <w:szCs w:val="32"/>
          <w:u w:val="none"/>
          <w:shd w:val="clear" w:fill="FFFFFF"/>
        </w:rPr>
        <w:t>为良</w:t>
      </w:r>
      <w:r>
        <w:rPr>
          <w:rFonts w:hint="eastAsia" w:ascii="仿宋" w:hAnsi="仿宋" w:eastAsia="仿宋" w:cs="仿宋"/>
          <w:i w:val="0"/>
          <w:iCs w:val="0"/>
          <w:caps w:val="0"/>
          <w:color w:val="000000"/>
          <w:spacing w:val="0"/>
          <w:sz w:val="32"/>
          <w:szCs w:val="32"/>
          <w:u w:val="none"/>
          <w:shd w:val="clear" w:fill="FFFFFF"/>
          <w:lang w:val="en-US" w:eastAsia="zh-CN"/>
        </w:rPr>
        <w:t>好</w:t>
      </w:r>
      <w:r>
        <w:rPr>
          <w:rFonts w:hint="eastAsia" w:ascii="仿宋" w:hAnsi="仿宋" w:eastAsia="仿宋" w:cs="仿宋"/>
          <w:i w:val="0"/>
          <w:iCs w:val="0"/>
          <w:caps w:val="0"/>
          <w:color w:val="000000"/>
          <w:spacing w:val="0"/>
          <w:sz w:val="32"/>
          <w:szCs w:val="32"/>
          <w:u w:val="none"/>
          <w:shd w:val="clear" w:fill="FFFFFF"/>
        </w:rPr>
        <w:t>；得分</w:t>
      </w:r>
      <w:r>
        <w:rPr>
          <w:rFonts w:hint="eastAsia" w:ascii="仿宋" w:hAnsi="仿宋" w:eastAsia="仿宋" w:cs="仿宋"/>
          <w:i w:val="0"/>
          <w:iCs w:val="0"/>
          <w:caps w:val="0"/>
          <w:color w:val="000000"/>
          <w:spacing w:val="0"/>
          <w:sz w:val="32"/>
          <w:szCs w:val="32"/>
          <w:u w:val="none"/>
          <w:shd w:val="clear" w:fill="FFFFFF"/>
          <w:lang w:val="en-US" w:eastAsia="zh-CN"/>
        </w:rPr>
        <w:t>高于或等于</w:t>
      </w:r>
      <w:r>
        <w:rPr>
          <w:rFonts w:hint="eastAsia" w:ascii="仿宋" w:hAnsi="仿宋" w:eastAsia="仿宋" w:cs="仿宋"/>
          <w:i w:val="0"/>
          <w:iCs w:val="0"/>
          <w:caps w:val="0"/>
          <w:color w:val="000000"/>
          <w:spacing w:val="0"/>
          <w:sz w:val="32"/>
          <w:szCs w:val="32"/>
          <w:u w:val="none"/>
          <w:shd w:val="clear" w:fill="FFFFFF"/>
        </w:rPr>
        <w:t>60分</w:t>
      </w:r>
      <w:r>
        <w:rPr>
          <w:rFonts w:hint="eastAsia" w:ascii="仿宋" w:hAnsi="仿宋" w:eastAsia="仿宋" w:cs="仿宋"/>
          <w:i w:val="0"/>
          <w:iCs w:val="0"/>
          <w:caps w:val="0"/>
          <w:color w:val="000000"/>
          <w:spacing w:val="0"/>
          <w:sz w:val="32"/>
          <w:szCs w:val="32"/>
          <w:u w:val="none"/>
          <w:shd w:val="clear" w:fill="FFFFFF"/>
          <w:lang w:val="en-US" w:eastAsia="zh-CN"/>
        </w:rPr>
        <w:t>低于80</w:t>
      </w:r>
      <w:r>
        <w:rPr>
          <w:rFonts w:hint="eastAsia" w:ascii="仿宋" w:hAnsi="仿宋" w:eastAsia="仿宋" w:cs="仿宋"/>
          <w:i w:val="0"/>
          <w:iCs w:val="0"/>
          <w:caps w:val="0"/>
          <w:color w:val="000000"/>
          <w:spacing w:val="0"/>
          <w:sz w:val="32"/>
          <w:szCs w:val="32"/>
          <w:u w:val="none"/>
          <w:shd w:val="clear" w:fill="FFFFFF"/>
        </w:rPr>
        <w:t>分</w:t>
      </w:r>
      <w:r>
        <w:rPr>
          <w:rFonts w:hint="eastAsia" w:ascii="仿宋" w:hAnsi="仿宋" w:eastAsia="仿宋" w:cs="仿宋"/>
          <w:i w:val="0"/>
          <w:iCs w:val="0"/>
          <w:caps w:val="0"/>
          <w:color w:val="000000"/>
          <w:spacing w:val="0"/>
          <w:sz w:val="32"/>
          <w:szCs w:val="32"/>
          <w:u w:val="none"/>
          <w:shd w:val="clear" w:fill="FFFFFF"/>
          <w:lang w:val="en-US" w:eastAsia="zh-CN"/>
        </w:rPr>
        <w:t>评价</w:t>
      </w:r>
      <w:r>
        <w:rPr>
          <w:rFonts w:hint="eastAsia" w:ascii="仿宋" w:hAnsi="仿宋" w:eastAsia="仿宋" w:cs="仿宋"/>
          <w:i w:val="0"/>
          <w:iCs w:val="0"/>
          <w:caps w:val="0"/>
          <w:color w:val="000000"/>
          <w:spacing w:val="0"/>
          <w:sz w:val="32"/>
          <w:szCs w:val="32"/>
          <w:u w:val="none"/>
          <w:shd w:val="clear" w:fill="FFFFFF"/>
        </w:rPr>
        <w:t>为</w:t>
      </w:r>
      <w:r>
        <w:rPr>
          <w:rFonts w:hint="eastAsia" w:ascii="仿宋" w:hAnsi="仿宋" w:eastAsia="仿宋" w:cs="仿宋"/>
          <w:i w:val="0"/>
          <w:iCs w:val="0"/>
          <w:caps w:val="0"/>
          <w:color w:val="000000"/>
          <w:spacing w:val="0"/>
          <w:sz w:val="32"/>
          <w:szCs w:val="32"/>
          <w:u w:val="none"/>
          <w:shd w:val="clear" w:fill="FFFFFF"/>
          <w:lang w:val="en-US" w:eastAsia="zh-CN"/>
        </w:rPr>
        <w:t>中等</w:t>
      </w:r>
      <w:r>
        <w:rPr>
          <w:rFonts w:hint="eastAsia" w:ascii="仿宋" w:hAnsi="仿宋" w:eastAsia="仿宋" w:cs="仿宋"/>
          <w:i w:val="0"/>
          <w:iCs w:val="0"/>
          <w:caps w:val="0"/>
          <w:color w:val="000000"/>
          <w:spacing w:val="0"/>
          <w:sz w:val="32"/>
          <w:szCs w:val="32"/>
          <w:u w:val="none"/>
          <w:shd w:val="clear" w:fill="FFFFFF"/>
        </w:rPr>
        <w:t>；得分在60分以下</w:t>
      </w:r>
      <w:r>
        <w:rPr>
          <w:rFonts w:hint="eastAsia" w:ascii="仿宋" w:hAnsi="仿宋" w:eastAsia="仿宋" w:cs="仿宋"/>
          <w:i w:val="0"/>
          <w:iCs w:val="0"/>
          <w:caps w:val="0"/>
          <w:color w:val="000000"/>
          <w:spacing w:val="0"/>
          <w:sz w:val="32"/>
          <w:szCs w:val="32"/>
          <w:u w:val="none"/>
          <w:shd w:val="clear" w:fill="FFFFFF"/>
          <w:lang w:val="en-US" w:eastAsia="zh-CN"/>
        </w:rPr>
        <w:t>评价</w:t>
      </w:r>
      <w:r>
        <w:rPr>
          <w:rFonts w:hint="eastAsia" w:ascii="仿宋" w:hAnsi="仿宋" w:eastAsia="仿宋" w:cs="仿宋"/>
          <w:i w:val="0"/>
          <w:iCs w:val="0"/>
          <w:caps w:val="0"/>
          <w:color w:val="000000"/>
          <w:spacing w:val="0"/>
          <w:sz w:val="32"/>
          <w:szCs w:val="32"/>
          <w:u w:val="none"/>
          <w:shd w:val="clear" w:fill="FFFFFF"/>
        </w:rPr>
        <w:t>为</w:t>
      </w:r>
      <w:r>
        <w:rPr>
          <w:rFonts w:hint="eastAsia" w:ascii="仿宋" w:hAnsi="仿宋" w:eastAsia="仿宋" w:cs="仿宋"/>
          <w:i w:val="0"/>
          <w:iCs w:val="0"/>
          <w:caps w:val="0"/>
          <w:color w:val="000000"/>
          <w:spacing w:val="0"/>
          <w:sz w:val="32"/>
          <w:szCs w:val="32"/>
          <w:u w:val="none"/>
          <w:shd w:val="clear" w:fill="FFFFFF"/>
          <w:lang w:val="en-US" w:eastAsia="zh-CN"/>
        </w:rPr>
        <w:t>较</w:t>
      </w:r>
      <w:r>
        <w:rPr>
          <w:rFonts w:hint="eastAsia" w:ascii="仿宋" w:hAnsi="仿宋" w:eastAsia="仿宋" w:cs="仿宋"/>
          <w:i w:val="0"/>
          <w:iCs w:val="0"/>
          <w:caps w:val="0"/>
          <w:color w:val="000000"/>
          <w:spacing w:val="0"/>
          <w:sz w:val="32"/>
          <w:szCs w:val="32"/>
          <w:u w:val="none"/>
          <w:shd w:val="clear" w:fill="FFFFFF"/>
          <w:lang w:eastAsia="zh-CN"/>
        </w:rPr>
        <w:t>差</w:t>
      </w:r>
      <w:r>
        <w:rPr>
          <w:rFonts w:hint="eastAsia" w:ascii="仿宋" w:hAnsi="仿宋" w:eastAsia="仿宋" w:cs="仿宋"/>
          <w:i w:val="0"/>
          <w:iCs w:val="0"/>
          <w:caps w:val="0"/>
          <w:color w:val="000000"/>
          <w:spacing w:val="0"/>
          <w:sz w:val="32"/>
          <w:szCs w:val="32"/>
          <w:u w:val="none"/>
          <w:shd w:val="clear" w:fill="FFFFFF"/>
        </w:rPr>
        <w:t>。</w:t>
      </w:r>
    </w:p>
    <w:p w14:paraId="66B46D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2.绩效评价结论</w:t>
      </w:r>
    </w:p>
    <w:p w14:paraId="64D50FEB">
      <w:pPr>
        <w:pStyle w:val="1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 w:hAnsi="仿宋" w:eastAsia="仿宋" w:cs="仿宋"/>
          <w:b/>
          <w:bCs/>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自评得分100分，部门整体支出绩效评价综合得分87分，等级为“良好”。2024年区科协</w:t>
      </w:r>
      <w:r>
        <w:rPr>
          <w:rFonts w:hint="eastAsia" w:ascii="仿宋" w:hAnsi="仿宋" w:eastAsia="仿宋" w:cs="仿宋"/>
          <w:b/>
          <w:bCs/>
          <w:i w:val="0"/>
          <w:iCs w:val="0"/>
          <w:caps w:val="0"/>
          <w:color w:val="000000"/>
          <w:spacing w:val="0"/>
          <w:sz w:val="32"/>
          <w:szCs w:val="32"/>
          <w:u w:val="none"/>
          <w:shd w:val="clear" w:fill="FFFFFF"/>
          <w:lang w:val="en-US" w:eastAsia="zh-CN"/>
        </w:rPr>
        <w:t>预算调整率为56.85%，预算整体执行率为100.00%，人员控制率为40.00%。</w:t>
      </w:r>
      <w:r>
        <w:rPr>
          <w:rFonts w:hint="eastAsia" w:ascii="仿宋" w:hAnsi="仿宋" w:eastAsia="仿宋" w:cs="仿宋"/>
          <w:b w:val="0"/>
          <w:bCs w:val="0"/>
          <w:i w:val="0"/>
          <w:iCs w:val="0"/>
          <w:caps w:val="0"/>
          <w:color w:val="000000"/>
          <w:spacing w:val="0"/>
          <w:sz w:val="32"/>
          <w:szCs w:val="32"/>
          <w:u w:val="none"/>
          <w:shd w:val="clear" w:fill="FFFFFF"/>
          <w:lang w:val="en-US" w:eastAsia="zh-CN"/>
        </w:rPr>
        <w:t>2024年度，区科协在履行人道使命上成果丰硕，实现了救助行动的精准高效，实现了应急普及的扩面提质，实现了社会动员的零的突破。</w:t>
      </w:r>
      <w:r>
        <w:rPr>
          <w:rFonts w:hint="eastAsia" w:ascii="仿宋" w:hAnsi="仿宋" w:eastAsia="仿宋" w:cs="仿宋"/>
          <w:b/>
          <w:bCs/>
          <w:i w:val="0"/>
          <w:iCs w:val="0"/>
          <w:caps w:val="0"/>
          <w:color w:val="000000"/>
          <w:spacing w:val="0"/>
          <w:sz w:val="32"/>
          <w:szCs w:val="32"/>
          <w:u w:val="none"/>
          <w:shd w:val="clear" w:fill="FFFFFF"/>
          <w:lang w:val="en-US" w:eastAsia="zh-CN"/>
        </w:rPr>
        <w:t>人道救助精准有力：</w:t>
      </w:r>
      <w:r>
        <w:rPr>
          <w:rFonts w:hint="eastAsia" w:ascii="仿宋" w:hAnsi="仿宋" w:eastAsia="仿宋" w:cs="仿宋"/>
          <w:b w:val="0"/>
          <w:bCs w:val="0"/>
          <w:i w:val="0"/>
          <w:iCs w:val="0"/>
          <w:caps w:val="0"/>
          <w:color w:val="000000"/>
          <w:spacing w:val="0"/>
          <w:sz w:val="32"/>
          <w:szCs w:val="32"/>
          <w:u w:val="none"/>
          <w:shd w:val="clear" w:fill="FFFFFF"/>
          <w:lang w:val="en-US" w:eastAsia="zh-CN"/>
        </w:rPr>
        <w:t>成功救助3名重大疾病儿童，救助成功率100%，历史救助对象全部康复；走访慰问困难群众55户，彰显人道温度。</w:t>
      </w:r>
      <w:r>
        <w:rPr>
          <w:rFonts w:hint="eastAsia" w:ascii="仿宋" w:hAnsi="仿宋" w:eastAsia="仿宋" w:cs="仿宋"/>
          <w:b/>
          <w:bCs/>
          <w:i w:val="0"/>
          <w:iCs w:val="0"/>
          <w:caps w:val="0"/>
          <w:color w:val="000000"/>
          <w:spacing w:val="0"/>
          <w:sz w:val="32"/>
          <w:szCs w:val="32"/>
          <w:u w:val="none"/>
          <w:shd w:val="clear" w:fill="FFFFFF"/>
          <w:lang w:val="en-US" w:eastAsia="zh-CN"/>
        </w:rPr>
        <w:t>生命工程扎实推进：</w:t>
      </w:r>
      <w:r>
        <w:rPr>
          <w:rFonts w:hint="eastAsia" w:ascii="仿宋" w:hAnsi="仿宋" w:eastAsia="仿宋" w:cs="仿宋"/>
          <w:b w:val="0"/>
          <w:bCs w:val="0"/>
          <w:i w:val="0"/>
          <w:iCs w:val="0"/>
          <w:caps w:val="0"/>
          <w:color w:val="000000"/>
          <w:spacing w:val="0"/>
          <w:sz w:val="32"/>
          <w:szCs w:val="32"/>
          <w:u w:val="none"/>
          <w:shd w:val="clear" w:fill="FFFFFF"/>
          <w:lang w:val="en-US" w:eastAsia="zh-CN"/>
        </w:rPr>
        <w:t>成功储备35份器官及5份造血干细胞捐献资源，为生命接力奠定坚实基础。</w:t>
      </w:r>
      <w:r>
        <w:rPr>
          <w:rFonts w:hint="eastAsia" w:ascii="仿宋" w:hAnsi="仿宋" w:eastAsia="仿宋" w:cs="仿宋"/>
          <w:b/>
          <w:bCs/>
          <w:i w:val="0"/>
          <w:iCs w:val="0"/>
          <w:caps w:val="0"/>
          <w:color w:val="000000"/>
          <w:spacing w:val="0"/>
          <w:sz w:val="32"/>
          <w:szCs w:val="32"/>
          <w:u w:val="none"/>
          <w:shd w:val="clear" w:fill="FFFFFF"/>
          <w:lang w:val="en-US" w:eastAsia="zh-CN"/>
        </w:rPr>
        <w:t>应急救护深入人心：</w:t>
      </w:r>
      <w:r>
        <w:rPr>
          <w:rFonts w:hint="eastAsia" w:ascii="仿宋" w:hAnsi="仿宋" w:eastAsia="仿宋" w:cs="仿宋"/>
          <w:b w:val="0"/>
          <w:bCs w:val="0"/>
          <w:i w:val="0"/>
          <w:iCs w:val="0"/>
          <w:caps w:val="0"/>
          <w:color w:val="000000"/>
          <w:spacing w:val="0"/>
          <w:sz w:val="32"/>
          <w:szCs w:val="32"/>
          <w:u w:val="none"/>
          <w:shd w:val="clear" w:fill="FFFFFF"/>
          <w:lang w:val="en-US" w:eastAsia="zh-CN"/>
        </w:rPr>
        <w:t>开展培训宣传12场，新增持证救护员52名，受益群众数以万计，公众应急能力显著提升。</w:t>
      </w:r>
      <w:r>
        <w:rPr>
          <w:rFonts w:hint="eastAsia" w:ascii="仿宋" w:hAnsi="仿宋" w:eastAsia="仿宋" w:cs="仿宋"/>
          <w:b/>
          <w:bCs/>
          <w:i w:val="0"/>
          <w:iCs w:val="0"/>
          <w:caps w:val="0"/>
          <w:color w:val="000000"/>
          <w:spacing w:val="0"/>
          <w:sz w:val="32"/>
          <w:szCs w:val="32"/>
          <w:u w:val="none"/>
          <w:shd w:val="clear" w:fill="FFFFFF"/>
          <w:lang w:val="en-US" w:eastAsia="zh-CN"/>
        </w:rPr>
        <w:t>项目阵地树立标杆：</w:t>
      </w:r>
      <w:r>
        <w:rPr>
          <w:rFonts w:hint="eastAsia" w:ascii="仿宋" w:hAnsi="仿宋" w:eastAsia="仿宋" w:cs="仿宋"/>
          <w:b w:val="0"/>
          <w:bCs w:val="0"/>
          <w:i w:val="0"/>
          <w:iCs w:val="0"/>
          <w:caps w:val="0"/>
          <w:color w:val="000000"/>
          <w:spacing w:val="0"/>
          <w:sz w:val="32"/>
          <w:szCs w:val="32"/>
          <w:u w:val="none"/>
          <w:shd w:val="clear" w:fill="FFFFFF"/>
          <w:lang w:val="en-US" w:eastAsia="zh-CN"/>
        </w:rPr>
        <w:t>“博爱家园”及多个应急救护站（基地）高标准建成投用，获省市级认可，实现了“资金效益与社会效益的最大化”。</w:t>
      </w:r>
      <w:r>
        <w:rPr>
          <w:rFonts w:hint="eastAsia" w:ascii="仿宋" w:hAnsi="仿宋" w:eastAsia="仿宋" w:cs="仿宋"/>
          <w:b/>
          <w:bCs/>
          <w:i w:val="0"/>
          <w:iCs w:val="0"/>
          <w:caps w:val="0"/>
          <w:color w:val="000000"/>
          <w:spacing w:val="0"/>
          <w:sz w:val="32"/>
          <w:szCs w:val="32"/>
          <w:u w:val="none"/>
          <w:shd w:val="clear" w:fill="FFFFFF"/>
          <w:lang w:val="en-US" w:eastAsia="zh-CN"/>
        </w:rPr>
        <w:t>社会筹资破冰启航：</w:t>
      </w:r>
      <w:r>
        <w:rPr>
          <w:rFonts w:hint="eastAsia" w:ascii="仿宋" w:hAnsi="仿宋" w:eastAsia="仿宋" w:cs="仿宋"/>
          <w:b w:val="0"/>
          <w:bCs w:val="0"/>
          <w:i w:val="0"/>
          <w:iCs w:val="0"/>
          <w:caps w:val="0"/>
          <w:color w:val="000000"/>
          <w:spacing w:val="0"/>
          <w:sz w:val="32"/>
          <w:szCs w:val="32"/>
          <w:u w:val="none"/>
          <w:shd w:val="clear" w:fill="FFFFFF"/>
          <w:lang w:val="en-US" w:eastAsia="zh-CN"/>
        </w:rPr>
        <w:t>首次众筹成功动员百余群众，为配置公共AED开辟了可持续的社会化路径。业务工作</w:t>
      </w:r>
      <w:r>
        <w:rPr>
          <w:rFonts w:hint="eastAsia" w:ascii="仿宋" w:hAnsi="仿宋" w:eastAsia="仿宋" w:cs="仿宋"/>
          <w:b/>
          <w:bCs/>
          <w:i w:val="0"/>
          <w:iCs w:val="0"/>
          <w:caps w:val="0"/>
          <w:color w:val="000000"/>
          <w:spacing w:val="0"/>
          <w:sz w:val="32"/>
          <w:szCs w:val="32"/>
          <w:u w:val="none"/>
          <w:shd w:val="clear" w:fill="FFFFFF"/>
          <w:lang w:val="en-US" w:eastAsia="zh-CN"/>
        </w:rPr>
        <w:t>“亮点纷呈”</w:t>
      </w:r>
      <w:r>
        <w:rPr>
          <w:rFonts w:hint="eastAsia" w:ascii="仿宋" w:hAnsi="仿宋" w:eastAsia="仿宋" w:cs="仿宋"/>
          <w:b w:val="0"/>
          <w:bCs w:val="0"/>
          <w:i w:val="0"/>
          <w:iCs w:val="0"/>
          <w:caps w:val="0"/>
          <w:color w:val="000000"/>
          <w:spacing w:val="0"/>
          <w:sz w:val="32"/>
          <w:szCs w:val="32"/>
          <w:u w:val="none"/>
          <w:shd w:val="clear" w:fill="FFFFFF"/>
          <w:lang w:val="en-US" w:eastAsia="zh-CN"/>
        </w:rPr>
        <w:t>，但在预算配置与执行方面、管理程序方面及人员经费管理方面存在不足，在预算精准化、程序规范化、管理精细化和效益长效化方面仍有提升空间。建议补短板、强弱项，推动区科协工作绩效管理水平再上新台阶。</w:t>
      </w:r>
    </w:p>
    <w:p w14:paraId="5F9D58C6">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sz w:val="32"/>
          <w:szCs w:val="32"/>
          <w:lang w:eastAsia="zh-CN"/>
        </w:rPr>
      </w:pPr>
      <w:bookmarkStart w:id="52" w:name="_Toc24710"/>
      <w:r>
        <w:rPr>
          <w:rFonts w:hint="eastAsia" w:ascii="黑体" w:hAnsi="黑体" w:eastAsia="黑体" w:cs="黑体"/>
          <w:sz w:val="32"/>
          <w:szCs w:val="32"/>
          <w:lang w:val="en-US" w:eastAsia="zh-CN"/>
        </w:rPr>
        <w:t>主要</w:t>
      </w:r>
      <w:r>
        <w:rPr>
          <w:rFonts w:hint="eastAsia" w:ascii="黑体" w:hAnsi="黑体" w:eastAsia="黑体" w:cs="黑体"/>
          <w:sz w:val="32"/>
          <w:szCs w:val="32"/>
          <w:lang w:eastAsia="zh-CN"/>
        </w:rPr>
        <w:t>问题与改进建议</w:t>
      </w:r>
      <w:bookmarkEnd w:id="52"/>
    </w:p>
    <w:p w14:paraId="7BB230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z w:val="32"/>
          <w:szCs w:val="32"/>
          <w:lang w:val="en-US" w:eastAsia="zh-CN"/>
        </w:rPr>
      </w:pPr>
      <w:bookmarkStart w:id="53" w:name="_Toc25526"/>
      <w:r>
        <w:rPr>
          <w:rFonts w:hint="eastAsia" w:ascii="楷体" w:hAnsi="楷体" w:eastAsia="楷体" w:cs="楷体"/>
          <w:b/>
          <w:bCs/>
          <w:sz w:val="32"/>
          <w:szCs w:val="32"/>
          <w:lang w:val="en-US" w:eastAsia="zh-CN"/>
        </w:rPr>
        <w:t>（一）预算配置与执行方面存在的问题及建议</w:t>
      </w:r>
      <w:bookmarkEnd w:id="53"/>
    </w:p>
    <w:p w14:paraId="1B5D0D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1.存在基本支出挤占项目支出的情况。</w:t>
      </w:r>
    </w:p>
    <w:p w14:paraId="439C9F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预算法》第十三条。各级政府、各部门、各单位的支出必须以经批准的预算为依据，未列入预算的不得支出。核心解读：预算一经人大批准，即具有法律效力。基本支出和项目支出是法定的、不同用途的预算科目，相互之间不能随意流用。将项目资金用于基本支出，相当于篡改了经法律程序批准的预算案，违反了预算的刚性约束原则。</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上述违反了《预算法实施条例》进一步细化了预算执行的要求，强调要严格按预算用途使用资金。</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上述违反了《项目支出绩效管理办法》、《专项资金管理办法》。项目资金必须“专款专用”。将项目资金用于发放人员工资、支付运转费用等基本开支，直接违反了“专款专用”规定。</w:t>
      </w:r>
      <w:r>
        <w:rPr>
          <w:rFonts w:hint="eastAsia" w:ascii="仿宋" w:hAnsi="仿宋" w:eastAsia="仿宋" w:cs="仿宋"/>
          <w:b/>
          <w:bCs/>
          <w:sz w:val="32"/>
          <w:szCs w:val="32"/>
          <w:lang w:val="en-US" w:eastAsia="zh-CN"/>
        </w:rPr>
        <w:t>原因分析如下：一是基本支出保障不足。</w:t>
      </w:r>
      <w:r>
        <w:rPr>
          <w:rFonts w:hint="eastAsia" w:ascii="仿宋" w:hAnsi="仿宋" w:eastAsia="仿宋" w:cs="仿宋"/>
          <w:b w:val="0"/>
          <w:bCs w:val="0"/>
          <w:sz w:val="32"/>
          <w:szCs w:val="32"/>
          <w:lang w:val="en-US" w:eastAsia="zh-CN"/>
        </w:rPr>
        <w:t>最常见的根源。编制内人员经费和公用经费定额标准偏低，无法覆盖实际运行成本，</w:t>
      </w:r>
      <w:r>
        <w:rPr>
          <w:rFonts w:hint="eastAsia" w:ascii="仿宋" w:hAnsi="仿宋" w:eastAsia="仿宋" w:cs="仿宋"/>
          <w:b/>
          <w:bCs/>
          <w:sz w:val="32"/>
          <w:szCs w:val="32"/>
          <w:lang w:val="en-US" w:eastAsia="zh-CN"/>
        </w:rPr>
        <w:t>“钱不够花”</w:t>
      </w:r>
      <w:r>
        <w:rPr>
          <w:rFonts w:hint="eastAsia" w:ascii="仿宋" w:hAnsi="仿宋" w:eastAsia="仿宋" w:cs="仿宋"/>
          <w:b w:val="0"/>
          <w:bCs w:val="0"/>
          <w:sz w:val="32"/>
          <w:szCs w:val="32"/>
          <w:lang w:val="en-US" w:eastAsia="zh-CN"/>
        </w:rPr>
        <w:t>。</w:t>
      </w:r>
      <w:r>
        <w:rPr>
          <w:rFonts w:hint="eastAsia" w:ascii="仿宋" w:hAnsi="仿宋" w:eastAsia="仿宋" w:cs="仿宋"/>
          <w:b/>
          <w:bCs/>
          <w:sz w:val="32"/>
          <w:szCs w:val="32"/>
          <w:lang w:val="en-US" w:eastAsia="zh-CN"/>
        </w:rPr>
        <w:t>二是预算编制不科学。</w:t>
      </w:r>
      <w:r>
        <w:rPr>
          <w:rFonts w:hint="eastAsia" w:ascii="仿宋" w:hAnsi="仿宋" w:eastAsia="仿宋" w:cs="仿宋"/>
          <w:b w:val="0"/>
          <w:bCs w:val="0"/>
          <w:sz w:val="32"/>
          <w:szCs w:val="32"/>
          <w:lang w:val="en-US" w:eastAsia="zh-CN"/>
        </w:rPr>
        <w:t>项目支出预算相比基本支出更容易获批，且预算额度可能更宽松。</w:t>
      </w:r>
      <w:r>
        <w:rPr>
          <w:rFonts w:hint="eastAsia" w:ascii="仿宋" w:hAnsi="仿宋" w:eastAsia="仿宋" w:cs="仿宋"/>
          <w:b/>
          <w:bCs/>
          <w:sz w:val="32"/>
          <w:szCs w:val="32"/>
          <w:lang w:val="en-US" w:eastAsia="zh-CN"/>
        </w:rPr>
        <w:t>三是内部控制薄弱。</w:t>
      </w:r>
      <w:r>
        <w:rPr>
          <w:rFonts w:hint="eastAsia" w:ascii="仿宋" w:hAnsi="仿宋" w:eastAsia="仿宋" w:cs="仿宋"/>
          <w:b w:val="0"/>
          <w:bCs w:val="0"/>
          <w:sz w:val="32"/>
          <w:szCs w:val="32"/>
          <w:lang w:val="en-US" w:eastAsia="zh-CN"/>
        </w:rPr>
        <w:t>单位内部财务管理制度不健全，审批流程形同虚设，财务人员监督乏力。</w:t>
      </w:r>
    </w:p>
    <w:p w14:paraId="076895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建议：</w:t>
      </w:r>
      <w:r>
        <w:rPr>
          <w:rFonts w:hint="eastAsia" w:ascii="仿宋" w:hAnsi="仿宋" w:eastAsia="仿宋" w:cs="仿宋"/>
          <w:b w:val="0"/>
          <w:bCs w:val="0"/>
          <w:sz w:val="32"/>
          <w:szCs w:val="32"/>
          <w:lang w:val="en-US" w:eastAsia="zh-CN"/>
        </w:rPr>
        <w:t>解决基本支出挤占项目支出现象需要</w:t>
      </w:r>
      <w:r>
        <w:rPr>
          <w:rFonts w:hint="eastAsia" w:ascii="仿宋" w:hAnsi="仿宋" w:eastAsia="仿宋" w:cs="仿宋"/>
          <w:b/>
          <w:bCs/>
          <w:sz w:val="32"/>
          <w:szCs w:val="32"/>
          <w:lang w:val="en-US" w:eastAsia="zh-CN"/>
        </w:rPr>
        <w:t>顶层设计（财政保障）、过程监管（技术+人工）和单位自律（内控+观念）三</w:t>
      </w:r>
      <w:r>
        <w:rPr>
          <w:rFonts w:hint="eastAsia" w:ascii="仿宋" w:hAnsi="仿宋" w:eastAsia="仿宋" w:cs="仿宋"/>
          <w:b w:val="0"/>
          <w:bCs w:val="0"/>
          <w:sz w:val="32"/>
          <w:szCs w:val="32"/>
          <w:lang w:val="en-US" w:eastAsia="zh-CN"/>
        </w:rPr>
        <w:t>管齐下，从“堵后门”和“开前门”两个方向入手，既要</w:t>
      </w:r>
      <w:r>
        <w:rPr>
          <w:rFonts w:hint="eastAsia" w:ascii="仿宋" w:hAnsi="仿宋" w:eastAsia="仿宋" w:cs="仿宋"/>
          <w:b/>
          <w:bCs/>
          <w:sz w:val="32"/>
          <w:szCs w:val="32"/>
          <w:lang w:val="en-US" w:eastAsia="zh-CN"/>
        </w:rPr>
        <w:t>严厉禁止</w:t>
      </w:r>
      <w:r>
        <w:rPr>
          <w:rFonts w:hint="eastAsia" w:ascii="仿宋" w:hAnsi="仿宋" w:eastAsia="仿宋" w:cs="仿宋"/>
          <w:b w:val="0"/>
          <w:bCs w:val="0"/>
          <w:sz w:val="32"/>
          <w:szCs w:val="32"/>
          <w:lang w:val="en-US" w:eastAsia="zh-CN"/>
        </w:rPr>
        <w:t>，也要</w:t>
      </w:r>
      <w:r>
        <w:rPr>
          <w:rFonts w:hint="eastAsia" w:ascii="仿宋" w:hAnsi="仿宋" w:eastAsia="仿宋" w:cs="仿宋"/>
          <w:b/>
          <w:bCs/>
          <w:sz w:val="32"/>
          <w:szCs w:val="32"/>
          <w:lang w:val="en-US" w:eastAsia="zh-CN"/>
        </w:rPr>
        <w:t>疏导根源，</w:t>
      </w:r>
      <w:r>
        <w:rPr>
          <w:rFonts w:hint="eastAsia" w:ascii="仿宋" w:hAnsi="仿宋" w:eastAsia="仿宋" w:cs="仿宋"/>
          <w:b w:val="0"/>
          <w:bCs w:val="0"/>
          <w:sz w:val="32"/>
          <w:szCs w:val="32"/>
          <w:lang w:val="en-US" w:eastAsia="zh-CN"/>
        </w:rPr>
        <w:t>从根本上遏制这一现象，确保财政资金的安全、规范和有效使用。</w:t>
      </w:r>
      <w:r>
        <w:rPr>
          <w:rFonts w:hint="eastAsia" w:ascii="仿宋" w:hAnsi="仿宋" w:eastAsia="仿宋" w:cs="仿宋"/>
          <w:b/>
          <w:bCs/>
          <w:sz w:val="32"/>
          <w:szCs w:val="32"/>
          <w:lang w:val="en-US" w:eastAsia="zh-CN"/>
        </w:rPr>
        <w:t>一是强化预算编制与审核，从源头杜绝“可能性”。A科学核定基本支出。</w:t>
      </w:r>
      <w:r>
        <w:rPr>
          <w:rFonts w:hint="eastAsia" w:ascii="仿宋" w:hAnsi="仿宋" w:eastAsia="仿宋" w:cs="仿宋"/>
          <w:b w:val="0"/>
          <w:bCs w:val="0"/>
          <w:sz w:val="32"/>
          <w:szCs w:val="32"/>
          <w:lang w:val="en-US" w:eastAsia="zh-CN"/>
        </w:rPr>
        <w:t>建立动态调整机制，使人员经费和公用经费定额标准更加贴合实际，确保机构正常运转的合理需求。</w:t>
      </w:r>
      <w:r>
        <w:rPr>
          <w:rFonts w:hint="eastAsia" w:ascii="仿宋" w:hAnsi="仿宋" w:eastAsia="仿宋" w:cs="仿宋"/>
          <w:b/>
          <w:bCs/>
          <w:sz w:val="32"/>
          <w:szCs w:val="32"/>
          <w:lang w:val="en-US" w:eastAsia="zh-CN"/>
        </w:rPr>
        <w:t>B严格项目库管理。</w:t>
      </w:r>
      <w:r>
        <w:rPr>
          <w:rFonts w:hint="eastAsia" w:ascii="仿宋" w:hAnsi="仿宋" w:eastAsia="仿宋" w:cs="仿宋"/>
          <w:b w:val="0"/>
          <w:bCs w:val="0"/>
          <w:sz w:val="32"/>
          <w:szCs w:val="32"/>
          <w:lang w:val="en-US" w:eastAsia="zh-CN"/>
        </w:rPr>
        <w:t>推行“项目入库、预算编细、滚动管理”。在预算编制阶段，组织专家对项目的必要性、可行性、预算合理性进行严格评审，剔除项目中隐含的“人员费”、“运转费”等不属于项目开支范围的内容。</w:t>
      </w:r>
      <w:r>
        <w:rPr>
          <w:rFonts w:hint="eastAsia" w:ascii="仿宋" w:hAnsi="仿宋" w:eastAsia="仿宋" w:cs="仿宋"/>
          <w:b/>
          <w:bCs/>
          <w:sz w:val="32"/>
          <w:szCs w:val="32"/>
          <w:lang w:val="en-US" w:eastAsia="zh-CN"/>
        </w:rPr>
        <w:t>C推广“零基预算”理念。</w:t>
      </w:r>
      <w:r>
        <w:rPr>
          <w:rFonts w:hint="eastAsia" w:ascii="仿宋" w:hAnsi="仿宋" w:eastAsia="仿宋" w:cs="仿宋"/>
          <w:b w:val="0"/>
          <w:bCs w:val="0"/>
          <w:sz w:val="32"/>
          <w:szCs w:val="32"/>
          <w:lang w:val="en-US" w:eastAsia="zh-CN"/>
        </w:rPr>
        <w:t>打破“基数+增长”的预算模式，每年根据实际需求和绩效目标重新审核所有支出，避免不合理支出的固化。</w:t>
      </w:r>
      <w:r>
        <w:rPr>
          <w:rFonts w:hint="eastAsia" w:ascii="仿宋" w:hAnsi="仿宋" w:eastAsia="仿宋" w:cs="仿宋"/>
          <w:b/>
          <w:bCs/>
          <w:sz w:val="32"/>
          <w:szCs w:val="32"/>
          <w:lang w:val="en-US" w:eastAsia="zh-CN"/>
        </w:rPr>
        <w:t>二是加强执行监控与预警，从事中“早发现”。A利用技术手段。</w:t>
      </w:r>
      <w:r>
        <w:rPr>
          <w:rFonts w:hint="eastAsia" w:ascii="仿宋" w:hAnsi="仿宋" w:eastAsia="仿宋" w:cs="仿宋"/>
          <w:b w:val="0"/>
          <w:bCs w:val="0"/>
          <w:sz w:val="32"/>
          <w:szCs w:val="32"/>
          <w:lang w:val="en-US" w:eastAsia="zh-CN"/>
        </w:rPr>
        <w:t>在预算管理一体化系统中设置预警规则。当单位账务中出现“项目支出-人员经费”等敏感科目时，系统自动报警并推送至财政和主管部门。</w:t>
      </w:r>
      <w:r>
        <w:rPr>
          <w:rFonts w:hint="eastAsia" w:ascii="仿宋" w:hAnsi="仿宋" w:eastAsia="仿宋" w:cs="仿宋"/>
          <w:b/>
          <w:bCs/>
          <w:sz w:val="32"/>
          <w:szCs w:val="32"/>
          <w:lang w:val="en-US" w:eastAsia="zh-CN"/>
        </w:rPr>
        <w:t>B实施重点监控。</w:t>
      </w:r>
      <w:r>
        <w:rPr>
          <w:rFonts w:hint="eastAsia" w:ascii="仿宋" w:hAnsi="仿宋" w:eastAsia="仿宋" w:cs="仿宋"/>
          <w:b w:val="0"/>
          <w:bCs w:val="0"/>
          <w:sz w:val="32"/>
          <w:szCs w:val="32"/>
          <w:lang w:val="en-US" w:eastAsia="zh-CN"/>
        </w:rPr>
        <w:t>对曾有违规记录或风险较高的单位以及金额重大的项目进行重点监控和动态跟踪。</w:t>
      </w:r>
      <w:r>
        <w:rPr>
          <w:rFonts w:hint="eastAsia" w:ascii="仿宋" w:hAnsi="仿宋" w:eastAsia="仿宋" w:cs="仿宋"/>
          <w:b/>
          <w:bCs/>
          <w:sz w:val="32"/>
          <w:szCs w:val="32"/>
          <w:lang w:val="en-US" w:eastAsia="zh-CN"/>
        </w:rPr>
        <w:t>三是树立正确的预算绩效观念。</w:t>
      </w:r>
      <w:r>
        <w:rPr>
          <w:rFonts w:hint="eastAsia" w:ascii="仿宋" w:hAnsi="仿宋" w:eastAsia="仿宋" w:cs="仿宋"/>
          <w:b w:val="0"/>
          <w:bCs w:val="0"/>
          <w:sz w:val="32"/>
          <w:szCs w:val="32"/>
          <w:lang w:val="en-US" w:eastAsia="zh-CN"/>
        </w:rPr>
        <w:t>单位领导应带头学习《中华人民共和国预算法》等法律法规，牢固树立“预算是法、专款专用”的意识，明确挤占项目资金是“红线”、“高压线”。</w:t>
      </w:r>
      <w:r>
        <w:rPr>
          <w:rFonts w:hint="eastAsia" w:ascii="仿宋" w:hAnsi="仿宋" w:eastAsia="仿宋" w:cs="仿宋"/>
          <w:b/>
          <w:bCs/>
          <w:sz w:val="32"/>
          <w:szCs w:val="32"/>
          <w:lang w:val="en-US" w:eastAsia="zh-CN"/>
        </w:rPr>
        <w:t>四是健全内部控制系统。</w:t>
      </w:r>
      <w:r>
        <w:rPr>
          <w:rFonts w:hint="eastAsia" w:ascii="仿宋" w:hAnsi="仿宋" w:eastAsia="仿宋" w:cs="仿宋"/>
          <w:b w:val="0"/>
          <w:bCs w:val="0"/>
          <w:sz w:val="32"/>
          <w:szCs w:val="32"/>
          <w:lang w:val="en-US" w:eastAsia="zh-CN"/>
        </w:rPr>
        <w:t>明确岗位职责，确保财务岗位的独立性和监督职能。规范审批流程，所有项目资金支付必须经过严格审核，确保支出内容与项目预算完全一致。定期内部审计，单位内部应定期开展自查自纠，及时发现和纠正问题。</w:t>
      </w:r>
      <w:r>
        <w:rPr>
          <w:rFonts w:hint="eastAsia" w:ascii="仿宋" w:hAnsi="仿宋" w:eastAsia="仿宋" w:cs="仿宋"/>
          <w:b/>
          <w:bCs/>
          <w:sz w:val="32"/>
          <w:szCs w:val="32"/>
          <w:lang w:val="en-US" w:eastAsia="zh-CN"/>
        </w:rPr>
        <w:t>五是提高预算编制科学性。</w:t>
      </w:r>
      <w:r>
        <w:rPr>
          <w:rFonts w:hint="eastAsia" w:ascii="仿宋" w:hAnsi="仿宋" w:eastAsia="仿宋" w:cs="仿宋"/>
          <w:b w:val="0"/>
          <w:bCs w:val="0"/>
          <w:sz w:val="32"/>
          <w:szCs w:val="32"/>
          <w:lang w:val="en-US" w:eastAsia="zh-CN"/>
        </w:rPr>
        <w:t>实事求是地编制基本支出预算，充分反映运行需求。精准编制项目支出预算，确保每一项开支都直接服务于项目目标，避免“小项目、大预算”。</w:t>
      </w:r>
      <w:r>
        <w:rPr>
          <w:rFonts w:hint="eastAsia" w:ascii="仿宋" w:hAnsi="仿宋" w:eastAsia="仿宋" w:cs="仿宋"/>
          <w:b/>
          <w:bCs/>
          <w:sz w:val="32"/>
          <w:szCs w:val="32"/>
          <w:lang w:val="en-US" w:eastAsia="zh-CN"/>
        </w:rPr>
        <w:t>六是主动报告与沟通。</w:t>
      </w:r>
      <w:r>
        <w:rPr>
          <w:rFonts w:hint="eastAsia" w:ascii="仿宋" w:hAnsi="仿宋" w:eastAsia="仿宋" w:cs="仿宋"/>
          <w:b w:val="0"/>
          <w:bCs w:val="0"/>
          <w:sz w:val="32"/>
          <w:szCs w:val="32"/>
          <w:lang w:val="en-US" w:eastAsia="zh-CN"/>
        </w:rPr>
        <w:t>如果确实因政策性因素等导致基本支出出现巨大缺口，应通过正式渠道向财政和主管部门申请调整预算或追加经费。</w:t>
      </w:r>
    </w:p>
    <w:p w14:paraId="498F7B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未提供以下管理制度。如预算管理制度，内部控制制度，政府采购管理制度，国有资产管理制度，合同管理制度，专项资金管理办法，绩效管理制度，信息化管理制度，决算与财务报告制度，监督与审计制度，工会管理制度等。</w:t>
      </w:r>
    </w:p>
    <w:p w14:paraId="0AF387C4">
      <w:pPr>
        <w:pStyle w:val="5"/>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预算法》及其实施条例。预算法要求各级政府、各部门、各单位必须编制预算，并严格执行预算。预算管理制度、决算与财务报告制度的缺失，直接导致预算编制无章可循、执行过程失控、决算信息失真，无法满足预算法对预算管理全流程的法定要求。</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行政事业性国有资产管理条例》（国务院令第738号）。该条例明确规定行政事业单位应当建立健全资产管理制度。国有资产管理制度的缺失，导致资产从配置、使用到处置等环节缺乏规范，极易造成国有资产流失或使用效率低下。</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财政部《行政事业单位内部控制规范（试行）》（财会〔2012〕21号）。这是最直接、最全面的违规依据。该规范强制要求单位建立并实施内部控制制度，以防范经济业务风险。上述清单中的绝大多数制度（如预算、采购、资产、合同、专项资金等管理制度）正是内部控制体系的核心组成部分。内部控制制度本身的缺失，更是直接违反了该规范的强制性要求。</w:t>
      </w:r>
      <w:r>
        <w:rPr>
          <w:rFonts w:hint="eastAsia" w:ascii="仿宋" w:hAnsi="仿宋" w:eastAsia="仿宋" w:cs="仿宋"/>
          <w:b/>
          <w:bCs/>
          <w:sz w:val="32"/>
          <w:szCs w:val="32"/>
          <w:lang w:val="en-US" w:eastAsia="zh-CN"/>
        </w:rPr>
        <w:t>相关政策4：</w:t>
      </w:r>
      <w:r>
        <w:rPr>
          <w:rFonts w:hint="eastAsia" w:ascii="仿宋" w:hAnsi="仿宋" w:eastAsia="仿宋" w:cs="仿宋"/>
          <w:b w:val="0"/>
          <w:bCs w:val="0"/>
          <w:sz w:val="32"/>
          <w:szCs w:val="32"/>
          <w:lang w:val="en-US" w:eastAsia="zh-CN"/>
        </w:rPr>
        <w:t>上述违反了中华人民共和国政府采购法》及其实施条例。</w:t>
      </w:r>
      <w:r>
        <w:rPr>
          <w:rFonts w:hint="eastAsia" w:ascii="仿宋" w:hAnsi="仿宋" w:eastAsia="仿宋" w:cs="仿宋"/>
          <w:b/>
          <w:bCs/>
          <w:sz w:val="32"/>
          <w:szCs w:val="32"/>
          <w:lang w:val="en-US" w:eastAsia="zh-CN"/>
        </w:rPr>
        <w:t>相关政策5：</w:t>
      </w:r>
      <w:r>
        <w:rPr>
          <w:rFonts w:hint="eastAsia" w:ascii="仿宋" w:hAnsi="仿宋" w:eastAsia="仿宋" w:cs="仿宋"/>
          <w:b w:val="0"/>
          <w:bCs w:val="0"/>
          <w:sz w:val="32"/>
          <w:szCs w:val="32"/>
          <w:lang w:val="en-US" w:eastAsia="zh-CN"/>
        </w:rPr>
        <w:t>上述违反了《中华人民共和国民法典》关于合同订立、履行、管理的基本原则，使单位面临巨大的法律和财务风险。</w:t>
      </w:r>
      <w:r>
        <w:rPr>
          <w:rFonts w:hint="eastAsia" w:ascii="仿宋" w:hAnsi="仿宋" w:eastAsia="仿宋" w:cs="仿宋"/>
          <w:b/>
          <w:bCs/>
          <w:sz w:val="32"/>
          <w:szCs w:val="32"/>
          <w:lang w:val="en-US" w:eastAsia="zh-CN"/>
        </w:rPr>
        <w:t>相关政策6：</w:t>
      </w:r>
      <w:r>
        <w:rPr>
          <w:rFonts w:hint="eastAsia" w:ascii="仿宋" w:hAnsi="仿宋" w:eastAsia="仿宋" w:cs="仿宋"/>
          <w:b w:val="0"/>
          <w:bCs w:val="0"/>
          <w:sz w:val="32"/>
          <w:szCs w:val="32"/>
          <w:lang w:val="en-US" w:eastAsia="zh-CN"/>
        </w:rPr>
        <w:t>上述违反了《关于全面实施预算绩效管理的意见》。该意见要求将绩效管理融入预算编制、执行、监督全过程。绩效管理制度的缺失，直接与“全面实施预算绩效管理”的国策相悖，导致资金使用不计效果、不讲效益。</w:t>
      </w:r>
      <w:r>
        <w:rPr>
          <w:rFonts w:hint="eastAsia" w:ascii="仿宋" w:hAnsi="仿宋" w:eastAsia="仿宋" w:cs="仿宋"/>
          <w:b/>
          <w:bCs/>
          <w:sz w:val="32"/>
          <w:szCs w:val="32"/>
          <w:lang w:val="en-US" w:eastAsia="zh-CN"/>
        </w:rPr>
        <w:t>相关政策7：</w:t>
      </w:r>
      <w:r>
        <w:rPr>
          <w:rFonts w:hint="eastAsia" w:ascii="仿宋" w:hAnsi="仿宋" w:eastAsia="仿宋" w:cs="仿宋"/>
          <w:b w:val="0"/>
          <w:bCs w:val="0"/>
          <w:sz w:val="32"/>
          <w:szCs w:val="32"/>
          <w:lang w:val="en-US" w:eastAsia="zh-CN"/>
        </w:rPr>
        <w:t>上述违反了《中华人民共和国审计法》。监督与审计制度的缺失，使得单位内部缺乏自我监督和问题预警机制，无法主动发现问题、纠正偏差，无法满足审计机关对单位建立健全内部审计制度的要求。</w:t>
      </w:r>
    </w:p>
    <w:p w14:paraId="22BE2A86">
      <w:pPr>
        <w:pStyle w:val="5"/>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建议：一是提高认识，明确责任。</w:t>
      </w:r>
      <w:r>
        <w:rPr>
          <w:rFonts w:hint="eastAsia" w:ascii="仿宋" w:hAnsi="仿宋" w:eastAsia="仿宋" w:cs="仿宋"/>
          <w:b w:val="0"/>
          <w:bCs w:val="0"/>
          <w:sz w:val="32"/>
          <w:szCs w:val="32"/>
          <w:lang w:val="en-US" w:eastAsia="zh-CN"/>
        </w:rPr>
        <w:t>单位主要负责人（“一把手”）必须高度重视，认识到建立健全管理制度是履行法定职责、保护干部、提高资金效益的根本要求。应成立由单位主要领导牵头，财务、资产、办公室、业务部门等共同参与的制度建设工作专班，明确分工和时限。</w:t>
      </w:r>
      <w:r>
        <w:rPr>
          <w:rFonts w:hint="eastAsia" w:ascii="仿宋" w:hAnsi="仿宋" w:eastAsia="仿宋" w:cs="仿宋"/>
          <w:b/>
          <w:bCs/>
          <w:sz w:val="32"/>
          <w:szCs w:val="32"/>
          <w:lang w:val="en-US" w:eastAsia="zh-CN"/>
        </w:rPr>
        <w:t>二是系统规划，分批建立。</w:t>
      </w:r>
      <w:r>
        <w:rPr>
          <w:rFonts w:hint="eastAsia" w:ascii="仿宋" w:hAnsi="仿宋" w:eastAsia="仿宋" w:cs="仿宋"/>
          <w:b w:val="0"/>
          <w:bCs w:val="0"/>
          <w:sz w:val="32"/>
          <w:szCs w:val="32"/>
          <w:lang w:val="en-US" w:eastAsia="zh-CN"/>
        </w:rPr>
        <w:t>优先级1（立即建立）：内部控制制度（总纲性文件）、预算管理制度、国有资产管理制度、财务报销与审批制度。这些是保障资金安全和资产安全的底线。优先级2（快速跟进）：政府采购管理制度、合同管理制度、专项资金管理办法。这些是规范具体经济业务的关键。优先级3（完善提升）：绩效管理制度、信息化管理制度、决算与财务报告制度、监督与审计制度。这些是提升管理现代化水平的重要工具。</w:t>
      </w:r>
      <w:r>
        <w:rPr>
          <w:rFonts w:hint="eastAsia" w:ascii="仿宋" w:hAnsi="仿宋" w:eastAsia="仿宋" w:cs="仿宋"/>
          <w:b/>
          <w:bCs/>
          <w:sz w:val="32"/>
          <w:szCs w:val="32"/>
          <w:lang w:val="en-US" w:eastAsia="zh-CN"/>
        </w:rPr>
        <w:t>三是结合实际，注重实效。</w:t>
      </w:r>
      <w:r>
        <w:rPr>
          <w:rFonts w:hint="eastAsia" w:ascii="仿宋" w:hAnsi="仿宋" w:eastAsia="仿宋" w:cs="仿宋"/>
          <w:b w:val="0"/>
          <w:bCs w:val="0"/>
          <w:sz w:val="32"/>
          <w:szCs w:val="32"/>
          <w:lang w:val="en-US" w:eastAsia="zh-CN"/>
        </w:rPr>
        <w:t>制度的制定不能简单照搬照抄，必须结合单位的业务特点、规模大小和管理现状。条款要具体、清晰、具有可操作性，明确各项业务的流程、审批权限和责任部门。例如，合同管理制度应明确不同金额合同的审批流程。</w:t>
      </w:r>
      <w:r>
        <w:rPr>
          <w:rFonts w:hint="eastAsia" w:ascii="仿宋" w:hAnsi="仿宋" w:eastAsia="仿宋" w:cs="仿宋"/>
          <w:b/>
          <w:bCs/>
          <w:sz w:val="32"/>
          <w:szCs w:val="32"/>
          <w:lang w:val="en-US" w:eastAsia="zh-CN"/>
        </w:rPr>
        <w:t>四是加强培训，严格执行。五是动态优化，持续改进。</w:t>
      </w:r>
      <w:r>
        <w:rPr>
          <w:rFonts w:hint="eastAsia" w:ascii="仿宋" w:hAnsi="仿宋" w:eastAsia="仿宋" w:cs="仿宋"/>
          <w:b w:val="0"/>
          <w:bCs w:val="0"/>
          <w:sz w:val="32"/>
          <w:szCs w:val="32"/>
          <w:lang w:val="en-US" w:eastAsia="zh-CN"/>
        </w:rPr>
        <w:t>管理制度不是一成不变的。应建立制度的定期评估和修订机制（例如每2-3年一次），根据国家新出台的政策、审计检查发现的问题以及单位内部管理需求的变化，及时对制度进行更新和完善。</w:t>
      </w:r>
    </w:p>
    <w:p w14:paraId="0725FE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3.食堂餐费支付凭证后仅附国库支付单与往来收据，无具体计算依据说明（如用餐人数、餐标、天数等）。</w:t>
      </w:r>
    </w:p>
    <w:p w14:paraId="0DCD95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政府会计制度——行政事业单位会计科目和报表》。该制度要求行政事业单位的会计核算必须以真实、完整的原始凭证为依据。原始凭证应能清晰反映经济业务的内容、金额、时间、经办人员等信息。食堂餐费支付后仅凭国库支付单和往来收据，无法证明该笔支出的具体用途（如用餐人员、事由、标准等），不符合对原始凭证“完整性”的要求。</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行政事业单位内部控制规范（试行）》。该规范要求单位建立并实施内部控制，确保经济活动合法合规、资产安全和使用有效、财务信息真实完整。其中，对支出业务的控制要求包括：确保业务真实、手续完备、附件齐全。附件不全的支付行为，暴露出单位在支出审批、单据审核等环节的内部控制存在缺陷。</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中华人民共和国预算法》。该法强调各级政府的全部收入和支出都应当纳入预算，并要求预算执行严格、透明。财政资金的支付必须符合预算规定的用途，且需要有明确的支出依据。附件不全的支付行为，可能导致资金脱离预算监管，违反预算法关于预算执行和财政管理的规定。四大风险分析：</w:t>
      </w:r>
      <w:r>
        <w:rPr>
          <w:rFonts w:hint="eastAsia" w:ascii="仿宋" w:hAnsi="仿宋" w:eastAsia="仿宋" w:cs="仿宋"/>
          <w:b/>
          <w:bCs/>
          <w:sz w:val="32"/>
          <w:szCs w:val="32"/>
          <w:lang w:val="en-US" w:eastAsia="zh-CN"/>
        </w:rPr>
        <w:t>一是合规性风险。</w:t>
      </w:r>
      <w:r>
        <w:rPr>
          <w:rFonts w:hint="eastAsia" w:ascii="仿宋" w:hAnsi="仿宋" w:eastAsia="仿宋" w:cs="仿宋"/>
          <w:b w:val="0"/>
          <w:bCs w:val="0"/>
          <w:sz w:val="32"/>
          <w:szCs w:val="32"/>
          <w:lang w:val="en-US" w:eastAsia="zh-CN"/>
        </w:rPr>
        <w:t>支付附件不完整，直接违反了上述关于会计凭证和内部控制的规定，属于不合规的财务操作。</w:t>
      </w:r>
      <w:r>
        <w:rPr>
          <w:rFonts w:hint="eastAsia" w:ascii="仿宋" w:hAnsi="仿宋" w:eastAsia="仿宋" w:cs="仿宋"/>
          <w:b/>
          <w:bCs/>
          <w:sz w:val="32"/>
          <w:szCs w:val="32"/>
          <w:lang w:val="en-US" w:eastAsia="zh-CN"/>
        </w:rPr>
        <w:t>二是审计风险。</w:t>
      </w:r>
      <w:r>
        <w:rPr>
          <w:rFonts w:hint="eastAsia" w:ascii="仿宋" w:hAnsi="仿宋" w:eastAsia="仿宋" w:cs="仿宋"/>
          <w:b w:val="0"/>
          <w:bCs w:val="0"/>
          <w:sz w:val="32"/>
          <w:szCs w:val="32"/>
          <w:lang w:val="en-US" w:eastAsia="zh-CN"/>
        </w:rPr>
        <w:t>在审计（包括内部审计和外部审计）中，此类支付行为极易被认定为“支出依据不充分”或“原始凭证不完整”，可能导致审计调整或负面评价。</w:t>
      </w:r>
      <w:r>
        <w:rPr>
          <w:rFonts w:hint="eastAsia" w:ascii="仿宋" w:hAnsi="仿宋" w:eastAsia="仿宋" w:cs="仿宋"/>
          <w:b/>
          <w:bCs/>
          <w:sz w:val="32"/>
          <w:szCs w:val="32"/>
          <w:lang w:val="en-US" w:eastAsia="zh-CN"/>
        </w:rPr>
        <w:t>三是廉政风险。</w:t>
      </w:r>
      <w:r>
        <w:rPr>
          <w:rFonts w:hint="eastAsia" w:ascii="仿宋" w:hAnsi="仿宋" w:eastAsia="仿宋" w:cs="仿宋"/>
          <w:b w:val="0"/>
          <w:bCs w:val="0"/>
          <w:sz w:val="32"/>
          <w:szCs w:val="32"/>
          <w:lang w:val="en-US" w:eastAsia="zh-CN"/>
        </w:rPr>
        <w:t>附件不全使得资金流向不透明，为虚报、套取、挪用财政资金等行为提供了空间，存在较高的廉政风险。</w:t>
      </w:r>
    </w:p>
    <w:p w14:paraId="33B050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建议：一是及时整改。</w:t>
      </w:r>
      <w:r>
        <w:rPr>
          <w:rFonts w:hint="eastAsia" w:ascii="仿宋" w:hAnsi="仿宋" w:eastAsia="仿宋" w:cs="仿宋"/>
          <w:b w:val="0"/>
          <w:bCs w:val="0"/>
          <w:sz w:val="32"/>
          <w:szCs w:val="32"/>
          <w:lang w:val="en-US" w:eastAsia="zh-CN"/>
        </w:rPr>
        <w:t>相关单位立即对类似支出进行自查自纠，补充完整附件。</w:t>
      </w:r>
      <w:r>
        <w:rPr>
          <w:rFonts w:hint="eastAsia" w:ascii="仿宋" w:hAnsi="仿宋" w:eastAsia="仿宋" w:cs="仿宋"/>
          <w:b/>
          <w:bCs/>
          <w:sz w:val="32"/>
          <w:szCs w:val="32"/>
          <w:lang w:val="en-US" w:eastAsia="zh-CN"/>
        </w:rPr>
        <w:t>用餐情况统计表</w:t>
      </w:r>
      <w:r>
        <w:rPr>
          <w:rFonts w:hint="eastAsia" w:ascii="仿宋" w:hAnsi="仿宋" w:eastAsia="仿宋" w:cs="仿宋"/>
          <w:b w:val="0"/>
          <w:bCs w:val="0"/>
          <w:sz w:val="32"/>
          <w:szCs w:val="32"/>
          <w:lang w:val="en-US" w:eastAsia="zh-CN"/>
        </w:rPr>
        <w:t>反映当期用餐人次和消耗总量的内部凭证。</w:t>
      </w:r>
      <w:r>
        <w:rPr>
          <w:rFonts w:hint="eastAsia" w:ascii="仿宋" w:hAnsi="仿宋" w:eastAsia="仿宋" w:cs="仿宋"/>
          <w:b/>
          <w:bCs/>
          <w:sz w:val="32"/>
          <w:szCs w:val="32"/>
          <w:lang w:val="en-US" w:eastAsia="zh-CN"/>
        </w:rPr>
        <w:t>费用结算审批单</w:t>
      </w:r>
      <w:r>
        <w:rPr>
          <w:rFonts w:hint="eastAsia" w:ascii="仿宋" w:hAnsi="仿宋" w:eastAsia="仿宋" w:cs="仿宋"/>
          <w:b w:val="0"/>
          <w:bCs w:val="0"/>
          <w:sz w:val="32"/>
          <w:szCs w:val="32"/>
          <w:lang w:val="en-US" w:eastAsia="zh-CN"/>
        </w:rPr>
        <w:t>由食堂管理员、部门负责人、财务审核人、单位领导逐级审批。例如，要求提供用餐明细清单（包括用餐时间、事由、人员、菜单及金额等）、内部审批单、消费清单等能证明业务真实性的材料内部说明，由经办人撰写《情况说明》（附负责人签字），解释无明细原因并承诺整改。</w:t>
      </w:r>
      <w:r>
        <w:rPr>
          <w:rFonts w:hint="eastAsia" w:ascii="仿宋" w:hAnsi="仿宋" w:eastAsia="仿宋" w:cs="仿宋"/>
          <w:b/>
          <w:bCs/>
          <w:sz w:val="32"/>
          <w:szCs w:val="32"/>
          <w:lang w:val="en-US" w:eastAsia="zh-CN"/>
        </w:rPr>
        <w:t>二是完善制度。</w:t>
      </w:r>
      <w:r>
        <w:rPr>
          <w:rFonts w:hint="eastAsia" w:ascii="仿宋" w:hAnsi="仿宋" w:eastAsia="仿宋" w:cs="仿宋"/>
          <w:b w:val="0"/>
          <w:bCs w:val="0"/>
          <w:sz w:val="32"/>
          <w:szCs w:val="32"/>
          <w:lang w:val="en-US" w:eastAsia="zh-CN"/>
        </w:rPr>
        <w:t>建议单位修订或完善内部财务管理制度和食堂管理办法，明确各类支出的附件要求，特别是对食堂餐费等高频、小额支出，应制定详细的报销细则。</w:t>
      </w:r>
      <w:r>
        <w:rPr>
          <w:rFonts w:hint="eastAsia" w:ascii="仿宋" w:hAnsi="仿宋" w:eastAsia="仿宋" w:cs="仿宋"/>
          <w:b/>
          <w:bCs/>
          <w:sz w:val="32"/>
          <w:szCs w:val="32"/>
          <w:lang w:val="en-US" w:eastAsia="zh-CN"/>
        </w:rPr>
        <w:t>三是加强审核。</w:t>
      </w:r>
      <w:r>
        <w:rPr>
          <w:rFonts w:hint="eastAsia" w:ascii="仿宋" w:hAnsi="仿宋" w:eastAsia="仿宋" w:cs="仿宋"/>
          <w:b w:val="0"/>
          <w:bCs w:val="0"/>
          <w:sz w:val="32"/>
          <w:szCs w:val="32"/>
          <w:lang w:val="en-US" w:eastAsia="zh-CN"/>
        </w:rPr>
        <w:t>强化财务审核环节，对附件不齐全、不规范的支付申请，坚决予以退回，不予报销。确保所有支出均有充分、合法的依据。财务部门必须严格审核，</w:t>
      </w:r>
      <w:r>
        <w:rPr>
          <w:rFonts w:hint="eastAsia" w:ascii="仿宋" w:hAnsi="仿宋" w:eastAsia="仿宋" w:cs="仿宋"/>
          <w:b/>
          <w:bCs/>
          <w:sz w:val="32"/>
          <w:szCs w:val="32"/>
          <w:lang w:val="en-US" w:eastAsia="zh-CN"/>
        </w:rPr>
        <w:t>“无依据不支付、无明细不报销”</w:t>
      </w:r>
      <w:r>
        <w:rPr>
          <w:rFonts w:hint="eastAsia" w:ascii="仿宋" w:hAnsi="仿宋" w:eastAsia="仿宋" w:cs="仿宋"/>
          <w:b w:val="0"/>
          <w:bCs w:val="0"/>
          <w:sz w:val="32"/>
          <w:szCs w:val="32"/>
          <w:lang w:val="en-US" w:eastAsia="zh-CN"/>
        </w:rPr>
        <w:t>。</w:t>
      </w:r>
      <w:r>
        <w:rPr>
          <w:rFonts w:hint="eastAsia" w:ascii="仿宋" w:hAnsi="仿宋" w:eastAsia="仿宋" w:cs="仿宋"/>
          <w:b/>
          <w:bCs/>
          <w:sz w:val="32"/>
          <w:szCs w:val="32"/>
          <w:lang w:val="en-US" w:eastAsia="zh-CN"/>
        </w:rPr>
        <w:t>四是强化监督。</w:t>
      </w:r>
      <w:r>
        <w:rPr>
          <w:rFonts w:hint="eastAsia" w:ascii="仿宋" w:hAnsi="仿宋" w:eastAsia="仿宋" w:cs="仿宋"/>
          <w:b w:val="0"/>
          <w:bCs w:val="0"/>
          <w:sz w:val="32"/>
          <w:szCs w:val="32"/>
          <w:lang w:val="en-US" w:eastAsia="zh-CN"/>
        </w:rPr>
        <w:t>内部审计、纪检监察等部门应加强对食堂等敏感领域支出的监督检查，对发现的违规问题严肃处理，形成有效震慑。</w:t>
      </w:r>
    </w:p>
    <w:p w14:paraId="5AD3F546">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4.已设立工会组织（联合体工会组织），设置了工会总账簿，但未根据每一个独立的联合体工会（作为独立的会计主体）设立单独的明细账套，清晰反映其各自的经费收支和资产负债情况。</w:t>
      </w:r>
    </w:p>
    <w:p w14:paraId="1E13AE18">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工会法》第四十六条工会经费独立原则的规定。工会的财产、经费和国家拨给工会使用的不动产，任何组织和个人不得侵占、挪用和任意调拨。这导致多个独立的法人实体或会计主体的经费收支混同，无法清晰反映每个工会组织的财务状况。法律精神是保障每个工会组织的经费独立，将多个联合体工会的经费在一个总账中混合核算，为“侵占、挪用和任意调拨”创造了条件，无法体现每个工会对其自身经费的所有权和管理权，实质上构成了经费管理的混同。</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工会会计制度》第三条独立的会计核算管理体系的规定。工会会计是各级工会组织核算、反映、监督工会预算执行和经济活动的专业会计。工会依法建立独立的会计核算管理体系，与工会预算管理体制相适应。该条款要求每个工会组织都必须建立独立的核算体系。一个联合体工会就是一个独立的会计主体。只设总账而不为每个主体设立完整的明细核算体系（实质上是独立的账套），就无法形成其“独立的会计核算管理体系”。</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基层工会经费收支管理办法》的相关要求规定。该办法要求基层工会定期向会员大会或会员代表大会报告经费收支情况，并接受会员监督。在经费混合核算的情况下，无法向某个特定的联合体工会的会员提供只反映他们自身工会经费收支情况的、清晰完整的财务报告。这侵犯了会员的知情权和监督权。</w:t>
      </w:r>
      <w:r>
        <w:rPr>
          <w:rFonts w:hint="eastAsia" w:ascii="仿宋" w:hAnsi="仿宋" w:eastAsia="仿宋" w:cs="仿宋"/>
          <w:b/>
          <w:bCs/>
          <w:sz w:val="32"/>
          <w:szCs w:val="32"/>
          <w:lang w:val="en-US" w:eastAsia="zh-CN"/>
        </w:rPr>
        <w:t>存在三类风险。一是审计风险。</w:t>
      </w:r>
      <w:r>
        <w:rPr>
          <w:rFonts w:hint="eastAsia" w:ascii="仿宋" w:hAnsi="仿宋" w:eastAsia="仿宋" w:cs="仿宋"/>
          <w:b w:val="0"/>
          <w:bCs w:val="0"/>
          <w:sz w:val="32"/>
          <w:szCs w:val="32"/>
          <w:lang w:val="en-US" w:eastAsia="zh-CN"/>
        </w:rPr>
        <w:t>上级工会经费审查委员会或国家审计机关在审计时，会立即指出这是不合规行为，并要求限期整改。整改不力可能导致通报批评，甚至对经费收缴和使用进行限制。</w:t>
      </w:r>
      <w:r>
        <w:rPr>
          <w:rFonts w:hint="eastAsia" w:ascii="仿宋" w:hAnsi="仿宋" w:eastAsia="仿宋" w:cs="仿宋"/>
          <w:b/>
          <w:bCs/>
          <w:sz w:val="32"/>
          <w:szCs w:val="32"/>
          <w:lang w:val="en-US" w:eastAsia="zh-CN"/>
        </w:rPr>
        <w:t>二是法律责任风险。</w:t>
      </w:r>
      <w:r>
        <w:rPr>
          <w:rFonts w:hint="eastAsia" w:ascii="仿宋" w:hAnsi="仿宋" w:eastAsia="仿宋" w:cs="仿宋"/>
          <w:b w:val="0"/>
          <w:bCs w:val="0"/>
          <w:sz w:val="32"/>
          <w:szCs w:val="32"/>
          <w:lang w:val="en-US" w:eastAsia="zh-CN"/>
        </w:rPr>
        <w:t>一旦出现经费短缺、挪用或账目不清等问题，由于账务混同，将难以追查和界定具体是哪个联合体工会的责任，相关负责人可能因此承担连带责任。</w:t>
      </w:r>
      <w:r>
        <w:rPr>
          <w:rFonts w:hint="eastAsia" w:ascii="仿宋" w:hAnsi="仿宋" w:eastAsia="仿宋" w:cs="仿宋"/>
          <w:b/>
          <w:bCs/>
          <w:sz w:val="32"/>
          <w:szCs w:val="32"/>
          <w:lang w:val="en-US" w:eastAsia="zh-CN"/>
        </w:rPr>
        <w:t>三是内部管理风险。A责任不清。</w:t>
      </w:r>
      <w:r>
        <w:rPr>
          <w:rFonts w:hint="eastAsia" w:ascii="仿宋" w:hAnsi="仿宋" w:eastAsia="仿宋" w:cs="仿宋"/>
          <w:b w:val="0"/>
          <w:bCs w:val="0"/>
          <w:sz w:val="32"/>
          <w:szCs w:val="32"/>
          <w:lang w:val="en-US" w:eastAsia="zh-CN"/>
        </w:rPr>
        <w:t>无法准确考核和评价每个联合体工会的经费使用效益。</w:t>
      </w:r>
      <w:r>
        <w:rPr>
          <w:rFonts w:hint="eastAsia" w:ascii="仿宋" w:hAnsi="仿宋" w:eastAsia="仿宋" w:cs="仿宋"/>
          <w:b/>
          <w:bCs/>
          <w:sz w:val="32"/>
          <w:szCs w:val="32"/>
          <w:lang w:val="en-US" w:eastAsia="zh-CN"/>
        </w:rPr>
        <w:t>B会员纠纷。</w:t>
      </w:r>
      <w:r>
        <w:rPr>
          <w:rFonts w:hint="eastAsia" w:ascii="仿宋" w:hAnsi="仿宋" w:eastAsia="仿宋" w:cs="仿宋"/>
          <w:b w:val="0"/>
          <w:bCs w:val="0"/>
          <w:sz w:val="32"/>
          <w:szCs w:val="32"/>
          <w:lang w:val="en-US" w:eastAsia="zh-CN"/>
        </w:rPr>
        <w:t>容易因经费分摊、使用不公等问题引发联合体之间的内部矛盾。</w:t>
      </w:r>
      <w:r>
        <w:rPr>
          <w:rFonts w:hint="eastAsia" w:ascii="仿宋" w:hAnsi="仿宋" w:eastAsia="仿宋" w:cs="仿宋"/>
          <w:b/>
          <w:bCs/>
          <w:sz w:val="32"/>
          <w:szCs w:val="32"/>
          <w:lang w:val="en-US" w:eastAsia="zh-CN"/>
        </w:rPr>
        <w:t>C账目混乱。</w:t>
      </w:r>
      <w:r>
        <w:rPr>
          <w:rFonts w:hint="eastAsia" w:ascii="仿宋" w:hAnsi="仿宋" w:eastAsia="仿宋" w:cs="仿宋"/>
          <w:b w:val="0"/>
          <w:bCs w:val="0"/>
          <w:sz w:val="32"/>
          <w:szCs w:val="32"/>
          <w:lang w:val="en-US" w:eastAsia="zh-CN"/>
        </w:rPr>
        <w:t>长期混合核算，历史账目将难以厘清，为后续规范管理制造巨大障碍。</w:t>
      </w:r>
    </w:p>
    <w:p w14:paraId="421133A7">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建议：及时纠正，实现“分账核算，主体清晰”。一是及时停止混合核算。</w:t>
      </w:r>
      <w:r>
        <w:rPr>
          <w:rFonts w:hint="eastAsia" w:ascii="仿宋" w:hAnsi="仿宋" w:eastAsia="仿宋" w:cs="仿宋"/>
          <w:b w:val="0"/>
          <w:bCs w:val="0"/>
          <w:sz w:val="32"/>
          <w:szCs w:val="32"/>
          <w:lang w:val="en-US" w:eastAsia="zh-CN"/>
        </w:rPr>
        <w:t>以某个会计期间（建议为一个月的月初或一个年度的年初）为界，停止在总账中进行混合记账。</w:t>
      </w:r>
      <w:r>
        <w:rPr>
          <w:rFonts w:hint="eastAsia" w:ascii="仿宋" w:hAnsi="仿宋" w:eastAsia="仿宋" w:cs="仿宋"/>
          <w:b/>
          <w:bCs/>
          <w:sz w:val="32"/>
          <w:szCs w:val="32"/>
          <w:lang w:val="en-US" w:eastAsia="zh-CN"/>
        </w:rPr>
        <w:t>二是进行账务分割。成立小组，</w:t>
      </w:r>
      <w:r>
        <w:rPr>
          <w:rFonts w:hint="eastAsia" w:ascii="仿宋" w:hAnsi="仿宋" w:eastAsia="仿宋" w:cs="仿宋"/>
          <w:b w:val="0"/>
          <w:bCs w:val="0"/>
          <w:sz w:val="32"/>
          <w:szCs w:val="32"/>
          <w:lang w:val="en-US" w:eastAsia="zh-CN"/>
        </w:rPr>
        <w:t>由主管单位财务人员、各联合体工会负责人和经审委员组成工作小组。</w:t>
      </w:r>
      <w:r>
        <w:rPr>
          <w:rFonts w:hint="eastAsia" w:ascii="仿宋" w:hAnsi="仿宋" w:eastAsia="仿宋" w:cs="仿宋"/>
          <w:b/>
          <w:bCs/>
          <w:sz w:val="32"/>
          <w:szCs w:val="32"/>
          <w:lang w:val="en-US" w:eastAsia="zh-CN"/>
        </w:rPr>
        <w:t>厘清基准日数据，</w:t>
      </w:r>
      <w:r>
        <w:rPr>
          <w:rFonts w:hint="eastAsia" w:ascii="仿宋" w:hAnsi="仿宋" w:eastAsia="仿宋" w:cs="仿宋"/>
          <w:b w:val="0"/>
          <w:bCs w:val="0"/>
          <w:sz w:val="32"/>
          <w:szCs w:val="32"/>
          <w:lang w:val="en-US" w:eastAsia="zh-CN"/>
        </w:rPr>
        <w:t>确定一个分割基准日，盘点清楚基准日工会银行账户的总资产、结余资金。</w:t>
      </w:r>
      <w:r>
        <w:rPr>
          <w:rFonts w:hint="eastAsia" w:ascii="仿宋" w:hAnsi="仿宋" w:eastAsia="仿宋" w:cs="仿宋"/>
          <w:b/>
          <w:bCs/>
          <w:sz w:val="32"/>
          <w:szCs w:val="32"/>
          <w:lang w:val="en-US" w:eastAsia="zh-CN"/>
        </w:rPr>
        <w:t>制定分割方案，</w:t>
      </w:r>
      <w:r>
        <w:rPr>
          <w:rFonts w:hint="eastAsia" w:ascii="仿宋" w:hAnsi="仿宋" w:eastAsia="仿宋" w:cs="仿宋"/>
          <w:b w:val="0"/>
          <w:bCs w:val="0"/>
          <w:sz w:val="32"/>
          <w:szCs w:val="32"/>
          <w:lang w:val="en-US" w:eastAsia="zh-CN"/>
        </w:rPr>
        <w:t>根据历史凭证和合理的依据（如各联合体上缴经费的比例、会员人数比例等），将总资产、负债和结余资金合理分摊到每一个联合体工会。这个过程需要有书面记录并经各方确认。</w:t>
      </w:r>
      <w:r>
        <w:rPr>
          <w:rFonts w:hint="eastAsia" w:ascii="仿宋" w:hAnsi="仿宋" w:eastAsia="仿宋" w:cs="仿宋"/>
          <w:b/>
          <w:bCs/>
          <w:sz w:val="32"/>
          <w:szCs w:val="32"/>
          <w:lang w:val="en-US" w:eastAsia="zh-CN"/>
        </w:rPr>
        <w:t>三是建立合规的账簿体系（二选一）。首选方案是分设独立账套。</w:t>
      </w:r>
      <w:r>
        <w:rPr>
          <w:rFonts w:hint="eastAsia" w:ascii="仿宋" w:hAnsi="仿宋" w:eastAsia="仿宋" w:cs="仿宋"/>
          <w:b w:val="0"/>
          <w:bCs w:val="0"/>
          <w:sz w:val="32"/>
          <w:szCs w:val="32"/>
          <w:lang w:val="en-US" w:eastAsia="zh-CN"/>
        </w:rPr>
        <w:t>为每一个联合体工会在财务系统中单独建立一个账套，拥有独立的总账、明细账、报表系统。将分割后的数据作为期初数，分别录入各自的新账套。优点是完全合规，核算最清晰，责任最明确。</w:t>
      </w:r>
      <w:r>
        <w:rPr>
          <w:rFonts w:hint="eastAsia" w:ascii="仿宋" w:hAnsi="仿宋" w:eastAsia="仿宋" w:cs="仿宋"/>
          <w:b/>
          <w:bCs/>
          <w:sz w:val="32"/>
          <w:szCs w:val="32"/>
          <w:lang w:val="en-US" w:eastAsia="zh-CN"/>
        </w:rPr>
        <w:t>备选方案是在同一账套下进行严格的明细核算。</w:t>
      </w:r>
      <w:r>
        <w:rPr>
          <w:rFonts w:hint="eastAsia" w:ascii="仿宋" w:hAnsi="仿宋" w:eastAsia="仿宋" w:cs="仿宋"/>
          <w:b w:val="0"/>
          <w:bCs w:val="0"/>
          <w:sz w:val="32"/>
          <w:szCs w:val="32"/>
          <w:lang w:val="en-US" w:eastAsia="zh-CN"/>
        </w:rPr>
        <w:t>如果因客观条件限制无法分设账套，则在现有总账下，为所有核心科目（如库存现金、银行存款、各项收入、各项支出等）按联合体工会名称设置二级乃至三级明细科目。确保每一笔收支业务在制单时都准确归类到对应的联合体工会独立主体明细科目，期末可以快速生成每个工会的科目余额表，并据此编制独立的财务报表。</w:t>
      </w:r>
      <w:r>
        <w:rPr>
          <w:rFonts w:hint="eastAsia" w:ascii="仿宋" w:hAnsi="仿宋" w:eastAsia="仿宋" w:cs="仿宋"/>
          <w:b/>
          <w:bCs/>
          <w:sz w:val="32"/>
          <w:szCs w:val="32"/>
          <w:lang w:val="en-US" w:eastAsia="zh-CN"/>
        </w:rPr>
        <w:t>四是规范后续管理。独立报告，</w:t>
      </w:r>
      <w:r>
        <w:rPr>
          <w:rFonts w:hint="eastAsia" w:ascii="仿宋" w:hAnsi="仿宋" w:eastAsia="仿宋" w:cs="仿宋"/>
          <w:b w:val="0"/>
          <w:bCs w:val="0"/>
          <w:sz w:val="32"/>
          <w:szCs w:val="32"/>
          <w:lang w:val="en-US" w:eastAsia="zh-CN"/>
        </w:rPr>
        <w:t>每个报告期末，必须为每个联合体工会编制独立的《工会经费收支决算表》和《资产负债表》，经其负责人和经审委员审核后，向各自会员公布并报上级工会。</w:t>
      </w:r>
      <w:r>
        <w:rPr>
          <w:rFonts w:hint="eastAsia" w:ascii="仿宋" w:hAnsi="仿宋" w:eastAsia="仿宋" w:cs="仿宋"/>
          <w:b/>
          <w:bCs/>
          <w:sz w:val="32"/>
          <w:szCs w:val="32"/>
          <w:lang w:val="en-US" w:eastAsia="zh-CN"/>
        </w:rPr>
        <w:t>明确分工，</w:t>
      </w:r>
      <w:r>
        <w:rPr>
          <w:rFonts w:hint="eastAsia" w:ascii="仿宋" w:hAnsi="仿宋" w:eastAsia="仿宋" w:cs="仿宋"/>
          <w:b w:val="0"/>
          <w:bCs w:val="0"/>
          <w:sz w:val="32"/>
          <w:szCs w:val="32"/>
          <w:lang w:val="en-US" w:eastAsia="zh-CN"/>
        </w:rPr>
        <w:t>指定专人负责不同联合体工会的账务处理，确保核算准确。</w:t>
      </w:r>
    </w:p>
    <w:p w14:paraId="43854C2B">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5.直接通过国库支付（功能分类：行政运行）七一慰问金0.04万元，未通过工会账号支付，混淆了行政支出与工会支出的界限，支付主体与支出目的不匹配。详见2024年7月1号凭证。</w:t>
      </w:r>
    </w:p>
    <w:p w14:paraId="5BC8736A">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上述违反了《中华人民共和国工会法》</w:t>
      </w:r>
      <w:r>
        <w:rPr>
          <w:rFonts w:hint="eastAsia" w:ascii="仿宋" w:hAnsi="仿宋" w:eastAsia="仿宋" w:cs="仿宋"/>
          <w:b w:val="0"/>
          <w:bCs w:val="0"/>
          <w:sz w:val="32"/>
          <w:szCs w:val="32"/>
          <w:lang w:val="en-US" w:eastAsia="zh-CN"/>
        </w:rPr>
        <w:tab/>
      </w:r>
      <w:r>
        <w:rPr>
          <w:rFonts w:hint="eastAsia" w:ascii="仿宋" w:hAnsi="仿宋" w:eastAsia="仿宋" w:cs="仿宋"/>
          <w:b w:val="0"/>
          <w:bCs w:val="0"/>
          <w:sz w:val="32"/>
          <w:szCs w:val="32"/>
          <w:lang w:val="en-US" w:eastAsia="zh-CN"/>
        </w:rPr>
        <w:t>第四十四条明确规定“工会应当根据经费独立原则，建立预算、决算和经费审查监督制度”。未使用独立的工会经费进行慰问，直接违反了</w:t>
      </w:r>
      <w:r>
        <w:rPr>
          <w:rFonts w:hint="eastAsia" w:ascii="仿宋" w:hAnsi="仿宋" w:eastAsia="仿宋" w:cs="仿宋"/>
          <w:b/>
          <w:bCs/>
          <w:sz w:val="32"/>
          <w:szCs w:val="32"/>
          <w:lang w:val="en-US" w:eastAsia="zh-CN"/>
        </w:rPr>
        <w:t>“经费独立”</w:t>
      </w:r>
      <w:r>
        <w:rPr>
          <w:rFonts w:hint="eastAsia" w:ascii="仿宋" w:hAnsi="仿宋" w:eastAsia="仿宋" w:cs="仿宋"/>
          <w:b w:val="0"/>
          <w:bCs w:val="0"/>
          <w:sz w:val="32"/>
          <w:szCs w:val="32"/>
          <w:lang w:val="en-US" w:eastAsia="zh-CN"/>
        </w:rPr>
        <w:t>这一核心原则。</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上述违反了《基层工会经费收支管理办法》</w:t>
      </w:r>
      <w:r>
        <w:rPr>
          <w:rFonts w:hint="eastAsia" w:ascii="仿宋" w:hAnsi="仿宋" w:eastAsia="仿宋" w:cs="仿宋"/>
          <w:b w:val="0"/>
          <w:bCs w:val="0"/>
          <w:sz w:val="32"/>
          <w:szCs w:val="32"/>
          <w:lang w:val="en-US" w:eastAsia="zh-CN"/>
        </w:rPr>
        <w:tab/>
      </w:r>
      <w:r>
        <w:rPr>
          <w:rFonts w:hint="eastAsia" w:ascii="仿宋" w:hAnsi="仿宋" w:eastAsia="仿宋" w:cs="仿宋"/>
          <w:b w:val="0"/>
          <w:bCs w:val="0"/>
          <w:sz w:val="32"/>
          <w:szCs w:val="32"/>
          <w:lang w:val="en-US" w:eastAsia="zh-CN"/>
        </w:rPr>
        <w:t>第八条明确了工会经费的支出范围包括“工会用于开展职工教育、文体、宣传等活动，用于履行工会职能、加强自身建设等的费用”。</w:t>
      </w:r>
      <w:r>
        <w:rPr>
          <w:rFonts w:hint="eastAsia" w:ascii="仿宋" w:hAnsi="仿宋" w:eastAsia="仿宋" w:cs="仿宋"/>
          <w:b/>
          <w:bCs/>
          <w:sz w:val="32"/>
          <w:szCs w:val="32"/>
          <w:lang w:val="en-US" w:eastAsia="zh-CN"/>
        </w:rPr>
        <w:t>慰问活动属于工会职能范畴。</w:t>
      </w:r>
      <w:r>
        <w:rPr>
          <w:rFonts w:hint="eastAsia" w:ascii="仿宋" w:hAnsi="仿宋" w:eastAsia="仿宋" w:cs="仿宋"/>
          <w:b w:val="0"/>
          <w:bCs w:val="0"/>
          <w:sz w:val="32"/>
          <w:szCs w:val="32"/>
          <w:lang w:val="en-US" w:eastAsia="zh-CN"/>
        </w:rPr>
        <w:t>办法强调基层工会要“严格执行各项财务制度”。</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上述违反了《违规发放津贴补贴行为处分规定》</w:t>
      </w:r>
      <w:r>
        <w:rPr>
          <w:rFonts w:hint="eastAsia" w:ascii="仿宋" w:hAnsi="仿宋" w:eastAsia="仿宋" w:cs="仿宋"/>
          <w:b w:val="0"/>
          <w:bCs w:val="0"/>
          <w:sz w:val="32"/>
          <w:szCs w:val="32"/>
          <w:lang w:val="en-US" w:eastAsia="zh-CN"/>
        </w:rPr>
        <w:tab/>
      </w:r>
      <w:r>
        <w:rPr>
          <w:rFonts w:hint="eastAsia" w:ascii="仿宋" w:hAnsi="仿宋" w:eastAsia="仿宋" w:cs="仿宋"/>
          <w:b w:val="0"/>
          <w:bCs w:val="0"/>
          <w:sz w:val="32"/>
          <w:szCs w:val="32"/>
          <w:lang w:val="en-US" w:eastAsia="zh-CN"/>
        </w:rPr>
        <w:t>第四条将“违反规定，以发放津贴补贴的形式，变相将国有资产集体私分给个人”的行为列为违规。用没有明确依据的行政资金发放慰问金，极易被套用此条，认定为</w:t>
      </w:r>
      <w:r>
        <w:rPr>
          <w:rFonts w:hint="eastAsia" w:ascii="仿宋" w:hAnsi="仿宋" w:eastAsia="仿宋" w:cs="仿宋"/>
          <w:b/>
          <w:bCs/>
          <w:sz w:val="32"/>
          <w:szCs w:val="32"/>
          <w:lang w:val="en-US" w:eastAsia="zh-CN"/>
        </w:rPr>
        <w:t>变相福利</w:t>
      </w:r>
      <w:r>
        <w:rPr>
          <w:rFonts w:hint="eastAsia" w:ascii="仿宋" w:hAnsi="仿宋" w:eastAsia="仿宋" w:cs="仿宋"/>
          <w:b w:val="0"/>
          <w:bCs w:val="0"/>
          <w:sz w:val="32"/>
          <w:szCs w:val="32"/>
          <w:lang w:val="en-US" w:eastAsia="zh-CN"/>
        </w:rPr>
        <w:t>。</w:t>
      </w:r>
      <w:r>
        <w:rPr>
          <w:rFonts w:hint="eastAsia" w:ascii="仿宋" w:hAnsi="仿宋" w:eastAsia="仿宋" w:cs="仿宋"/>
          <w:b/>
          <w:bCs/>
          <w:sz w:val="32"/>
          <w:szCs w:val="32"/>
          <w:lang w:val="en-US" w:eastAsia="zh-CN"/>
        </w:rPr>
        <w:t>相关政策4：</w:t>
      </w:r>
      <w:r>
        <w:rPr>
          <w:rFonts w:hint="eastAsia" w:ascii="仿宋" w:hAnsi="仿宋" w:eastAsia="仿宋" w:cs="仿宋"/>
          <w:b w:val="0"/>
          <w:bCs w:val="0"/>
          <w:sz w:val="32"/>
          <w:szCs w:val="32"/>
          <w:lang w:val="en-US" w:eastAsia="zh-CN"/>
        </w:rPr>
        <w:t>上述违反了《行政事业单位内部控制规范（试行）》</w:t>
      </w:r>
      <w:r>
        <w:rPr>
          <w:rFonts w:hint="eastAsia" w:ascii="仿宋" w:hAnsi="仿宋" w:eastAsia="仿宋" w:cs="仿宋"/>
          <w:b w:val="0"/>
          <w:bCs w:val="0"/>
          <w:sz w:val="32"/>
          <w:szCs w:val="32"/>
          <w:lang w:val="en-US" w:eastAsia="zh-CN"/>
        </w:rPr>
        <w:tab/>
      </w:r>
      <w:r>
        <w:rPr>
          <w:rFonts w:hint="eastAsia" w:ascii="仿宋" w:hAnsi="仿宋" w:eastAsia="仿宋" w:cs="仿宋"/>
          <w:b w:val="0"/>
          <w:bCs w:val="0"/>
          <w:sz w:val="32"/>
          <w:szCs w:val="32"/>
          <w:lang w:val="en-US" w:eastAsia="zh-CN"/>
        </w:rPr>
        <w:t>要求单位合理保证经济活动合法合规。将</w:t>
      </w:r>
      <w:r>
        <w:rPr>
          <w:rFonts w:hint="eastAsia" w:ascii="仿宋" w:hAnsi="仿宋" w:eastAsia="仿宋" w:cs="仿宋"/>
          <w:b/>
          <w:bCs/>
          <w:sz w:val="32"/>
          <w:szCs w:val="32"/>
          <w:lang w:val="en-US" w:eastAsia="zh-CN"/>
        </w:rPr>
        <w:t>不同性质的支出</w:t>
      </w:r>
      <w:r>
        <w:rPr>
          <w:rFonts w:hint="eastAsia" w:ascii="仿宋" w:hAnsi="仿宋" w:eastAsia="仿宋" w:cs="仿宋"/>
          <w:b w:val="0"/>
          <w:bCs w:val="0"/>
          <w:sz w:val="32"/>
          <w:szCs w:val="32"/>
          <w:lang w:val="en-US" w:eastAsia="zh-CN"/>
        </w:rPr>
        <w:t>混淆渠道，是典型的内部控制缺陷，表明单位在支出事项的归类与审批环节存在漏洞。</w:t>
      </w:r>
      <w:r>
        <w:rPr>
          <w:rFonts w:hint="eastAsia" w:ascii="仿宋" w:hAnsi="仿宋" w:eastAsia="仿宋" w:cs="仿宋"/>
          <w:b/>
          <w:bCs/>
          <w:sz w:val="32"/>
          <w:szCs w:val="32"/>
          <w:lang w:val="en-US" w:eastAsia="zh-CN"/>
        </w:rPr>
        <w:t>存在三类风险。一是审计风险。</w:t>
      </w:r>
      <w:r>
        <w:rPr>
          <w:rFonts w:hint="eastAsia" w:ascii="仿宋" w:hAnsi="仿宋" w:eastAsia="仿宋" w:cs="仿宋"/>
          <w:b w:val="0"/>
          <w:bCs w:val="0"/>
          <w:sz w:val="32"/>
          <w:szCs w:val="32"/>
          <w:lang w:val="en-US" w:eastAsia="zh-CN"/>
        </w:rPr>
        <w:t>在审计（包括政府审计、上级工会经审会审计）中，此类问题极易被认定为“挤占挪用预算资金”或“工会经费支出渠道不正确”，会要求单位进行整改，并可能追回资金。</w:t>
      </w:r>
      <w:r>
        <w:rPr>
          <w:rFonts w:hint="eastAsia" w:ascii="仿宋" w:hAnsi="仿宋" w:eastAsia="仿宋" w:cs="仿宋"/>
          <w:b/>
          <w:bCs/>
          <w:sz w:val="32"/>
          <w:szCs w:val="32"/>
          <w:lang w:val="en-US" w:eastAsia="zh-CN"/>
        </w:rPr>
        <w:t>二是工会经费依赖性风险。</w:t>
      </w:r>
      <w:r>
        <w:rPr>
          <w:rFonts w:hint="eastAsia" w:ascii="仿宋" w:hAnsi="仿宋" w:eastAsia="仿宋" w:cs="仿宋"/>
          <w:b w:val="0"/>
          <w:bCs w:val="0"/>
          <w:sz w:val="32"/>
          <w:szCs w:val="32"/>
          <w:lang w:val="en-US" w:eastAsia="zh-CN"/>
        </w:rPr>
        <w:t>长期由行政“买单”工会活动，会导致工会经费功能虚化，削弱工会的独立性和代表性，形成对行政经费的依赖。</w:t>
      </w:r>
      <w:r>
        <w:rPr>
          <w:rFonts w:hint="eastAsia" w:ascii="仿宋" w:hAnsi="仿宋" w:eastAsia="仿宋" w:cs="仿宋"/>
          <w:b/>
          <w:bCs/>
          <w:sz w:val="32"/>
          <w:szCs w:val="32"/>
          <w:lang w:val="en-US" w:eastAsia="zh-CN"/>
        </w:rPr>
        <w:t>三是核算混乱风险。</w:t>
      </w:r>
      <w:r>
        <w:rPr>
          <w:rFonts w:hint="eastAsia" w:ascii="仿宋" w:hAnsi="仿宋" w:eastAsia="仿宋" w:cs="仿宋"/>
          <w:b w:val="0"/>
          <w:bCs w:val="0"/>
          <w:sz w:val="32"/>
          <w:szCs w:val="32"/>
          <w:lang w:val="en-US" w:eastAsia="zh-CN"/>
        </w:rPr>
        <w:t>导致行政账目虚增支出，工会账目未能真实完整地反映其履职情况，使财务数据失真。</w:t>
      </w:r>
    </w:p>
    <w:p w14:paraId="678DCBC2">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建议：一是账务更正（核心步骤）。</w:t>
      </w:r>
      <w:r>
        <w:rPr>
          <w:rFonts w:hint="eastAsia" w:ascii="仿宋" w:hAnsi="仿宋" w:eastAsia="仿宋" w:cs="仿宋"/>
          <w:b w:val="0"/>
          <w:bCs w:val="0"/>
          <w:sz w:val="32"/>
          <w:szCs w:val="32"/>
          <w:lang w:val="en-US" w:eastAsia="zh-CN"/>
        </w:rPr>
        <w:t>此步骤需要行政财务和工会财务协同完成。行政账务处理（国库支付方）</w:t>
      </w:r>
    </w:p>
    <w:p w14:paraId="259562CB">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bCs/>
          <w:sz w:val="32"/>
          <w:szCs w:val="32"/>
          <w:lang w:val="en-US" w:eastAsia="zh-CN"/>
        </w:rPr>
      </w:pPr>
      <w:r>
        <w:rPr>
          <w:rFonts w:hint="eastAsia" w:ascii="仿宋" w:hAnsi="仿宋" w:eastAsia="仿宋" w:cs="仿宋"/>
          <w:b w:val="0"/>
          <w:bCs w:val="0"/>
          <w:sz w:val="32"/>
          <w:szCs w:val="32"/>
          <w:lang w:val="en-US" w:eastAsia="zh-CN"/>
        </w:rPr>
        <w:t>方式（推荐）：作原支付凭证的反向冲销处理。即做一笔红字分录，冲销原来的支出，同时记录一笔对工会的“其他应收款”。会计分录示例（冲销），借：业务活动费用—行政运行[负数400元]，贷：零余额账户用款额度/财政拨款收入[负数400元]。同时，向工会收取垫付款，借：其他应收款—单位工会[正数400元]，贷：零余额账户用款额度/财政拨款收入[正数400元]。这样操作，行政账上不再有此笔慰问金支出，而是变为对工会的应收款。随后，工会应将400元资金归还行政账户，结清此笔应收款。</w:t>
      </w:r>
      <w:r>
        <w:rPr>
          <w:rFonts w:hint="eastAsia" w:ascii="仿宋" w:hAnsi="仿宋" w:eastAsia="仿宋" w:cs="仿宋"/>
          <w:b/>
          <w:bCs/>
          <w:sz w:val="32"/>
          <w:szCs w:val="32"/>
          <w:lang w:val="en-US" w:eastAsia="zh-CN"/>
        </w:rPr>
        <w:t>二是明确职责边界。</w:t>
      </w:r>
      <w:r>
        <w:rPr>
          <w:rFonts w:hint="eastAsia" w:ascii="仿宋" w:hAnsi="仿宋" w:eastAsia="仿宋" w:cs="仿宋"/>
          <w:b w:val="0"/>
          <w:bCs w:val="0"/>
          <w:sz w:val="32"/>
          <w:szCs w:val="32"/>
          <w:lang w:val="en-US" w:eastAsia="zh-CN"/>
        </w:rPr>
        <w:t>单位内部应形成制度或共识，严格区分行政福利与工会福利的界限。凡是《中华人民共和国工会法》和工会章程规定的、以工会名义组织的活动，其费用必须由工会经费列支。</w:t>
      </w:r>
      <w:r>
        <w:rPr>
          <w:rFonts w:hint="eastAsia" w:ascii="仿宋" w:hAnsi="仿宋" w:eastAsia="仿宋" w:cs="仿宋"/>
          <w:b/>
          <w:bCs/>
          <w:sz w:val="32"/>
          <w:szCs w:val="32"/>
          <w:lang w:val="en-US" w:eastAsia="zh-CN"/>
        </w:rPr>
        <w:t>三是规范支付流程。</w:t>
      </w:r>
      <w:r>
        <w:rPr>
          <w:rFonts w:hint="eastAsia" w:ascii="仿宋" w:hAnsi="仿宋" w:eastAsia="仿宋" w:cs="仿宋"/>
          <w:b w:val="0"/>
          <w:bCs w:val="0"/>
          <w:sz w:val="32"/>
          <w:szCs w:val="32"/>
          <w:lang w:val="en-US" w:eastAsia="zh-CN"/>
        </w:rPr>
        <w:t>所有工会支出，必须从工会银行账户支付，严格按照工会预算和审批流程执行，不得通过国库账户或其他行政账户代为支付。</w:t>
      </w:r>
      <w:r>
        <w:rPr>
          <w:rFonts w:hint="eastAsia" w:ascii="仿宋" w:hAnsi="仿宋" w:eastAsia="仿宋" w:cs="仿宋"/>
          <w:b/>
          <w:bCs/>
          <w:sz w:val="32"/>
          <w:szCs w:val="32"/>
          <w:lang w:val="en-US" w:eastAsia="zh-CN"/>
        </w:rPr>
        <w:t>四是加强审核监督。</w:t>
      </w:r>
      <w:r>
        <w:rPr>
          <w:rFonts w:hint="eastAsia" w:ascii="仿宋" w:hAnsi="仿宋" w:eastAsia="仿宋" w:cs="仿宋"/>
          <w:b w:val="0"/>
          <w:bCs w:val="0"/>
          <w:sz w:val="32"/>
          <w:szCs w:val="32"/>
          <w:lang w:val="en-US" w:eastAsia="zh-CN"/>
        </w:rPr>
        <w:t>财务人员在处理凭证时，应严格审核经济事项的实质，确保支出主体、会计科目与业务内容完全匹配。工会经审委员应加强对经费使用情况的审查监督。</w:t>
      </w:r>
      <w:r>
        <w:rPr>
          <w:rFonts w:hint="eastAsia" w:ascii="仿宋" w:hAnsi="仿宋" w:eastAsia="仿宋" w:cs="仿宋"/>
          <w:b/>
          <w:bCs/>
          <w:sz w:val="32"/>
          <w:szCs w:val="32"/>
          <w:lang w:val="en-US" w:eastAsia="zh-CN"/>
        </w:rPr>
        <w:t>五是建立长效机制，杜绝此类情况再次发生。</w:t>
      </w:r>
    </w:p>
    <w:p w14:paraId="15014168">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 w:hAnsi="仿宋" w:eastAsia="仿宋" w:cs="仿宋"/>
          <w:b w:val="0"/>
          <w:bCs w:val="0"/>
          <w:kern w:val="0"/>
          <w:sz w:val="32"/>
          <w:szCs w:val="32"/>
          <w:lang w:val="en-US" w:eastAsia="zh-CN" w:bidi="ar"/>
        </w:rPr>
      </w:pPr>
      <w:r>
        <w:rPr>
          <w:rFonts w:hint="eastAsia" w:ascii="仿宋" w:hAnsi="仿宋" w:eastAsia="仿宋" w:cs="仿宋"/>
          <w:b/>
          <w:bCs/>
          <w:sz w:val="32"/>
          <w:szCs w:val="32"/>
          <w:lang w:val="en-US" w:eastAsia="zh-CN"/>
        </w:rPr>
        <w:t>6.存在2024年支付2025年的跨期费用情况。详见2024年10月8号凭证，支付2025年工会行政支出0.36万元，详见2024年12月18号凭证，支付2025年工会行政支出0.47万元与0.17万元。详见2024年12月12号凭证支付区科协2025医疗互助0.036万元。详见2024年12月15号凭证支付25年信息数据服务费(会计费)0.51万元。</w:t>
      </w:r>
    </w:p>
    <w:p w14:paraId="26381B3B">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kern w:val="0"/>
          <w:sz w:val="32"/>
          <w:szCs w:val="32"/>
          <w:lang w:val="en-US" w:eastAsia="zh-CN" w:bidi="ar"/>
        </w:rPr>
        <w:t>上述违反了《工会预算管理办法》，工会预算应按年度编制和审批。</w:t>
      </w:r>
      <w:r>
        <w:rPr>
          <w:rFonts w:hint="eastAsia" w:ascii="仿宋" w:hAnsi="仿宋" w:eastAsia="仿宋" w:cs="仿宋"/>
          <w:b/>
          <w:bCs/>
          <w:kern w:val="0"/>
          <w:sz w:val="32"/>
          <w:szCs w:val="32"/>
          <w:lang w:val="en-US" w:eastAsia="zh-CN" w:bidi="ar"/>
        </w:rPr>
        <w:t>“严禁无预算、超预算支出”</w:t>
      </w:r>
      <w:r>
        <w:rPr>
          <w:rFonts w:hint="eastAsia" w:ascii="仿宋" w:hAnsi="仿宋" w:eastAsia="仿宋" w:cs="仿宋"/>
          <w:b w:val="0"/>
          <w:bCs w:val="0"/>
          <w:kern w:val="0"/>
          <w:sz w:val="32"/>
          <w:szCs w:val="32"/>
          <w:lang w:val="en-US" w:eastAsia="zh-CN" w:bidi="ar"/>
        </w:rPr>
        <w:t>。在2024年支出属于2025年预算的资金，属于典型的无预算和超预算支出。</w:t>
      </w:r>
      <w:r>
        <w:rPr>
          <w:rFonts w:hint="eastAsia" w:ascii="仿宋" w:hAnsi="仿宋" w:eastAsia="仿宋" w:cs="仿宋"/>
          <w:b/>
          <w:bCs/>
          <w:sz w:val="32"/>
          <w:szCs w:val="32"/>
          <w:lang w:val="en-US" w:eastAsia="zh-CN"/>
        </w:rPr>
        <w:t>相关政策2：</w:t>
      </w:r>
      <w:r>
        <w:rPr>
          <w:rFonts w:hint="eastAsia" w:ascii="仿宋" w:hAnsi="仿宋" w:eastAsia="仿宋" w:cs="仿宋"/>
          <w:b w:val="0"/>
          <w:bCs w:val="0"/>
          <w:kern w:val="0"/>
          <w:sz w:val="32"/>
          <w:szCs w:val="32"/>
          <w:lang w:val="en-US" w:eastAsia="zh-CN" w:bidi="ar"/>
        </w:rPr>
        <w:t>上述违反了</w:t>
      </w:r>
      <w:r>
        <w:rPr>
          <w:rFonts w:hint="eastAsia" w:ascii="仿宋" w:hAnsi="仿宋" w:eastAsia="仿宋" w:cs="仿宋"/>
          <w:b/>
          <w:bCs/>
          <w:kern w:val="0"/>
          <w:sz w:val="32"/>
          <w:szCs w:val="32"/>
          <w:lang w:val="en-US" w:eastAsia="zh-CN" w:bidi="ar"/>
        </w:rPr>
        <w:t>收支匹配原则</w:t>
      </w:r>
      <w:r>
        <w:rPr>
          <w:rFonts w:hint="eastAsia" w:ascii="仿宋" w:hAnsi="仿宋" w:eastAsia="仿宋" w:cs="仿宋"/>
          <w:b w:val="0"/>
          <w:bCs w:val="0"/>
          <w:kern w:val="0"/>
          <w:sz w:val="32"/>
          <w:szCs w:val="32"/>
          <w:lang w:val="en-US" w:eastAsia="zh-CN" w:bidi="ar"/>
        </w:rPr>
        <w:t>。将2025年的支出提前到2024年，会导致两个年度的成本和费用核算不准确，无法真实反映各年度的预算执行情况。</w:t>
      </w:r>
      <w:r>
        <w:rPr>
          <w:rFonts w:hint="eastAsia" w:ascii="仿宋" w:hAnsi="仿宋" w:eastAsia="仿宋" w:cs="仿宋"/>
          <w:b/>
          <w:bCs/>
          <w:sz w:val="32"/>
          <w:szCs w:val="32"/>
          <w:lang w:val="en-US" w:eastAsia="zh-CN"/>
        </w:rPr>
        <w:t>相关政策3：</w:t>
      </w:r>
      <w:r>
        <w:rPr>
          <w:rFonts w:hint="eastAsia" w:ascii="仿宋" w:hAnsi="仿宋" w:eastAsia="仿宋" w:cs="仿宋"/>
          <w:b w:val="0"/>
          <w:bCs w:val="0"/>
          <w:kern w:val="0"/>
          <w:sz w:val="32"/>
          <w:szCs w:val="32"/>
          <w:lang w:val="en-US" w:eastAsia="zh-CN" w:bidi="ar"/>
        </w:rPr>
        <w:t>上述违反了预算绩效管理中</w:t>
      </w:r>
      <w:r>
        <w:rPr>
          <w:rFonts w:hint="eastAsia" w:ascii="仿宋" w:hAnsi="仿宋" w:eastAsia="仿宋" w:cs="仿宋"/>
          <w:b/>
          <w:bCs/>
          <w:kern w:val="0"/>
          <w:sz w:val="32"/>
          <w:szCs w:val="32"/>
          <w:lang w:val="en-US" w:eastAsia="zh-CN" w:bidi="ar"/>
        </w:rPr>
        <w:t>“花钱必问效、无效必压减”</w:t>
      </w:r>
      <w:r>
        <w:rPr>
          <w:rFonts w:hint="eastAsia" w:ascii="仿宋" w:hAnsi="仿宋" w:eastAsia="仿宋" w:cs="仿宋"/>
          <w:b w:val="0"/>
          <w:bCs w:val="0"/>
          <w:kern w:val="0"/>
          <w:sz w:val="32"/>
          <w:szCs w:val="32"/>
          <w:lang w:val="en-US" w:eastAsia="zh-CN" w:bidi="ar"/>
        </w:rPr>
        <w:t>和</w:t>
      </w:r>
      <w:r>
        <w:rPr>
          <w:rFonts w:hint="eastAsia" w:ascii="仿宋" w:hAnsi="仿宋" w:eastAsia="仿宋" w:cs="仿宋"/>
          <w:b/>
          <w:bCs/>
          <w:kern w:val="0"/>
          <w:sz w:val="32"/>
          <w:szCs w:val="32"/>
          <w:lang w:val="en-US" w:eastAsia="zh-CN" w:bidi="ar"/>
        </w:rPr>
        <w:t>“花钱必问效、无效必问责”</w:t>
      </w:r>
      <w:r>
        <w:rPr>
          <w:rFonts w:hint="eastAsia" w:ascii="仿宋" w:hAnsi="仿宋" w:eastAsia="仿宋" w:cs="仿宋"/>
          <w:b w:val="0"/>
          <w:bCs w:val="0"/>
          <w:kern w:val="0"/>
          <w:sz w:val="32"/>
          <w:szCs w:val="32"/>
          <w:lang w:val="en-US" w:eastAsia="zh-CN" w:bidi="ar"/>
        </w:rPr>
        <w:t>的原则。提前支付会导致资金闲置，降低使用效益。</w:t>
      </w:r>
    </w:p>
    <w:p w14:paraId="06ED998E">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kern w:val="0"/>
          <w:sz w:val="32"/>
          <w:szCs w:val="32"/>
          <w:lang w:val="en-US" w:eastAsia="zh-CN" w:bidi="ar"/>
        </w:rPr>
        <w:t>建议：一是</w:t>
      </w:r>
      <w:r>
        <w:rPr>
          <w:rFonts w:hint="eastAsia" w:ascii="仿宋" w:hAnsi="仿宋" w:eastAsia="仿宋" w:cs="仿宋"/>
          <w:b w:val="0"/>
          <w:bCs w:val="0"/>
          <w:kern w:val="0"/>
          <w:sz w:val="32"/>
          <w:szCs w:val="32"/>
          <w:lang w:val="en-US" w:eastAsia="zh-CN" w:bidi="ar"/>
        </w:rPr>
        <w:t>严格执行年度预算，</w:t>
      </w:r>
      <w:r>
        <w:rPr>
          <w:rFonts w:hint="eastAsia" w:ascii="仿宋" w:hAnsi="仿宋" w:eastAsia="仿宋" w:cs="仿宋"/>
          <w:b/>
          <w:bCs/>
          <w:kern w:val="0"/>
          <w:sz w:val="32"/>
          <w:szCs w:val="32"/>
          <w:lang w:val="en-US" w:eastAsia="zh-CN" w:bidi="ar"/>
        </w:rPr>
        <w:t>“先有预算，后有支出”</w:t>
      </w:r>
      <w:r>
        <w:rPr>
          <w:rFonts w:hint="eastAsia" w:ascii="仿宋" w:hAnsi="仿宋" w:eastAsia="仿宋" w:cs="仿宋"/>
          <w:b w:val="0"/>
          <w:bCs w:val="0"/>
          <w:kern w:val="0"/>
          <w:sz w:val="32"/>
          <w:szCs w:val="32"/>
          <w:lang w:val="en-US" w:eastAsia="zh-CN" w:bidi="ar"/>
        </w:rPr>
        <w:t>的原则，确保所有支出都在当年批准的预算范围内执行。2025年的经费支出，必须纳入2025年度的预算编制，并经规定程序审批后，在2025年进行支付。</w:t>
      </w:r>
      <w:r>
        <w:rPr>
          <w:rFonts w:hint="eastAsia" w:ascii="仿宋" w:hAnsi="仿宋" w:eastAsia="仿宋" w:cs="仿宋"/>
          <w:b/>
          <w:bCs/>
          <w:kern w:val="0"/>
          <w:sz w:val="32"/>
          <w:szCs w:val="32"/>
          <w:lang w:val="en-US" w:eastAsia="zh-CN" w:bidi="ar"/>
        </w:rPr>
        <w:t>二是强化预算绩效管理。</w:t>
      </w:r>
      <w:r>
        <w:rPr>
          <w:rFonts w:hint="eastAsia" w:ascii="仿宋" w:hAnsi="仿宋" w:eastAsia="仿宋" w:cs="仿宋"/>
          <w:b w:val="0"/>
          <w:bCs w:val="0"/>
          <w:kern w:val="0"/>
          <w:sz w:val="32"/>
          <w:szCs w:val="32"/>
          <w:lang w:val="en-US" w:eastAsia="zh-CN" w:bidi="ar"/>
        </w:rPr>
        <w:t>建立并落实“事前有目标、事中有监控、事后有评价、结果有运用”的全过程绩效运行机制。在预算编制时，就要同步设定清晰的绩效目标。预算执行中，确保资金支付进度与项目实施进度相匹配。</w:t>
      </w:r>
      <w:r>
        <w:rPr>
          <w:rFonts w:hint="eastAsia" w:ascii="仿宋" w:hAnsi="仿宋" w:eastAsia="仿宋" w:cs="仿宋"/>
          <w:b/>
          <w:bCs/>
          <w:kern w:val="0"/>
          <w:sz w:val="32"/>
          <w:szCs w:val="32"/>
          <w:lang w:val="en-US" w:eastAsia="zh-CN" w:bidi="ar"/>
        </w:rPr>
        <w:t>三是完善内部控制和监督。</w:t>
      </w:r>
      <w:r>
        <w:rPr>
          <w:rFonts w:hint="eastAsia" w:ascii="仿宋" w:hAnsi="仿宋" w:eastAsia="仿宋" w:cs="仿宋"/>
          <w:b w:val="0"/>
          <w:bCs w:val="0"/>
          <w:kern w:val="0"/>
          <w:sz w:val="32"/>
          <w:szCs w:val="32"/>
          <w:lang w:val="en-US" w:eastAsia="zh-CN" w:bidi="ar"/>
        </w:rPr>
        <w:t>健全单位内部财务管理制度，强化支出审批流程，特别是对大额资金支出，必须严格执行“三重一大”集体决策程序。</w:t>
      </w:r>
    </w:p>
    <w:p w14:paraId="360033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仿宋" w:hAnsi="仿宋" w:eastAsia="仿宋" w:cs="仿宋"/>
          <w:b w:val="0"/>
          <w:bCs w:val="0"/>
          <w:kern w:val="0"/>
          <w:sz w:val="32"/>
          <w:szCs w:val="32"/>
          <w:lang w:val="en-US" w:eastAsia="zh-CN" w:bidi="ar"/>
        </w:rPr>
      </w:pPr>
      <w:bookmarkStart w:id="54" w:name="_Toc8315"/>
      <w:r>
        <w:rPr>
          <w:rFonts w:hint="eastAsia" w:ascii="楷体" w:hAnsi="楷体" w:eastAsia="楷体" w:cs="楷体"/>
          <w:b/>
          <w:bCs/>
          <w:sz w:val="32"/>
          <w:szCs w:val="32"/>
          <w:lang w:val="en-US" w:eastAsia="zh-CN"/>
        </w:rPr>
        <w:t>（二）管理程序方面存在的问题及建议</w:t>
      </w:r>
      <w:bookmarkEnd w:id="54"/>
    </w:p>
    <w:p w14:paraId="590A439F">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1.</w:t>
      </w:r>
      <w:r>
        <w:rPr>
          <w:rFonts w:hint="eastAsia" w:ascii="仿宋" w:hAnsi="仿宋" w:eastAsia="仿宋" w:cs="仿宋"/>
          <w:b/>
          <w:bCs/>
          <w:kern w:val="0"/>
          <w:sz w:val="32"/>
          <w:szCs w:val="32"/>
          <w:lang w:val="en-US" w:eastAsia="zh-CN" w:bidi="ar"/>
        </w:rPr>
        <w:t>区科协打款5万元给老科协，缺乏相关依据。“重支付，轻管理”，完成了资金划转的步骤，忽略了支付前端的决策、审批、合同订立等管理程序，导致财务凭证无法支撑经济业务的合法性与合理性</w:t>
      </w:r>
      <w:r>
        <w:rPr>
          <w:rFonts w:hint="eastAsia" w:ascii="仿宋" w:hAnsi="仿宋" w:eastAsia="仿宋" w:cs="仿宋"/>
          <w:b w:val="0"/>
          <w:bCs w:val="0"/>
          <w:kern w:val="0"/>
          <w:sz w:val="32"/>
          <w:szCs w:val="32"/>
          <w:lang w:val="en-US" w:eastAsia="zh-CN" w:bidi="ar"/>
        </w:rPr>
        <w:t>。详见2024年7月4号凭证与12月17号凭证。分两笔为3万元与2万元，其中3万元后附国库支付单及2024年7月份预算内支出用款计划表，编制说明办公费用，单位负责人：邹季新。制表:丁俐，宋亮英。后附写了同意按区长批示拨付。未附有其他文件依据或会议纪要。其中2万元后附国库支付单，后附2024年12月用款计划表，注明工作费用，单位负责人：邹季新。制表:丁俐，无其他依据。</w:t>
      </w:r>
    </w:p>
    <w:p w14:paraId="1EDDB402">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bCs/>
          <w:kern w:val="0"/>
          <w:sz w:val="32"/>
          <w:szCs w:val="32"/>
          <w:lang w:val="en-US" w:eastAsia="zh-CN" w:bidi="ar"/>
        </w:rPr>
        <w:t>相关政策1：</w:t>
      </w:r>
      <w:r>
        <w:rPr>
          <w:rFonts w:hint="eastAsia" w:ascii="仿宋" w:hAnsi="仿宋" w:eastAsia="仿宋" w:cs="仿宋"/>
          <w:b w:val="0"/>
          <w:bCs w:val="0"/>
          <w:kern w:val="0"/>
          <w:sz w:val="32"/>
          <w:szCs w:val="32"/>
          <w:lang w:val="en-US" w:eastAsia="zh-CN" w:bidi="ar"/>
        </w:rPr>
        <w:t>上述违反了《政府会计制度——行政事业单位会计科目和报表》的要求。原始凭证必须完整、真实，以反映经济业务的实质。核心依据的缺失导致凭证不完整。</w:t>
      </w:r>
      <w:r>
        <w:rPr>
          <w:rFonts w:hint="eastAsia" w:ascii="仿宋" w:hAnsi="仿宋" w:eastAsia="仿宋" w:cs="仿宋"/>
          <w:b/>
          <w:bCs/>
          <w:kern w:val="0"/>
          <w:sz w:val="32"/>
          <w:szCs w:val="32"/>
          <w:lang w:val="en-US" w:eastAsia="zh-CN" w:bidi="ar"/>
        </w:rPr>
        <w:t>相关政策2：</w:t>
      </w:r>
      <w:r>
        <w:rPr>
          <w:rFonts w:hint="eastAsia" w:ascii="仿宋" w:hAnsi="仿宋" w:eastAsia="仿宋" w:cs="仿宋"/>
          <w:b w:val="0"/>
          <w:bCs w:val="0"/>
          <w:kern w:val="0"/>
          <w:sz w:val="32"/>
          <w:szCs w:val="32"/>
          <w:lang w:val="en-US" w:eastAsia="zh-CN" w:bidi="ar"/>
        </w:rPr>
        <w:t>上述违反了《政府会计制度——行政事业单《行政事业单位内部控制规范（试行）》的业务控制要求。未能提供证明业务真实性的相关资料。违反了信息内部公开要求，审批记录不完整，关键决策依据未留存。</w:t>
      </w:r>
      <w:r>
        <w:rPr>
          <w:rFonts w:hint="eastAsia" w:ascii="仿宋" w:hAnsi="仿宋" w:eastAsia="仿宋" w:cs="仿宋"/>
          <w:b/>
          <w:bCs/>
          <w:kern w:val="0"/>
          <w:sz w:val="32"/>
          <w:szCs w:val="32"/>
          <w:lang w:val="en-US" w:eastAsia="zh-CN" w:bidi="ar"/>
        </w:rPr>
        <w:t>相关政策3：</w:t>
      </w:r>
      <w:r>
        <w:rPr>
          <w:rFonts w:hint="eastAsia" w:ascii="仿宋" w:hAnsi="仿宋" w:eastAsia="仿宋" w:cs="仿宋"/>
          <w:b w:val="0"/>
          <w:bCs w:val="0"/>
          <w:kern w:val="0"/>
          <w:sz w:val="32"/>
          <w:szCs w:val="32"/>
          <w:lang w:val="en-US" w:eastAsia="zh-CN" w:bidi="ar"/>
        </w:rPr>
        <w:t>上述违反了《中华人民共和国预算法》。无法证明该笔“办公费用”“工作经费”的拨付符合预算规定的用途，资金使用效益无法衡量。</w:t>
      </w:r>
      <w:r>
        <w:rPr>
          <w:rFonts w:hint="eastAsia" w:ascii="仿宋" w:hAnsi="仿宋" w:eastAsia="仿宋" w:cs="仿宋"/>
          <w:b/>
          <w:bCs/>
          <w:kern w:val="0"/>
          <w:sz w:val="32"/>
          <w:szCs w:val="32"/>
          <w:lang w:val="en-US" w:eastAsia="zh-CN" w:bidi="ar"/>
        </w:rPr>
        <w:t>表面程序</w:t>
      </w:r>
      <w:r>
        <w:rPr>
          <w:rFonts w:hint="eastAsia" w:ascii="仿宋" w:hAnsi="仿宋" w:eastAsia="仿宋" w:cs="仿宋"/>
          <w:b w:val="0"/>
          <w:bCs w:val="0"/>
          <w:kern w:val="0"/>
          <w:sz w:val="32"/>
          <w:szCs w:val="32"/>
          <w:lang w:val="en-US" w:eastAsia="zh-CN" w:bidi="ar"/>
        </w:rPr>
        <w:t>具备了基础的支付申请（用款计划表）或内部审批意见（“同意按区长批示拨付”）。</w:t>
      </w:r>
      <w:r>
        <w:rPr>
          <w:rFonts w:hint="eastAsia" w:ascii="仿宋" w:hAnsi="仿宋" w:eastAsia="仿宋" w:cs="仿宋"/>
          <w:b/>
          <w:bCs/>
          <w:kern w:val="0"/>
          <w:sz w:val="32"/>
          <w:szCs w:val="32"/>
          <w:lang w:val="en-US" w:eastAsia="zh-CN" w:bidi="ar"/>
        </w:rPr>
        <w:t>核心依据缺失。</w:t>
      </w:r>
      <w:r>
        <w:rPr>
          <w:rFonts w:hint="eastAsia" w:ascii="仿宋" w:hAnsi="仿宋" w:eastAsia="仿宋" w:cs="仿宋"/>
          <w:b w:val="0"/>
          <w:bCs w:val="0"/>
          <w:kern w:val="0"/>
          <w:sz w:val="32"/>
          <w:szCs w:val="32"/>
          <w:lang w:val="en-US" w:eastAsia="zh-CN" w:bidi="ar"/>
        </w:rPr>
        <w:t>整个审批链条中最关键、最权威的文件—“区长批示”本身并未作为附件。没有这个批示，所谓的“同意”就失去了基础和依据，无法证明该资金拨付的合法性与必要性。</w:t>
      </w:r>
      <w:r>
        <w:rPr>
          <w:rFonts w:hint="eastAsia" w:ascii="仿宋" w:hAnsi="仿宋" w:eastAsia="仿宋" w:cs="仿宋"/>
          <w:b/>
          <w:bCs/>
          <w:kern w:val="0"/>
          <w:sz w:val="32"/>
          <w:szCs w:val="32"/>
          <w:lang w:val="en-US" w:eastAsia="zh-CN" w:bidi="ar"/>
        </w:rPr>
        <w:t>事由模糊不清。</w:t>
      </w:r>
      <w:r>
        <w:rPr>
          <w:rFonts w:hint="eastAsia" w:ascii="仿宋" w:hAnsi="仿宋" w:eastAsia="仿宋" w:cs="仿宋"/>
          <w:b w:val="0"/>
          <w:bCs w:val="0"/>
          <w:kern w:val="0"/>
          <w:sz w:val="32"/>
          <w:szCs w:val="32"/>
          <w:lang w:val="en-US" w:eastAsia="zh-CN" w:bidi="ar"/>
        </w:rPr>
        <w:t>用款计划表上的“办公费用”“工作经费”作为拨付给老科协的资金用途，过于笼统，不合常理。区科协的“办公费用”“工作经费”为何要拨付给老科协？需要具体的文件（如委托协议、项目合同、活动方案等）说明两者的业务关联和资金用途。</w:t>
      </w:r>
      <w:r>
        <w:rPr>
          <w:rFonts w:hint="eastAsia" w:ascii="仿宋" w:hAnsi="仿宋" w:eastAsia="仿宋" w:cs="仿宋"/>
          <w:b/>
          <w:bCs/>
          <w:kern w:val="0"/>
          <w:sz w:val="32"/>
          <w:szCs w:val="32"/>
          <w:lang w:val="en-US" w:eastAsia="zh-CN" w:bidi="ar"/>
        </w:rPr>
        <w:t>缺乏业务实质证明。</w:t>
      </w:r>
      <w:r>
        <w:rPr>
          <w:rFonts w:hint="eastAsia" w:ascii="仿宋" w:hAnsi="仿宋" w:eastAsia="仿宋" w:cs="仿宋"/>
          <w:b w:val="0"/>
          <w:bCs w:val="0"/>
          <w:kern w:val="0"/>
          <w:sz w:val="32"/>
          <w:szCs w:val="32"/>
          <w:lang w:val="en-US" w:eastAsia="zh-CN" w:bidi="ar"/>
        </w:rPr>
        <w:t>整个支付过程是一次简单的资金划转，未体现基于具体公务活动或项目合作的经济业务实质。</w:t>
      </w:r>
    </w:p>
    <w:p w14:paraId="0A294D51">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bCs/>
          <w:kern w:val="0"/>
          <w:sz w:val="32"/>
          <w:szCs w:val="32"/>
          <w:lang w:val="en-US" w:eastAsia="zh-CN" w:bidi="ar"/>
        </w:rPr>
        <w:t>建议：一是及时核查与补充资料。</w:t>
      </w:r>
      <w:r>
        <w:rPr>
          <w:rFonts w:hint="eastAsia" w:ascii="仿宋" w:hAnsi="仿宋" w:eastAsia="仿宋" w:cs="仿宋"/>
          <w:b w:val="0"/>
          <w:bCs w:val="0"/>
          <w:kern w:val="0"/>
          <w:sz w:val="32"/>
          <w:szCs w:val="32"/>
          <w:lang w:val="en-US" w:eastAsia="zh-CN" w:bidi="ar"/>
        </w:rPr>
        <w:t>成立核查小组，对这两笔5万元资金的实际用途进行追踪审计。要求老科协提供</w:t>
      </w:r>
      <w:r>
        <w:rPr>
          <w:rFonts w:hint="eastAsia" w:ascii="仿宋" w:hAnsi="仿宋" w:eastAsia="仿宋" w:cs="仿宋"/>
          <w:b/>
          <w:bCs/>
          <w:kern w:val="0"/>
          <w:sz w:val="32"/>
          <w:szCs w:val="32"/>
          <w:lang w:val="en-US" w:eastAsia="zh-CN" w:bidi="ar"/>
        </w:rPr>
        <w:t>资金使用明细、相关发票、活动记录或成果报告</w:t>
      </w:r>
      <w:r>
        <w:rPr>
          <w:rFonts w:hint="eastAsia" w:ascii="仿宋" w:hAnsi="仿宋" w:eastAsia="仿宋" w:cs="仿宋"/>
          <w:b w:val="0"/>
          <w:bCs w:val="0"/>
          <w:kern w:val="0"/>
          <w:sz w:val="32"/>
          <w:szCs w:val="32"/>
          <w:lang w:val="en-US" w:eastAsia="zh-CN" w:bidi="ar"/>
        </w:rPr>
        <w:t>等，以核实资金是否最终用于</w:t>
      </w:r>
      <w:r>
        <w:rPr>
          <w:rFonts w:hint="eastAsia" w:ascii="仿宋" w:hAnsi="仿宋" w:eastAsia="仿宋" w:cs="仿宋"/>
          <w:b/>
          <w:bCs/>
          <w:kern w:val="0"/>
          <w:sz w:val="32"/>
          <w:szCs w:val="32"/>
          <w:lang w:val="en-US" w:eastAsia="zh-CN" w:bidi="ar"/>
        </w:rPr>
        <w:t>合规的公务活动。</w:t>
      </w:r>
      <w:r>
        <w:rPr>
          <w:rFonts w:hint="eastAsia" w:ascii="仿宋" w:hAnsi="仿宋" w:eastAsia="仿宋" w:cs="仿宋"/>
          <w:b w:val="0"/>
          <w:bCs w:val="0"/>
          <w:kern w:val="0"/>
          <w:sz w:val="32"/>
          <w:szCs w:val="32"/>
          <w:lang w:val="en-US" w:eastAsia="zh-CN" w:bidi="ar"/>
        </w:rPr>
        <w:t>对于3万元款项，找到并作为凭证附件补充</w:t>
      </w:r>
      <w:r>
        <w:rPr>
          <w:rFonts w:hint="eastAsia" w:ascii="仿宋" w:hAnsi="仿宋" w:eastAsia="仿宋" w:cs="仿宋"/>
          <w:b/>
          <w:bCs/>
          <w:kern w:val="0"/>
          <w:sz w:val="32"/>
          <w:szCs w:val="32"/>
          <w:lang w:val="en-US" w:eastAsia="zh-CN" w:bidi="ar"/>
        </w:rPr>
        <w:t>“区长批示”文件。</w:t>
      </w:r>
      <w:r>
        <w:rPr>
          <w:rFonts w:hint="eastAsia" w:ascii="仿宋" w:hAnsi="仿宋" w:eastAsia="仿宋" w:cs="仿宋"/>
          <w:b w:val="0"/>
          <w:bCs w:val="0"/>
          <w:kern w:val="0"/>
          <w:sz w:val="32"/>
          <w:szCs w:val="32"/>
          <w:lang w:val="en-US" w:eastAsia="zh-CN" w:bidi="ar"/>
        </w:rPr>
        <w:t>同时，补充解释“办公费用”具体内容的文件，例如与老科协签订的委托办理某项工作的协议、活动经费预算方案等。对于2万元款项，详细说明“工作费用”的具体构成，例如用于</w:t>
      </w:r>
      <w:r>
        <w:rPr>
          <w:rFonts w:hint="eastAsia" w:ascii="仿宋" w:hAnsi="仿宋" w:eastAsia="仿宋" w:cs="仿宋"/>
          <w:b/>
          <w:bCs/>
          <w:kern w:val="0"/>
          <w:sz w:val="32"/>
          <w:szCs w:val="32"/>
          <w:lang w:val="en-US" w:eastAsia="zh-CN" w:bidi="ar"/>
        </w:rPr>
        <w:t>某项具体科普活动的劳务费、材料费，或专项课题的研究经费，并补充相应的活动通知、方案或合同。二是完善制度建设（长效机制）。制定明确的内控流程。</w:t>
      </w:r>
      <w:r>
        <w:rPr>
          <w:rFonts w:hint="eastAsia" w:ascii="仿宋" w:hAnsi="仿宋" w:eastAsia="仿宋" w:cs="仿宋"/>
          <w:b w:val="0"/>
          <w:bCs w:val="0"/>
          <w:kern w:val="0"/>
          <w:sz w:val="32"/>
          <w:szCs w:val="32"/>
          <w:lang w:val="en-US" w:eastAsia="zh-CN" w:bidi="ar"/>
        </w:rPr>
        <w:t>出台单位内部《资金支付管理办法》，明确规定所有对外付款（特别是对协会、企业等非预算单位）必须提供的关键支撑材料清单，例如：“一事一议”的审批单、合同或协议、项目预算方案、绩效目标表、会议纪要等。</w:t>
      </w:r>
      <w:r>
        <w:rPr>
          <w:rFonts w:hint="eastAsia" w:ascii="仿宋" w:hAnsi="仿宋" w:eastAsia="仿宋" w:cs="仿宋"/>
          <w:b/>
          <w:bCs/>
          <w:kern w:val="0"/>
          <w:sz w:val="32"/>
          <w:szCs w:val="32"/>
          <w:lang w:val="en-US" w:eastAsia="zh-CN" w:bidi="ar"/>
        </w:rPr>
        <w:t>建立“无依据，不支付”的原则。</w:t>
      </w:r>
      <w:r>
        <w:rPr>
          <w:rFonts w:hint="eastAsia" w:ascii="仿宋" w:hAnsi="仿宋" w:eastAsia="仿宋" w:cs="仿宋"/>
          <w:b w:val="0"/>
          <w:bCs w:val="0"/>
          <w:kern w:val="0"/>
          <w:sz w:val="32"/>
          <w:szCs w:val="32"/>
          <w:lang w:val="en-US" w:eastAsia="zh-CN" w:bidi="ar"/>
        </w:rPr>
        <w:t>在财务报销和支付环节设置严格审核岗，对附件不齐全、审批不完整的支付申请一律退回，不予办理。</w:t>
      </w:r>
      <w:r>
        <w:rPr>
          <w:rFonts w:hint="eastAsia" w:ascii="仿宋" w:hAnsi="仿宋" w:eastAsia="仿宋" w:cs="仿宋"/>
          <w:b/>
          <w:bCs/>
          <w:kern w:val="0"/>
          <w:sz w:val="32"/>
          <w:szCs w:val="32"/>
          <w:lang w:val="en-US" w:eastAsia="zh-CN" w:bidi="ar"/>
        </w:rPr>
        <w:t>三是加强人员培训。</w:t>
      </w:r>
      <w:r>
        <w:rPr>
          <w:rFonts w:hint="eastAsia" w:ascii="仿宋" w:hAnsi="仿宋" w:eastAsia="仿宋" w:cs="仿宋"/>
          <w:b w:val="0"/>
          <w:bCs w:val="0"/>
          <w:kern w:val="0"/>
          <w:sz w:val="32"/>
          <w:szCs w:val="32"/>
          <w:lang w:val="en-US" w:eastAsia="zh-CN" w:bidi="ar"/>
        </w:rPr>
        <w:t>对单位负责人、财务人员（丁俐、宋亮英）及相关业务经办人员进行财经法规和内部控制培训。</w:t>
      </w:r>
    </w:p>
    <w:p w14:paraId="03310DE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kern w:val="0"/>
          <w:sz w:val="32"/>
          <w:szCs w:val="32"/>
          <w:lang w:val="en-US" w:eastAsia="zh-CN" w:bidi="ar"/>
        </w:rPr>
        <w:t>2.</w:t>
      </w:r>
      <w:r>
        <w:rPr>
          <w:rFonts w:hint="eastAsia" w:ascii="仿宋" w:hAnsi="仿宋" w:eastAsia="仿宋" w:cs="仿宋"/>
          <w:b/>
          <w:bCs/>
          <w:sz w:val="32"/>
          <w:szCs w:val="32"/>
          <w:lang w:val="en-US" w:eastAsia="zh-CN"/>
        </w:rPr>
        <w:t>业务发生时间早于政府采购协议签订时间。</w:t>
      </w:r>
    </w:p>
    <w:p w14:paraId="3A42837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上述违反了《中华人民共和国政府采购法》</w:t>
      </w:r>
    </w:p>
    <w:p w14:paraId="1CC7B9B8">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第四十三条：“政府采购合同适用合同法。采购人和供应商之间的权利和义务，应当按照平等、自愿的原则以合同方式约定。”第四十四条：“</w:t>
      </w:r>
      <w:r>
        <w:rPr>
          <w:rFonts w:hint="eastAsia" w:ascii="仿宋" w:hAnsi="仿宋" w:eastAsia="仿宋" w:cs="仿宋"/>
          <w:b/>
          <w:bCs/>
          <w:sz w:val="32"/>
          <w:szCs w:val="32"/>
          <w:lang w:val="en-US" w:eastAsia="zh-CN"/>
        </w:rPr>
        <w:t>政府采购合同应当采用书面形式</w:t>
      </w:r>
      <w:r>
        <w:rPr>
          <w:rFonts w:hint="eastAsia" w:ascii="仿宋" w:hAnsi="仿宋" w:eastAsia="仿宋" w:cs="仿宋"/>
          <w:b w:val="0"/>
          <w:bCs w:val="0"/>
          <w:sz w:val="32"/>
          <w:szCs w:val="32"/>
          <w:lang w:val="en-US" w:eastAsia="zh-CN"/>
        </w:rPr>
        <w:t>。”</w:t>
      </w:r>
    </w:p>
    <w:p w14:paraId="1B2B427B">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核心解读：</w:t>
      </w:r>
      <w:r>
        <w:rPr>
          <w:rFonts w:hint="eastAsia" w:ascii="仿宋" w:hAnsi="仿宋" w:eastAsia="仿宋" w:cs="仿宋"/>
          <w:b w:val="0"/>
          <w:bCs w:val="0"/>
          <w:sz w:val="32"/>
          <w:szCs w:val="32"/>
          <w:lang w:val="en-US" w:eastAsia="zh-CN"/>
        </w:rPr>
        <w:t>法律明确规定，采购人与供应商的权利义务必须通过书面合同来约定。在合同签订之前，双方的法律关系并未正式确立。提前开展业务，意味着在没有任何法律文件约束的情况下进行了采购活动，完全违背了政府采购</w:t>
      </w:r>
      <w:r>
        <w:rPr>
          <w:rFonts w:hint="eastAsia" w:ascii="仿宋" w:hAnsi="仿宋" w:eastAsia="仿宋" w:cs="仿宋"/>
          <w:b/>
          <w:bCs/>
          <w:sz w:val="32"/>
          <w:szCs w:val="32"/>
          <w:lang w:val="en-US" w:eastAsia="zh-CN"/>
        </w:rPr>
        <w:t>“按合同办事”</w:t>
      </w:r>
      <w:r>
        <w:rPr>
          <w:rFonts w:hint="eastAsia" w:ascii="仿宋" w:hAnsi="仿宋" w:eastAsia="仿宋" w:cs="仿宋"/>
          <w:b w:val="0"/>
          <w:bCs w:val="0"/>
          <w:sz w:val="32"/>
          <w:szCs w:val="32"/>
          <w:lang w:val="en-US" w:eastAsia="zh-CN"/>
        </w:rPr>
        <w:t>的基本原则。</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上述违反了《中华人民共和国政府采购法实施条例》第六十七条。详细列举了未按照政府采购法和本条例规定执行的各种违法情形。虽然未直接提及</w:t>
      </w:r>
      <w:r>
        <w:rPr>
          <w:rFonts w:hint="eastAsia" w:ascii="仿宋" w:hAnsi="仿宋" w:eastAsia="仿宋" w:cs="仿宋"/>
          <w:b/>
          <w:bCs/>
          <w:sz w:val="32"/>
          <w:szCs w:val="32"/>
          <w:lang w:val="en-US" w:eastAsia="zh-CN"/>
        </w:rPr>
        <w:t>“合同倒签”</w:t>
      </w:r>
      <w:r>
        <w:rPr>
          <w:rFonts w:hint="eastAsia" w:ascii="仿宋" w:hAnsi="仿宋" w:eastAsia="仿宋" w:cs="仿宋"/>
          <w:b w:val="0"/>
          <w:bCs w:val="0"/>
          <w:sz w:val="32"/>
          <w:szCs w:val="32"/>
          <w:lang w:val="en-US" w:eastAsia="zh-CN"/>
        </w:rPr>
        <w:t>，但</w:t>
      </w:r>
      <w:r>
        <w:rPr>
          <w:rFonts w:hint="eastAsia" w:ascii="仿宋" w:hAnsi="仿宋" w:eastAsia="仿宋" w:cs="仿宋"/>
          <w:b/>
          <w:bCs/>
          <w:sz w:val="32"/>
          <w:szCs w:val="32"/>
          <w:lang w:val="en-US" w:eastAsia="zh-CN"/>
        </w:rPr>
        <w:t>“先干活后补合同”</w:t>
      </w:r>
      <w:r>
        <w:rPr>
          <w:rFonts w:hint="eastAsia" w:ascii="仿宋" w:hAnsi="仿宋" w:eastAsia="仿宋" w:cs="仿宋"/>
          <w:b w:val="0"/>
          <w:bCs w:val="0"/>
          <w:sz w:val="32"/>
          <w:szCs w:val="32"/>
          <w:lang w:val="en-US" w:eastAsia="zh-CN"/>
        </w:rPr>
        <w:t>本质上属于规避政府采购法定程序的行为，属于广义的违法违规行为。</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w:t>
      </w:r>
      <w:r>
        <w:rPr>
          <w:rFonts w:hint="eastAsia" w:ascii="仿宋" w:hAnsi="仿宋" w:eastAsia="仿宋" w:cs="仿宋"/>
          <w:b/>
          <w:bCs/>
          <w:sz w:val="32"/>
          <w:szCs w:val="32"/>
          <w:lang w:val="en-US" w:eastAsia="zh-CN"/>
        </w:rPr>
        <w:t>《政府采购需求管理办法》（财库〔2021〕22号）。</w:t>
      </w:r>
      <w:r>
        <w:rPr>
          <w:rFonts w:hint="eastAsia" w:ascii="仿宋" w:hAnsi="仿宋" w:eastAsia="仿宋" w:cs="仿宋"/>
          <w:b w:val="0"/>
          <w:bCs w:val="0"/>
          <w:sz w:val="32"/>
          <w:szCs w:val="32"/>
          <w:lang w:val="en-US" w:eastAsia="zh-CN"/>
        </w:rPr>
        <w:t>该办法强调，采购需求管理是政府采购管理的起点，合同是落实采购需求的终点。所有采购活动都应在确定的采购需求框架下，通过规范的采购程序，最终以合同形式固化。业务先于合同，导致整个采购流程本末倒置。</w:t>
      </w:r>
      <w:r>
        <w:rPr>
          <w:rFonts w:hint="eastAsia" w:ascii="仿宋" w:hAnsi="仿宋" w:eastAsia="仿宋" w:cs="仿宋"/>
          <w:b/>
          <w:bCs/>
          <w:sz w:val="32"/>
          <w:szCs w:val="32"/>
          <w:lang w:val="en-US" w:eastAsia="zh-CN"/>
        </w:rPr>
        <w:t>三类风险分析。</w:t>
      </w:r>
    </w:p>
    <w:p w14:paraId="5EDE8312">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一是程序违法风险。</w:t>
      </w:r>
      <w:r>
        <w:rPr>
          <w:rFonts w:hint="eastAsia" w:ascii="仿宋" w:hAnsi="仿宋" w:eastAsia="仿宋" w:cs="仿宋"/>
          <w:b w:val="0"/>
          <w:bCs w:val="0"/>
          <w:sz w:val="32"/>
          <w:szCs w:val="32"/>
          <w:lang w:val="en-US" w:eastAsia="zh-CN"/>
        </w:rPr>
        <w:t>这是最根本的风险。它使得整个政府采购程序（公开招标、竞争性谈判、询价等）形同虚设，因为实际执行已经提前发生，采购结果在程序完成前就已内定，严重损害了政府采购的公开、公平、公正原则。</w:t>
      </w:r>
      <w:r>
        <w:rPr>
          <w:rFonts w:hint="eastAsia" w:ascii="仿宋" w:hAnsi="仿宋" w:eastAsia="仿宋" w:cs="仿宋"/>
          <w:b/>
          <w:bCs/>
          <w:sz w:val="32"/>
          <w:szCs w:val="32"/>
          <w:lang w:val="en-US" w:eastAsia="zh-CN"/>
        </w:rPr>
        <w:t>二是审计风险。</w:t>
      </w:r>
      <w:r>
        <w:rPr>
          <w:rFonts w:hint="eastAsia" w:ascii="仿宋" w:hAnsi="仿宋" w:eastAsia="仿宋" w:cs="仿宋"/>
          <w:b w:val="0"/>
          <w:bCs w:val="0"/>
          <w:sz w:val="32"/>
          <w:szCs w:val="32"/>
          <w:lang w:val="en-US" w:eastAsia="zh-CN"/>
        </w:rPr>
        <w:t>在审计中，此类合同是重点审查对象。审计人员会通过比对发票日期、验收日期和合同签订日期来发现此类问题。一旦发现，该笔支出很可能被认定为不合规支出，要求整改甚至追回资金，并在审计报告中作为重大问题披露</w:t>
      </w:r>
      <w:r>
        <w:rPr>
          <w:rFonts w:hint="eastAsia" w:ascii="仿宋" w:hAnsi="仿宋" w:eastAsia="仿宋" w:cs="仿宋"/>
          <w:b/>
          <w:bCs/>
          <w:sz w:val="32"/>
          <w:szCs w:val="32"/>
          <w:lang w:val="en-US" w:eastAsia="zh-CN"/>
        </w:rPr>
        <w:t>。三是合同效力与资金安全风险。</w:t>
      </w:r>
      <w:r>
        <w:rPr>
          <w:rFonts w:hint="eastAsia" w:ascii="仿宋" w:hAnsi="仿宋" w:eastAsia="仿宋" w:cs="仿宋"/>
          <w:b w:val="0"/>
          <w:bCs w:val="0"/>
          <w:sz w:val="32"/>
          <w:szCs w:val="32"/>
          <w:lang w:val="en-US" w:eastAsia="zh-CN"/>
        </w:rPr>
        <w:t>合同效力存疑，由于合同签订前的业务行为缺乏法律依据，一旦发生纠纷（如服务质量、价格争议），合同双方的权利义务难以界定，合同本身的效力可能受到挑战。资金支付无依据，财政资金支付必须以有效的合同为依据。合同签订前的业务，其费用支付缺乏合同支持，属于无依据支付，违反了财政资金管理的规定。</w:t>
      </w:r>
    </w:p>
    <w:p w14:paraId="4B8116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lang w:val="en-US" w:eastAsia="zh-CN"/>
        </w:rPr>
        <w:t>建议：应着重于从源头和流程上杜绝此类现象，推动采购活动回归“程序优先、合同为据”的法治轨道。</w:t>
      </w:r>
      <w:r>
        <w:rPr>
          <w:rFonts w:hint="eastAsia" w:ascii="仿宋" w:hAnsi="仿宋" w:eastAsia="仿宋" w:cs="仿宋"/>
          <w:b w:val="0"/>
          <w:bCs w:val="0"/>
          <w:sz w:val="32"/>
          <w:szCs w:val="32"/>
          <w:highlight w:val="none"/>
          <w:lang w:val="en-US" w:eastAsia="zh-CN"/>
        </w:rPr>
        <w:t>若已发生2024年先使用后补合同的情况，</w:t>
      </w:r>
      <w:r>
        <w:rPr>
          <w:rFonts w:hint="eastAsia" w:ascii="仿宋" w:hAnsi="仿宋" w:eastAsia="仿宋" w:cs="仿宋"/>
          <w:b/>
          <w:bCs/>
          <w:sz w:val="32"/>
          <w:szCs w:val="32"/>
          <w:highlight w:val="none"/>
          <w:lang w:val="en-US" w:eastAsia="zh-CN"/>
        </w:rPr>
        <w:t>补充书面说明</w:t>
      </w:r>
      <w:r>
        <w:rPr>
          <w:rFonts w:hint="eastAsia" w:ascii="仿宋" w:hAnsi="仿宋" w:eastAsia="仿宋" w:cs="仿宋"/>
          <w:b w:val="0"/>
          <w:bCs w:val="0"/>
          <w:sz w:val="32"/>
          <w:szCs w:val="32"/>
          <w:highlight w:val="none"/>
          <w:lang w:val="en-US" w:eastAsia="zh-CN"/>
        </w:rPr>
        <w:t>，向上级部门说明原因，完善内部审批记录。完善制度，</w:t>
      </w:r>
      <w:r>
        <w:rPr>
          <w:rFonts w:hint="eastAsia" w:ascii="仿宋" w:hAnsi="仿宋" w:eastAsia="仿宋" w:cs="仿宋"/>
          <w:b/>
          <w:bCs/>
          <w:sz w:val="32"/>
          <w:szCs w:val="32"/>
          <w:highlight w:val="none"/>
          <w:lang w:val="en-US" w:eastAsia="zh-CN"/>
        </w:rPr>
        <w:t>建立框架协议或定点采购机制，</w:t>
      </w:r>
      <w:r>
        <w:rPr>
          <w:rFonts w:hint="eastAsia" w:ascii="仿宋" w:hAnsi="仿宋" w:eastAsia="仿宋" w:cs="仿宋"/>
          <w:b w:val="0"/>
          <w:bCs w:val="0"/>
          <w:sz w:val="32"/>
          <w:szCs w:val="32"/>
          <w:highlight w:val="none"/>
          <w:lang w:val="en-US" w:eastAsia="zh-CN"/>
        </w:rPr>
        <w:t>避免再次出现程序倒置，既能满足零星采购灵活性，又能确保程序合规。具体操作需结合当地财政部门实施细则。</w:t>
      </w:r>
      <w:r>
        <w:rPr>
          <w:rFonts w:hint="eastAsia" w:ascii="仿宋" w:hAnsi="仿宋" w:eastAsia="仿宋" w:cs="仿宋"/>
          <w:b/>
          <w:bCs/>
          <w:sz w:val="32"/>
          <w:szCs w:val="32"/>
          <w:highlight w:val="none"/>
          <w:lang w:val="en-US" w:eastAsia="zh-CN"/>
        </w:rPr>
        <w:t>方案1：采用“框架协议+订单”模式。适用场景：</w:t>
      </w:r>
      <w:r>
        <w:rPr>
          <w:rFonts w:hint="eastAsia" w:ascii="仿宋" w:hAnsi="仿宋" w:eastAsia="仿宋" w:cs="仿宋"/>
          <w:b w:val="0"/>
          <w:bCs w:val="0"/>
          <w:sz w:val="32"/>
          <w:szCs w:val="32"/>
          <w:highlight w:val="none"/>
          <w:lang w:val="en-US" w:eastAsia="zh-CN"/>
        </w:rPr>
        <w:t>需求数量不确定，但采购频次较高。</w:t>
      </w:r>
      <w:r>
        <w:rPr>
          <w:rFonts w:hint="eastAsia" w:ascii="仿宋" w:hAnsi="仿宋" w:eastAsia="仿宋" w:cs="仿宋"/>
          <w:b/>
          <w:bCs/>
          <w:sz w:val="32"/>
          <w:szCs w:val="32"/>
          <w:highlight w:val="none"/>
          <w:lang w:val="en-US" w:eastAsia="zh-CN"/>
        </w:rPr>
        <w:t>操作步骤：</w:t>
      </w:r>
      <w:r>
        <w:rPr>
          <w:rFonts w:hint="eastAsia" w:ascii="仿宋" w:hAnsi="仿宋" w:eastAsia="仿宋" w:cs="仿宋"/>
          <w:b w:val="0"/>
          <w:bCs w:val="0"/>
          <w:sz w:val="32"/>
          <w:szCs w:val="32"/>
          <w:highlight w:val="none"/>
          <w:lang w:val="en-US" w:eastAsia="zh-CN"/>
        </w:rPr>
        <w:t>提前签订框架协议（2024年初），通过公开竞争程序确定供应商，约定商品目录、单价、服务条款等，协议有效期1年。</w:t>
      </w:r>
      <w:r>
        <w:rPr>
          <w:rFonts w:hint="eastAsia" w:ascii="仿宋" w:hAnsi="仿宋" w:eastAsia="仿宋" w:cs="仿宋"/>
          <w:b/>
          <w:bCs/>
          <w:sz w:val="32"/>
          <w:szCs w:val="32"/>
          <w:highlight w:val="none"/>
          <w:lang w:val="en-US" w:eastAsia="zh-CN"/>
        </w:rPr>
        <w:t>法律依据：</w:t>
      </w:r>
      <w:r>
        <w:rPr>
          <w:rFonts w:hint="eastAsia" w:ascii="仿宋" w:hAnsi="仿宋" w:eastAsia="仿宋" w:cs="仿宋"/>
          <w:b w:val="0"/>
          <w:bCs w:val="0"/>
          <w:sz w:val="32"/>
          <w:szCs w:val="32"/>
          <w:highlight w:val="none"/>
          <w:lang w:val="en-US" w:eastAsia="zh-CN"/>
        </w:rPr>
        <w:t>《政府采购框架协议采购方式管理暂行办法》（财政部令第110号）。</w:t>
      </w:r>
      <w:r>
        <w:rPr>
          <w:rFonts w:hint="eastAsia" w:ascii="仿宋" w:hAnsi="仿宋" w:eastAsia="仿宋" w:cs="仿宋"/>
          <w:b/>
          <w:bCs/>
          <w:sz w:val="32"/>
          <w:szCs w:val="32"/>
          <w:highlight w:val="none"/>
          <w:lang w:val="en-US" w:eastAsia="zh-CN"/>
        </w:rPr>
        <w:t>按需下发订单：</w:t>
      </w:r>
      <w:r>
        <w:rPr>
          <w:rFonts w:hint="eastAsia" w:ascii="仿宋" w:hAnsi="仿宋" w:eastAsia="仿宋" w:cs="仿宋"/>
          <w:b w:val="0"/>
          <w:bCs w:val="0"/>
          <w:sz w:val="32"/>
          <w:szCs w:val="32"/>
          <w:highlight w:val="none"/>
          <w:lang w:val="en-US" w:eastAsia="zh-CN"/>
        </w:rPr>
        <w:t>在实际需要时，根据框架协议下达订单，无需重复签订合同。</w:t>
      </w:r>
      <w:r>
        <w:rPr>
          <w:rFonts w:hint="eastAsia" w:ascii="仿宋" w:hAnsi="仿宋" w:eastAsia="仿宋" w:cs="仿宋"/>
          <w:b/>
          <w:bCs/>
          <w:sz w:val="32"/>
          <w:szCs w:val="32"/>
          <w:highlight w:val="none"/>
          <w:lang w:val="en-US" w:eastAsia="zh-CN"/>
        </w:rPr>
        <w:t>验收与付款：</w:t>
      </w:r>
      <w:r>
        <w:rPr>
          <w:rFonts w:hint="eastAsia" w:ascii="仿宋" w:hAnsi="仿宋" w:eastAsia="仿宋" w:cs="仿宋"/>
          <w:b w:val="0"/>
          <w:bCs w:val="0"/>
          <w:sz w:val="32"/>
          <w:szCs w:val="32"/>
          <w:highlight w:val="none"/>
          <w:lang w:val="en-US" w:eastAsia="zh-CN"/>
        </w:rPr>
        <w:t>每笔订单单独验收，按协议约定周期（如季度）集中付款。</w:t>
      </w:r>
      <w:r>
        <w:rPr>
          <w:rFonts w:hint="eastAsia" w:ascii="仿宋" w:hAnsi="仿宋" w:eastAsia="仿宋" w:cs="仿宋"/>
          <w:b/>
          <w:bCs/>
          <w:sz w:val="32"/>
          <w:szCs w:val="32"/>
          <w:highlight w:val="none"/>
          <w:lang w:val="en-US" w:eastAsia="zh-CN"/>
        </w:rPr>
        <w:t>方案2：小额零星采购简化程序。适用场景：</w:t>
      </w:r>
      <w:r>
        <w:rPr>
          <w:rFonts w:hint="eastAsia" w:ascii="仿宋" w:hAnsi="仿宋" w:eastAsia="仿宋" w:cs="仿宋"/>
          <w:b w:val="0"/>
          <w:bCs w:val="0"/>
          <w:sz w:val="32"/>
          <w:szCs w:val="32"/>
          <w:highlight w:val="none"/>
          <w:lang w:val="en-US" w:eastAsia="zh-CN"/>
        </w:rPr>
        <w:t>单次采购金额极低（如低于当地分散采购限额，通常为30万元以下）。</w:t>
      </w:r>
      <w:r>
        <w:rPr>
          <w:rFonts w:hint="eastAsia" w:ascii="仿宋" w:hAnsi="仿宋" w:eastAsia="仿宋" w:cs="仿宋"/>
          <w:b/>
          <w:bCs/>
          <w:sz w:val="32"/>
          <w:szCs w:val="32"/>
          <w:highlight w:val="none"/>
          <w:lang w:val="en-US" w:eastAsia="zh-CN"/>
        </w:rPr>
        <w:t>操作步骤：提前备案采购计划，</w:t>
      </w:r>
      <w:r>
        <w:rPr>
          <w:rFonts w:hint="eastAsia" w:ascii="仿宋" w:hAnsi="仿宋" w:eastAsia="仿宋" w:cs="仿宋"/>
          <w:b w:val="0"/>
          <w:bCs w:val="0"/>
          <w:sz w:val="32"/>
          <w:szCs w:val="32"/>
          <w:highlight w:val="none"/>
          <w:lang w:val="en-US" w:eastAsia="zh-CN"/>
        </w:rPr>
        <w:t>在财政部门备案年度零星采购预算及标准。</w:t>
      </w:r>
    </w:p>
    <w:p w14:paraId="41B86D8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通过定点供应商采购，</w:t>
      </w:r>
      <w:r>
        <w:rPr>
          <w:rFonts w:hint="eastAsia" w:ascii="仿宋" w:hAnsi="仿宋" w:eastAsia="仿宋" w:cs="仿宋"/>
          <w:b w:val="0"/>
          <w:bCs w:val="0"/>
          <w:sz w:val="32"/>
          <w:szCs w:val="32"/>
          <w:highlight w:val="none"/>
          <w:lang w:val="en-US" w:eastAsia="zh-CN"/>
        </w:rPr>
        <w:t>选择政府采购定点供应商，直接按定点价格采购。</w:t>
      </w:r>
      <w:r>
        <w:rPr>
          <w:rFonts w:hint="eastAsia" w:ascii="仿宋" w:hAnsi="仿宋" w:eastAsia="仿宋" w:cs="仿宋"/>
          <w:b/>
          <w:bCs/>
          <w:sz w:val="32"/>
          <w:szCs w:val="32"/>
          <w:highlight w:val="none"/>
          <w:lang w:val="en-US" w:eastAsia="zh-CN"/>
        </w:rPr>
        <w:t>即时验收并留存记录，</w:t>
      </w:r>
      <w:r>
        <w:rPr>
          <w:rFonts w:hint="eastAsia" w:ascii="仿宋" w:hAnsi="仿宋" w:eastAsia="仿宋" w:cs="仿宋"/>
          <w:b w:val="0"/>
          <w:bCs w:val="0"/>
          <w:sz w:val="32"/>
          <w:szCs w:val="32"/>
          <w:highlight w:val="none"/>
          <w:lang w:val="en-US" w:eastAsia="zh-CN"/>
        </w:rPr>
        <w:t>每笔采购需有验收单，定期（如按月）汇总签订结算合同并付款。</w:t>
      </w:r>
      <w:r>
        <w:rPr>
          <w:rFonts w:hint="eastAsia" w:ascii="仿宋" w:hAnsi="仿宋" w:eastAsia="仿宋" w:cs="仿宋"/>
          <w:b/>
          <w:bCs/>
          <w:sz w:val="32"/>
          <w:szCs w:val="32"/>
          <w:highlight w:val="none"/>
          <w:lang w:val="en-US" w:eastAsia="zh-CN"/>
        </w:rPr>
        <w:t>方案3：预估需求+分批履行。</w:t>
      </w:r>
      <w:r>
        <w:rPr>
          <w:rFonts w:hint="eastAsia" w:ascii="仿宋" w:hAnsi="仿宋" w:eastAsia="仿宋" w:cs="仿宋"/>
          <w:b w:val="0"/>
          <w:bCs w:val="0"/>
          <w:sz w:val="32"/>
          <w:szCs w:val="32"/>
          <w:highlight w:val="none"/>
          <w:lang w:val="en-US" w:eastAsia="zh-CN"/>
        </w:rPr>
        <w:t>若需求可部分预估，签订合同时明确“预估总量+允许浮动比例”（如±20%），实际采购量按需分批下达，但总额不超过合同上限。</w:t>
      </w:r>
    </w:p>
    <w:p w14:paraId="7A1D52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z w:val="32"/>
          <w:szCs w:val="32"/>
          <w:lang w:val="en-US" w:eastAsia="zh-CN"/>
        </w:rPr>
      </w:pPr>
      <w:bookmarkStart w:id="55" w:name="_Toc20385"/>
      <w:r>
        <w:rPr>
          <w:rFonts w:hint="eastAsia" w:ascii="楷体" w:hAnsi="楷体" w:eastAsia="楷体" w:cs="楷体"/>
          <w:b/>
          <w:bCs/>
          <w:sz w:val="32"/>
          <w:szCs w:val="32"/>
          <w:lang w:val="en-US" w:eastAsia="zh-CN"/>
        </w:rPr>
        <w:t>（三）人员经费管理方面存在的问题及建议</w:t>
      </w:r>
      <w:bookmarkEnd w:id="55"/>
    </w:p>
    <w:p w14:paraId="52423A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在机构编制和工资管理上，对内部人员绩效的考核与部门整体绩效目标的联动不足，建议推动内部绩效管理精细化，将部门整体绩效目标科学分解到内设机构和岗位，实现个人绩效与组织绩效的有机统一。</w:t>
      </w:r>
    </w:p>
    <w:p w14:paraId="481F77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1.发放统发工资后附件有国库支付单，工资发放明细表，但工资发放明细表上无审批人签字及审核意见且无银行回单。</w:t>
      </w:r>
    </w:p>
    <w:p w14:paraId="3B40CC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预算法》及其实施条例。强调各级政府对财政资金的使用和管理负责，必须提高财政资金使用效益。这种粗放式的管理显然无法体现“有效管理”。仅有国库支付凭证和未经审批的工资明细表，不符合财务管理和内部控制的规范性要求。这套资料在证据链上是残缺的，无法构成一个完整、可信的工资发放证明。工资发放表无审批人签字及审核意见，是</w:t>
      </w:r>
      <w:r>
        <w:rPr>
          <w:rFonts w:hint="eastAsia" w:ascii="仿宋" w:hAnsi="仿宋" w:eastAsia="仿宋" w:cs="仿宋"/>
          <w:b/>
          <w:bCs/>
          <w:sz w:val="32"/>
          <w:szCs w:val="32"/>
          <w:lang w:val="en-US" w:eastAsia="zh-CN"/>
        </w:rPr>
        <w:t>内部控制缺失</w:t>
      </w:r>
      <w:r>
        <w:rPr>
          <w:rFonts w:hint="eastAsia" w:ascii="仿宋" w:hAnsi="仿宋" w:eastAsia="仿宋" w:cs="仿宋"/>
          <w:b w:val="0"/>
          <w:bCs w:val="0"/>
          <w:sz w:val="32"/>
          <w:szCs w:val="32"/>
          <w:lang w:val="en-US" w:eastAsia="zh-CN"/>
        </w:rPr>
        <w:t>的核心体现。缺少审批环节，意味着无法证明工资表的数据（人员、级别、金额、扣款等）的</w:t>
      </w:r>
      <w:r>
        <w:rPr>
          <w:rFonts w:hint="eastAsia" w:ascii="仿宋" w:hAnsi="仿宋" w:eastAsia="仿宋" w:cs="仿宋"/>
          <w:b/>
          <w:bCs/>
          <w:sz w:val="32"/>
          <w:szCs w:val="32"/>
          <w:lang w:val="en-US" w:eastAsia="zh-CN"/>
        </w:rPr>
        <w:t>真实性。</w:t>
      </w:r>
      <w:r>
        <w:rPr>
          <w:rFonts w:hint="eastAsia" w:ascii="仿宋" w:hAnsi="仿宋" w:eastAsia="仿宋" w:cs="仿宋"/>
          <w:b w:val="0"/>
          <w:bCs w:val="0"/>
          <w:sz w:val="32"/>
          <w:szCs w:val="32"/>
          <w:lang w:val="en-US" w:eastAsia="zh-CN"/>
        </w:rPr>
        <w:t>无法证明经过</w:t>
      </w:r>
      <w:r>
        <w:rPr>
          <w:rFonts w:hint="eastAsia" w:ascii="仿宋" w:hAnsi="仿宋" w:eastAsia="仿宋" w:cs="仿宋"/>
          <w:b/>
          <w:bCs/>
          <w:sz w:val="32"/>
          <w:szCs w:val="32"/>
          <w:lang w:val="en-US" w:eastAsia="zh-CN"/>
        </w:rPr>
        <w:t>授权人员</w:t>
      </w:r>
      <w:r>
        <w:rPr>
          <w:rFonts w:hint="eastAsia" w:ascii="仿宋" w:hAnsi="仿宋" w:eastAsia="仿宋" w:cs="仿宋"/>
          <w:b w:val="0"/>
          <w:bCs w:val="0"/>
          <w:sz w:val="32"/>
          <w:szCs w:val="32"/>
          <w:lang w:val="en-US" w:eastAsia="zh-CN"/>
        </w:rPr>
        <w:t>确认其真实准确。无法证明工资发放标准和计算是否符合</w:t>
      </w:r>
      <w:r>
        <w:rPr>
          <w:rFonts w:hint="eastAsia" w:ascii="仿宋" w:hAnsi="仿宋" w:eastAsia="仿宋" w:cs="仿宋"/>
          <w:b/>
          <w:bCs/>
          <w:sz w:val="32"/>
          <w:szCs w:val="32"/>
          <w:lang w:val="en-US" w:eastAsia="zh-CN"/>
        </w:rPr>
        <w:t>相关政策规定</w:t>
      </w:r>
      <w:r>
        <w:rPr>
          <w:rFonts w:hint="eastAsia" w:ascii="仿宋" w:hAnsi="仿宋" w:eastAsia="仿宋" w:cs="仿宋"/>
          <w:b w:val="0"/>
          <w:bCs w:val="0"/>
          <w:sz w:val="32"/>
          <w:szCs w:val="32"/>
          <w:lang w:val="en-US" w:eastAsia="zh-CN"/>
        </w:rPr>
        <w:t>（如人事部门的批复文件）。</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行政事业单位内部控制规范（试行）》（财会〔2012〕21号）第十六条：“单位内部控制方法包括不相容岗位相互分离、内部授权审批控制、归口管理等。”工资发放没有审批签字，严重违反了“内部授权审批控制”原则。违反了“经办、审核、审批”相分离的内控基本原则，容易产生错误和舞弊风险。例如，财务人员可能擅自修改数据而无人复核。</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上述违反了《会计基础工作规范》（财会字〔1996〕19号）。强调原始凭证的完整性和真实性。未经审批的工资表不能作为合法、有效的记账原始凭证附件。要求各单位应当建立内部的稽核和审批制度。</w:t>
      </w:r>
      <w:r>
        <w:rPr>
          <w:rFonts w:hint="eastAsia" w:ascii="仿宋" w:hAnsi="仿宋" w:eastAsia="仿宋" w:cs="仿宋"/>
          <w:b/>
          <w:bCs/>
          <w:sz w:val="32"/>
          <w:szCs w:val="32"/>
          <w:lang w:val="en-US" w:eastAsia="zh-CN"/>
        </w:rPr>
        <w:t>相关政策4：</w:t>
      </w:r>
      <w:r>
        <w:rPr>
          <w:rFonts w:hint="eastAsia" w:ascii="仿宋" w:hAnsi="仿宋" w:eastAsia="仿宋" w:cs="仿宋"/>
          <w:b w:val="0"/>
          <w:bCs w:val="0"/>
          <w:sz w:val="32"/>
          <w:szCs w:val="32"/>
          <w:lang w:val="en-US" w:eastAsia="zh-CN"/>
        </w:rPr>
        <w:t>上述违反了地方政府和财政部门的具体规定。各地财政局通常会有更细化的财政资金支付管理办法、工资统发实施细则等，其中必然会明确要求工资发放必须经过单位人事、财务负责人乃至单位领导的审批，并要求附上银行回单作为做账依据。</w:t>
      </w:r>
    </w:p>
    <w:p w14:paraId="10E58A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建议：规范管理、防范风险、提升效能。短期建议，及时整改。A补全审批手续。</w:t>
      </w:r>
      <w:r>
        <w:rPr>
          <w:rFonts w:hint="eastAsia" w:ascii="仿宋" w:hAnsi="仿宋" w:eastAsia="仿宋" w:cs="仿宋"/>
          <w:b w:val="0"/>
          <w:bCs w:val="0"/>
          <w:sz w:val="32"/>
          <w:szCs w:val="32"/>
          <w:lang w:val="en-US" w:eastAsia="zh-CN"/>
        </w:rPr>
        <w:t>及时对当期的工资发放明细表进行补审批。由制表人、审核人、审批人（通常为单位分管财务的领导或财务主管）补签姓名和日期，并可根据情况补充“已核，数据无误”等简要审核意见。</w:t>
      </w:r>
      <w:r>
        <w:rPr>
          <w:rFonts w:hint="eastAsia" w:ascii="仿宋" w:hAnsi="仿宋" w:eastAsia="仿宋" w:cs="仿宋"/>
          <w:b/>
          <w:bCs/>
          <w:sz w:val="32"/>
          <w:szCs w:val="32"/>
          <w:lang w:val="en-US" w:eastAsia="zh-CN"/>
        </w:rPr>
        <w:t>B获取银行回单。</w:t>
      </w:r>
      <w:r>
        <w:rPr>
          <w:rFonts w:hint="eastAsia" w:ascii="仿宋" w:hAnsi="仿宋" w:eastAsia="仿宋" w:cs="仿宋"/>
          <w:b w:val="0"/>
          <w:bCs w:val="0"/>
          <w:sz w:val="32"/>
          <w:szCs w:val="32"/>
          <w:lang w:val="en-US" w:eastAsia="zh-CN"/>
        </w:rPr>
        <w:t>立即联系代理银行，获取历史月份的工资发放成功回单（电子版或纸质版），作为原始凭证附件装入会计档案。</w:t>
      </w:r>
      <w:r>
        <w:rPr>
          <w:rFonts w:hint="eastAsia" w:ascii="仿宋" w:hAnsi="仿宋" w:eastAsia="仿宋" w:cs="仿宋"/>
          <w:b/>
          <w:bCs/>
          <w:sz w:val="32"/>
          <w:szCs w:val="32"/>
          <w:lang w:val="en-US" w:eastAsia="zh-CN"/>
        </w:rPr>
        <w:t>长期建议，加强制度建设，完善内控制度。A制定或修订本单位《工资发放管理内部控制实施细则》。B明确以下流程。一是编制管理。</w:t>
      </w:r>
      <w:r>
        <w:rPr>
          <w:rFonts w:hint="eastAsia" w:ascii="仿宋" w:hAnsi="仿宋" w:eastAsia="仿宋" w:cs="仿宋"/>
          <w:b w:val="0"/>
          <w:bCs w:val="0"/>
          <w:sz w:val="32"/>
          <w:szCs w:val="32"/>
          <w:lang w:val="en-US" w:eastAsia="zh-CN"/>
        </w:rPr>
        <w:t>由人事部门或指定人员根据政策编制工资变动表和应发数据。</w:t>
      </w:r>
      <w:r>
        <w:rPr>
          <w:rFonts w:hint="eastAsia" w:ascii="仿宋" w:hAnsi="仿宋" w:eastAsia="仿宋" w:cs="仿宋"/>
          <w:b/>
          <w:bCs/>
          <w:sz w:val="32"/>
          <w:szCs w:val="32"/>
          <w:lang w:val="en-US" w:eastAsia="zh-CN"/>
        </w:rPr>
        <w:t>二是审核。</w:t>
      </w:r>
      <w:r>
        <w:rPr>
          <w:rFonts w:hint="eastAsia" w:ascii="仿宋" w:hAnsi="仿宋" w:eastAsia="仿宋" w:cs="仿宋"/>
          <w:b w:val="0"/>
          <w:bCs w:val="0"/>
          <w:sz w:val="32"/>
          <w:szCs w:val="32"/>
          <w:lang w:val="en-US" w:eastAsia="zh-CN"/>
        </w:rPr>
        <w:t>财务部门根据人事通知审核数据准确性。</w:t>
      </w:r>
    </w:p>
    <w:p w14:paraId="503E35D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三是审批。</w:t>
      </w:r>
      <w:r>
        <w:rPr>
          <w:rFonts w:hint="eastAsia" w:ascii="仿宋" w:hAnsi="仿宋" w:eastAsia="仿宋" w:cs="仿宋"/>
          <w:b w:val="0"/>
          <w:bCs w:val="0"/>
          <w:sz w:val="32"/>
          <w:szCs w:val="32"/>
          <w:lang w:val="en-US" w:eastAsia="zh-CN"/>
        </w:rPr>
        <w:t>规定明确的审批权限和流程，例如：财务负责人审核后，必须报单位主要领导或分管财务领导审批签字，方可进入支付程序。审批签字必须是纸质或具有同等法律效力的电子签批流程。</w:t>
      </w:r>
      <w:r>
        <w:rPr>
          <w:rFonts w:hint="eastAsia" w:ascii="仿宋" w:hAnsi="仿宋" w:eastAsia="仿宋" w:cs="仿宋"/>
          <w:b/>
          <w:bCs/>
          <w:sz w:val="32"/>
          <w:szCs w:val="32"/>
          <w:lang w:val="en-US" w:eastAsia="zh-CN"/>
        </w:rPr>
        <w:t>四是支付与归档。</w:t>
      </w:r>
      <w:r>
        <w:rPr>
          <w:rFonts w:hint="eastAsia" w:ascii="仿宋" w:hAnsi="仿宋" w:eastAsia="仿宋" w:cs="仿宋"/>
          <w:b w:val="0"/>
          <w:bCs w:val="0"/>
          <w:sz w:val="32"/>
          <w:szCs w:val="32"/>
          <w:lang w:val="en-US" w:eastAsia="zh-CN"/>
        </w:rPr>
        <w:t>财务人员凭审批完毕的工资表提交国库支付申请，支付完成后，必须及时将经审批的工资表、国库支付凭证、银行发放成功回单三者一并作为记账凭证的附件，妥善保管。</w:t>
      </w:r>
      <w:r>
        <w:rPr>
          <w:rFonts w:hint="eastAsia" w:ascii="仿宋" w:hAnsi="仿宋" w:eastAsia="仿宋" w:cs="仿宋"/>
          <w:b/>
          <w:bCs/>
          <w:sz w:val="32"/>
          <w:szCs w:val="32"/>
          <w:lang w:val="en-US" w:eastAsia="zh-CN"/>
        </w:rPr>
        <w:t>C推行电子审批。</w:t>
      </w:r>
      <w:r>
        <w:rPr>
          <w:rFonts w:hint="eastAsia" w:ascii="仿宋" w:hAnsi="仿宋" w:eastAsia="仿宋" w:cs="仿宋"/>
          <w:b w:val="0"/>
          <w:bCs w:val="0"/>
          <w:sz w:val="32"/>
          <w:szCs w:val="32"/>
          <w:lang w:val="en-US" w:eastAsia="zh-CN"/>
        </w:rPr>
        <w:t>如有条件，建议在OA系统或财政一体化平台上实现工资发放的线上审批流程，使审批环节留痕、不可篡改，提高效率和规范性。</w:t>
      </w:r>
    </w:p>
    <w:p w14:paraId="0DA6983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D加强人员培训。</w:t>
      </w:r>
      <w:r>
        <w:rPr>
          <w:rFonts w:hint="eastAsia" w:ascii="仿宋" w:hAnsi="仿宋" w:eastAsia="仿宋" w:cs="仿宋"/>
          <w:b w:val="0"/>
          <w:bCs w:val="0"/>
          <w:sz w:val="32"/>
          <w:szCs w:val="32"/>
          <w:lang w:val="en-US" w:eastAsia="zh-CN"/>
        </w:rPr>
        <w:t>对财务人员和相关审批负责人进行内控规范和财务知识的定期培训，强化其风险意识和责任意识。</w:t>
      </w:r>
    </w:p>
    <w:p w14:paraId="485FB0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2.支付医疗保险、工伤保险、职业年金后仅附国库支付单，银行端查询缴税凭证，附人员名单、缴费基数确认表、明确的计算依据、银行付款回单，但无人力资源部审批意见及盖章等。</w:t>
      </w:r>
    </w:p>
    <w:p w14:paraId="01EEA21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内部控制的基本原则即不相容岗位分离原则。社保的计提（计算）与审核（审批）属于不相容岗位。人力资源部门负责提供准确的人员、工资数据（计算），部门负责根据审核后的数据记账和支付。如果无人力资源部门的审核，就相当于部门计算与支付，失去了关键的内部监督和制约，极易导致错误和舞弊。</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审核与审批控制原则。任何重要的经济事项，必须经过适当的授权和审核。人力资源部门的盖章审批，正是这一控制环节的关键书面证据。缺少它，意味着整个业务流程缺少了至关重要的“刹车”和“校验”环节。</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上述违反了《中华人民共和国预算法》。社保支出是单位预算的重要组成部分。无人力资源部门审核，编制的社保支出预算和决算就缺乏可靠的数据来源和核对依据，影响预算编制的准确性和预算执行的严肃性。</w:t>
      </w:r>
      <w:r>
        <w:rPr>
          <w:rFonts w:hint="eastAsia" w:ascii="仿宋" w:hAnsi="仿宋" w:eastAsia="仿宋" w:cs="仿宋"/>
          <w:b/>
          <w:bCs/>
          <w:sz w:val="32"/>
          <w:szCs w:val="32"/>
          <w:lang w:val="en-US" w:eastAsia="zh-CN"/>
        </w:rPr>
        <w:t>存在三类风险。一是数据不准确风险。</w:t>
      </w:r>
      <w:r>
        <w:rPr>
          <w:rFonts w:hint="eastAsia" w:ascii="仿宋" w:hAnsi="仿宋" w:eastAsia="仿宋" w:cs="仿宋"/>
          <w:b w:val="0"/>
          <w:bCs w:val="0"/>
          <w:sz w:val="32"/>
          <w:szCs w:val="32"/>
          <w:lang w:val="en-US" w:eastAsia="zh-CN"/>
        </w:rPr>
        <w:t>人员调入、调出、离职、工资变动等信息未能及时、准确地传递给财务部门，导致多缴、少缴或为已离职人员缴费，造成财政资金损失。</w:t>
      </w:r>
      <w:r>
        <w:rPr>
          <w:rFonts w:hint="eastAsia" w:ascii="仿宋" w:hAnsi="仿宋" w:eastAsia="仿宋" w:cs="仿宋"/>
          <w:b/>
          <w:bCs/>
          <w:sz w:val="32"/>
          <w:szCs w:val="32"/>
          <w:lang w:val="en-US" w:eastAsia="zh-CN"/>
        </w:rPr>
        <w:t>二是舞弊风险。</w:t>
      </w:r>
      <w:r>
        <w:rPr>
          <w:rFonts w:hint="eastAsia" w:ascii="仿宋" w:hAnsi="仿宋" w:eastAsia="仿宋" w:cs="仿宋"/>
          <w:b w:val="0"/>
          <w:bCs w:val="0"/>
          <w:sz w:val="32"/>
          <w:szCs w:val="32"/>
          <w:lang w:val="en-US" w:eastAsia="zh-CN"/>
        </w:rPr>
        <w:t>在缺乏监督的情况下，存在虚报人数、虚增工资基数从而套取资金的风险。</w:t>
      </w:r>
      <w:r>
        <w:rPr>
          <w:rFonts w:hint="eastAsia" w:ascii="仿宋" w:hAnsi="仿宋" w:eastAsia="仿宋" w:cs="仿宋"/>
          <w:b/>
          <w:bCs/>
          <w:sz w:val="32"/>
          <w:szCs w:val="32"/>
          <w:lang w:val="en-US" w:eastAsia="zh-CN"/>
        </w:rPr>
        <w:t>三是合规性风险。</w:t>
      </w:r>
      <w:r>
        <w:rPr>
          <w:rFonts w:hint="eastAsia" w:ascii="仿宋" w:hAnsi="仿宋" w:eastAsia="仿宋" w:cs="仿宋"/>
          <w:b w:val="0"/>
          <w:bCs w:val="0"/>
          <w:sz w:val="32"/>
          <w:szCs w:val="32"/>
          <w:lang w:val="en-US" w:eastAsia="zh-CN"/>
        </w:rPr>
        <w:t>可能导致社保缴费不符合《中华人民共和国社会保险法》及相关规定，面临社保稽查部门的处罚。</w:t>
      </w:r>
    </w:p>
    <w:p w14:paraId="039E2D3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w:t>
      </w:r>
      <w:r>
        <w:rPr>
          <w:rFonts w:hint="eastAsia" w:ascii="仿宋" w:hAnsi="仿宋" w:eastAsia="仿宋" w:cs="仿宋"/>
          <w:b w:val="0"/>
          <w:bCs w:val="0"/>
          <w:sz w:val="32"/>
          <w:szCs w:val="32"/>
          <w:lang w:val="en-US" w:eastAsia="zh-CN"/>
        </w:rPr>
        <w:t>应从</w:t>
      </w:r>
      <w:r>
        <w:rPr>
          <w:rFonts w:hint="eastAsia" w:ascii="仿宋" w:hAnsi="仿宋" w:eastAsia="仿宋" w:cs="仿宋"/>
          <w:b/>
          <w:bCs/>
          <w:sz w:val="32"/>
          <w:szCs w:val="32"/>
          <w:lang w:val="en-US" w:eastAsia="zh-CN"/>
        </w:rPr>
        <w:t>“及时整改”</w:t>
      </w:r>
      <w:r>
        <w:rPr>
          <w:rFonts w:hint="eastAsia" w:ascii="仿宋" w:hAnsi="仿宋" w:eastAsia="仿宋" w:cs="仿宋"/>
          <w:b w:val="0"/>
          <w:bCs w:val="0"/>
          <w:sz w:val="32"/>
          <w:szCs w:val="32"/>
          <w:lang w:val="en-US" w:eastAsia="zh-CN"/>
        </w:rPr>
        <w:t>和</w:t>
      </w:r>
      <w:r>
        <w:rPr>
          <w:rFonts w:hint="eastAsia" w:ascii="仿宋" w:hAnsi="仿宋" w:eastAsia="仿宋" w:cs="仿宋"/>
          <w:b/>
          <w:bCs/>
          <w:sz w:val="32"/>
          <w:szCs w:val="32"/>
          <w:lang w:val="en-US" w:eastAsia="zh-CN"/>
        </w:rPr>
        <w:t>“长效机制”</w:t>
      </w:r>
      <w:r>
        <w:rPr>
          <w:rFonts w:hint="eastAsia" w:ascii="仿宋" w:hAnsi="仿宋" w:eastAsia="仿宋" w:cs="仿宋"/>
          <w:b w:val="0"/>
          <w:bCs w:val="0"/>
          <w:sz w:val="32"/>
          <w:szCs w:val="32"/>
          <w:lang w:val="en-US" w:eastAsia="zh-CN"/>
        </w:rPr>
        <w:t>两个层面提出建议。</w:t>
      </w:r>
      <w:r>
        <w:rPr>
          <w:rFonts w:hint="eastAsia" w:ascii="仿宋" w:hAnsi="仿宋" w:eastAsia="仿宋" w:cs="仿宋"/>
          <w:b/>
          <w:bCs/>
          <w:sz w:val="32"/>
          <w:szCs w:val="32"/>
          <w:lang w:val="en-US" w:eastAsia="zh-CN"/>
        </w:rPr>
        <w:t>一是及时整改措施（针对已发现的问题）。A补充审批程序，</w:t>
      </w:r>
      <w:r>
        <w:rPr>
          <w:rFonts w:hint="eastAsia" w:ascii="仿宋" w:hAnsi="仿宋" w:eastAsia="仿宋" w:cs="仿宋"/>
          <w:b w:val="0"/>
          <w:bCs w:val="0"/>
          <w:sz w:val="32"/>
          <w:szCs w:val="32"/>
          <w:lang w:val="en-US" w:eastAsia="zh-CN"/>
        </w:rPr>
        <w:t>要求该预算单位立即对评价期内所有的社保计提与缴费业务，补充人力资源部门的审核确认手续。对于缺失的审批单，应限期补办，由人力资源部门负责人签字并加盖部门公章。</w:t>
      </w:r>
      <w:r>
        <w:rPr>
          <w:rFonts w:hint="eastAsia" w:ascii="仿宋" w:hAnsi="仿宋" w:eastAsia="仿宋" w:cs="仿宋"/>
          <w:b/>
          <w:bCs/>
          <w:sz w:val="32"/>
          <w:szCs w:val="32"/>
          <w:lang w:val="en-US" w:eastAsia="zh-CN"/>
        </w:rPr>
        <w:t>B书面说明情况，</w:t>
      </w:r>
      <w:r>
        <w:rPr>
          <w:rFonts w:hint="eastAsia" w:ascii="仿宋" w:hAnsi="仿宋" w:eastAsia="仿宋" w:cs="仿宋"/>
          <w:b w:val="0"/>
          <w:bCs w:val="0"/>
          <w:sz w:val="32"/>
          <w:szCs w:val="32"/>
          <w:lang w:val="en-US" w:eastAsia="zh-CN"/>
        </w:rPr>
        <w:t>要求该单位就此次内控缺失问题提交书面说明，解释原因并承诺整改，由单位主要负责人签字，以表明单位领导对此问题的重视。</w:t>
      </w:r>
      <w:r>
        <w:rPr>
          <w:rFonts w:hint="eastAsia" w:ascii="仿宋" w:hAnsi="仿宋" w:eastAsia="仿宋" w:cs="仿宋"/>
          <w:b/>
          <w:bCs/>
          <w:sz w:val="32"/>
          <w:szCs w:val="32"/>
          <w:lang w:val="en-US" w:eastAsia="zh-CN"/>
        </w:rPr>
        <w:t>二是长效机制建设建议（从根本上解决问题）。A完善制度建设，明确责任分工。</w:t>
      </w:r>
      <w:r>
        <w:rPr>
          <w:rFonts w:hint="eastAsia" w:ascii="仿宋" w:hAnsi="仿宋" w:eastAsia="仿宋" w:cs="仿宋"/>
          <w:b w:val="0"/>
          <w:bCs w:val="0"/>
          <w:sz w:val="32"/>
          <w:szCs w:val="32"/>
          <w:lang w:val="en-US" w:eastAsia="zh-CN"/>
        </w:rPr>
        <w:t>修订其内部财务管理制度和人力资源</w:t>
      </w:r>
      <w:r>
        <w:rPr>
          <w:rFonts w:hint="eastAsia" w:ascii="仿宋" w:hAnsi="仿宋" w:eastAsia="仿宋" w:cs="仿宋"/>
          <w:b/>
          <w:bCs/>
          <w:sz w:val="32"/>
          <w:szCs w:val="32"/>
          <w:lang w:val="en-US" w:eastAsia="zh-CN"/>
        </w:rPr>
        <w:t>管理流程。</w:t>
      </w:r>
      <w:r>
        <w:rPr>
          <w:rFonts w:hint="eastAsia" w:ascii="仿宋" w:hAnsi="仿宋" w:eastAsia="仿宋" w:cs="仿宋"/>
          <w:b w:val="0"/>
          <w:bCs w:val="0"/>
          <w:sz w:val="32"/>
          <w:szCs w:val="32"/>
          <w:lang w:val="en-US" w:eastAsia="zh-CN"/>
        </w:rPr>
        <w:t>明文规定，社保的计提必须以经人力资源部门审核、盖章（或负责人签字）的《人员及工资变动汇总表》或《社保缴费核定表》作为</w:t>
      </w:r>
      <w:r>
        <w:rPr>
          <w:rFonts w:hint="eastAsia" w:ascii="仿宋" w:hAnsi="仿宋" w:eastAsia="仿宋" w:cs="仿宋"/>
          <w:b/>
          <w:bCs/>
          <w:sz w:val="32"/>
          <w:szCs w:val="32"/>
          <w:lang w:val="en-US" w:eastAsia="zh-CN"/>
        </w:rPr>
        <w:t>唯一依据。</w:t>
      </w:r>
      <w:r>
        <w:rPr>
          <w:rFonts w:hint="eastAsia" w:ascii="仿宋" w:hAnsi="仿宋" w:eastAsia="仿宋" w:cs="仿宋"/>
          <w:b w:val="0"/>
          <w:bCs w:val="0"/>
          <w:sz w:val="32"/>
          <w:szCs w:val="32"/>
          <w:lang w:val="en-US" w:eastAsia="zh-CN"/>
        </w:rPr>
        <w:t>部门必须见到合规的审批单后方可进行账务处理和办理缴费。</w:t>
      </w:r>
      <w:r>
        <w:rPr>
          <w:rFonts w:hint="eastAsia" w:ascii="仿宋" w:hAnsi="仿宋" w:eastAsia="仿宋" w:cs="仿宋"/>
          <w:b/>
          <w:bCs/>
          <w:sz w:val="32"/>
          <w:szCs w:val="32"/>
          <w:lang w:val="en-US" w:eastAsia="zh-CN"/>
        </w:rPr>
        <w:t>B优化业务流程，固化审批环节。设计标准化的审批表单，</w:t>
      </w:r>
      <w:r>
        <w:rPr>
          <w:rFonts w:hint="eastAsia" w:ascii="仿宋" w:hAnsi="仿宋" w:eastAsia="仿宋" w:cs="仿宋"/>
          <w:b w:val="0"/>
          <w:bCs w:val="0"/>
          <w:sz w:val="32"/>
          <w:szCs w:val="32"/>
          <w:lang w:val="en-US" w:eastAsia="zh-CN"/>
        </w:rPr>
        <w:t>表单应包含人员姓名、身份证号、缴费基数、单位应缴额、个人应缴额、合计金额等核心信息，并设置“制表人”、“人力资源部门审核人”、“财务部门复核人”等签章栏位。</w:t>
      </w:r>
      <w:r>
        <w:rPr>
          <w:rFonts w:hint="eastAsia" w:ascii="仿宋" w:hAnsi="仿宋" w:eastAsia="仿宋" w:cs="仿宋"/>
          <w:b/>
          <w:bCs/>
          <w:sz w:val="32"/>
          <w:szCs w:val="32"/>
          <w:lang w:val="en-US" w:eastAsia="zh-CN"/>
        </w:rPr>
        <w:t>固化流程，</w:t>
      </w:r>
      <w:r>
        <w:rPr>
          <w:rFonts w:hint="eastAsia" w:ascii="仿宋" w:hAnsi="仿宋" w:eastAsia="仿宋" w:cs="仿宋"/>
          <w:b w:val="0"/>
          <w:bCs w:val="0"/>
          <w:sz w:val="32"/>
          <w:szCs w:val="32"/>
          <w:lang w:val="en-US" w:eastAsia="zh-CN"/>
        </w:rPr>
        <w:t>每月（或每季度）初，人力资源部门制作表单并审核签章-&gt;提交至财务部门-&gt;财务部门复核无误后-&gt;进行计提和缴费-&gt;将审批单作为重要原始凭证附于记账凭证之后。</w:t>
      </w:r>
      <w:r>
        <w:rPr>
          <w:rFonts w:hint="eastAsia" w:ascii="仿宋" w:hAnsi="仿宋" w:eastAsia="仿宋" w:cs="仿宋"/>
          <w:b/>
          <w:bCs/>
          <w:sz w:val="32"/>
          <w:szCs w:val="32"/>
          <w:lang w:val="en-US" w:eastAsia="zh-CN"/>
        </w:rPr>
        <w:t>加强信息化建设，实现数据联动，</w:t>
      </w:r>
      <w:r>
        <w:rPr>
          <w:rFonts w:hint="eastAsia" w:ascii="仿宋" w:hAnsi="仿宋" w:eastAsia="仿宋" w:cs="仿宋"/>
          <w:b w:val="0"/>
          <w:bCs w:val="0"/>
          <w:sz w:val="32"/>
          <w:szCs w:val="32"/>
          <w:lang w:val="en-US" w:eastAsia="zh-CN"/>
        </w:rPr>
        <w:t>长远来看，建议推动单位使用集成的财务与人力资源管理系统。通过系统设置，实现人力资源数据变动后，社保数据自动生成，并通过线上流程推送给相关负责人审批，审批完成后数据自动传递至财务系统。这样可以减少人为干预，提高效率和准确性。</w:t>
      </w:r>
    </w:p>
    <w:p w14:paraId="0BC266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3.发放人员经费性质的交通补贴缺乏人力资源或组织部门的审核盖章。</w:t>
      </w:r>
    </w:p>
    <w:p w14:paraId="33EA3F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上述违反了《中华人民共和国预算法》关于“支出必须以经批准的预算为依据</w:t>
      </w:r>
      <w:r>
        <w:rPr>
          <w:rFonts w:hint="default" w:ascii="仿宋" w:hAnsi="仿宋" w:eastAsia="仿宋" w:cs="仿宋"/>
          <w:b w:val="0"/>
          <w:bCs w:val="0"/>
          <w:sz w:val="32"/>
          <w:szCs w:val="32"/>
          <w:lang w:val="en-US" w:eastAsia="zh-CN"/>
        </w:rPr>
        <w:t>”</w:t>
      </w:r>
      <w:r>
        <w:rPr>
          <w:rFonts w:hint="eastAsia" w:ascii="仿宋" w:hAnsi="仿宋" w:eastAsia="仿宋" w:cs="仿宋"/>
          <w:b w:val="0"/>
          <w:bCs w:val="0"/>
          <w:sz w:val="32"/>
          <w:szCs w:val="32"/>
          <w:lang w:val="en-US" w:eastAsia="zh-CN"/>
        </w:rPr>
        <w:t>的规定。如果人力资源部门未审核盖章，预算部门发放补贴，可能构成无预算、超预算支出，或向不符合预算规定的人员发放补贴。人力资源或组织部门的盖章，核心目的在于审核确认补贴发放人员的名单、资格及标准是否准确合规。缺少这一环节，就缺失了重要的内部监督。</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发票管理办法》。不符合规定的发票不得作为财务报销凭证。类推到补贴发放，表单不全同样会影响财务核算的合规性。缺少必要的签章，会使交通补贴发放表作为财务报销凭证的完整性、合规性存在瑕疵。在审计或检查时可能被要求整改甚至追回资金。</w:t>
      </w:r>
    </w:p>
    <w:p w14:paraId="5DE7B29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建议：一是补全审核签章流程。</w:t>
      </w:r>
      <w:r>
        <w:rPr>
          <w:rFonts w:hint="eastAsia" w:ascii="仿宋" w:hAnsi="仿宋" w:eastAsia="仿宋" w:cs="仿宋"/>
          <w:b w:val="0"/>
          <w:bCs w:val="0"/>
          <w:sz w:val="32"/>
          <w:szCs w:val="32"/>
          <w:lang w:val="en-US" w:eastAsia="zh-CN"/>
        </w:rPr>
        <w:t>及时补办，对于已发放但缺少签章的补贴，应尽快联系人力资源或组织部门，对发放名单和金额进行事后审核与追认，并在发放表上补盖部门公章。</w:t>
      </w:r>
      <w:r>
        <w:rPr>
          <w:rFonts w:hint="eastAsia" w:ascii="仿宋" w:hAnsi="仿宋" w:eastAsia="仿宋" w:cs="仿宋"/>
          <w:b/>
          <w:bCs/>
          <w:sz w:val="32"/>
          <w:szCs w:val="32"/>
          <w:lang w:val="en-US" w:eastAsia="zh-CN"/>
        </w:rPr>
        <w:t>二是规范未来操作。</w:t>
      </w:r>
      <w:r>
        <w:rPr>
          <w:rFonts w:hint="eastAsia" w:ascii="仿宋" w:hAnsi="仿宋" w:eastAsia="仿宋" w:cs="仿宋"/>
          <w:b w:val="0"/>
          <w:bCs w:val="0"/>
          <w:sz w:val="32"/>
          <w:szCs w:val="32"/>
          <w:lang w:val="en-US" w:eastAsia="zh-CN"/>
        </w:rPr>
        <w:t>严格执行“制表、审核、审批、盖章”的流程。在造表上至少确保有制表人、单位主要负责人签字，并加盖单位和人力资源/组织部门的公章。</w:t>
      </w:r>
      <w:r>
        <w:rPr>
          <w:rFonts w:hint="eastAsia" w:ascii="仿宋" w:hAnsi="仿宋" w:eastAsia="仿宋" w:cs="仿宋"/>
          <w:b/>
          <w:bCs/>
          <w:sz w:val="32"/>
          <w:szCs w:val="32"/>
          <w:lang w:val="en-US" w:eastAsia="zh-CN"/>
        </w:rPr>
        <w:t>三是明确部门职责。</w:t>
      </w:r>
      <w:r>
        <w:rPr>
          <w:rFonts w:hint="eastAsia" w:ascii="仿宋" w:hAnsi="仿宋" w:eastAsia="仿宋" w:cs="仿宋"/>
          <w:b w:val="0"/>
          <w:bCs w:val="0"/>
          <w:sz w:val="32"/>
          <w:szCs w:val="32"/>
          <w:lang w:val="en-US" w:eastAsia="zh-CN"/>
        </w:rPr>
        <w:t>人力资源或组织部门负责前置审核补贴发放人员的资格、级别、标准，并提供必要的依据（如组织任命文件复印件）。按规定进行内部公示。预算或财务部门依据已经审核盖章的明细表，主要负责资金调度和办理支付。</w:t>
      </w:r>
      <w:r>
        <w:rPr>
          <w:rFonts w:hint="eastAsia" w:ascii="仿宋" w:hAnsi="仿宋" w:eastAsia="仿宋" w:cs="仿宋"/>
          <w:b/>
          <w:bCs/>
          <w:sz w:val="32"/>
          <w:szCs w:val="32"/>
          <w:lang w:val="en-US" w:eastAsia="zh-CN"/>
        </w:rPr>
        <w:t>四是加强内部控制和沟通。</w:t>
      </w:r>
      <w:r>
        <w:rPr>
          <w:rFonts w:hint="eastAsia" w:ascii="仿宋" w:hAnsi="仿宋" w:eastAsia="仿宋" w:cs="仿宋"/>
          <w:b w:val="0"/>
          <w:bCs w:val="0"/>
          <w:sz w:val="32"/>
          <w:szCs w:val="32"/>
          <w:lang w:val="en-US" w:eastAsia="zh-CN"/>
        </w:rPr>
        <w:t>单位应建立健全内部审批制度，将人力资源或组织部门的审核盖章明确为交通补贴发放的必备前置环节。财务人员在办理支付时，须严格审核发放附件的完整性和合规性，对缺少必要签章的申请有权拒绝办理。主动与本单位的人力资源部门、上级主管部门及财政部门沟通，确保遵循本地、本层级的最新具体规定。</w:t>
      </w:r>
    </w:p>
    <w:p w14:paraId="111CCB58">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4.存在人员经费中津贴补贴扣除五险一金后为负数，简约为零，未从个人工资中扣回，发放工资表不平衡情况。</w:t>
      </w:r>
    </w:p>
    <w:p w14:paraId="373D1F57">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违规发放津贴补贴行为处分规定》（监察部、人社部、财政部、审计署令第31号）津贴补贴发放的规范性要求。“超过规定标准、范围发放津贴补贴的”属于违规行为。在个人当月工资收入不足以抵扣个人应缴的社保和公积金时，若仍按原标准发放津贴补贴，导致实发工资为负或为零，这可能被认定为一种变相的超标准发放。因为这相当于单位垫付了本应从个人工资中扣除的款项，构成了事实上的额外支出。</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上述违反了行政事业单位会计基础工作规范关于薪酬核算与财务纪律。工资发放表不平衡，直接反映了财务核算不规范、会计信息失真的问题。</w:t>
      </w:r>
    </w:p>
    <w:p w14:paraId="72878EF0">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建议：一是严格遵守津贴补贴发放纪律。</w:t>
      </w:r>
      <w:r>
        <w:rPr>
          <w:rFonts w:hint="eastAsia" w:ascii="仿宋" w:hAnsi="仿宋" w:eastAsia="仿宋" w:cs="仿宋"/>
          <w:b w:val="0"/>
          <w:bCs w:val="0"/>
          <w:sz w:val="32"/>
          <w:szCs w:val="32"/>
          <w:lang w:val="en-US" w:eastAsia="zh-CN"/>
        </w:rPr>
        <w:t>必须确保所有津贴、补贴、奖金的发放严格控制在国家及地方政府规定的项目、标准和范围之内。当某月因扣款项目较多，可能导致津贴补贴实发额为负或为零时，根据可支配工资额度进行合理调整，绝不能形成单位对个人的“倒挂”借款或垫款。</w:t>
      </w:r>
      <w:r>
        <w:rPr>
          <w:rFonts w:hint="eastAsia" w:ascii="仿宋" w:hAnsi="仿宋" w:eastAsia="仿宋" w:cs="仿宋"/>
          <w:b/>
          <w:bCs/>
          <w:sz w:val="32"/>
          <w:szCs w:val="32"/>
          <w:lang w:val="en-US" w:eastAsia="zh-CN"/>
        </w:rPr>
        <w:t>二是完善内部财务控制与核算流程。</w:t>
      </w:r>
      <w:r>
        <w:rPr>
          <w:rFonts w:hint="eastAsia" w:ascii="仿宋" w:hAnsi="仿宋" w:eastAsia="仿宋" w:cs="仿宋"/>
          <w:b w:val="0"/>
          <w:bCs w:val="0"/>
          <w:sz w:val="32"/>
          <w:szCs w:val="32"/>
          <w:lang w:val="en-US" w:eastAsia="zh-CN"/>
        </w:rPr>
        <w:t>财务部门与人力资源部门需建立定期对账机制，确保工资、津贴补贴的应发数与社保、公积金的扣款数准确无误。在编制工资发放表时，必须确保逻辑平衡："应发工资-扣款项目=实发工资"。实发工资为零或为负数是异常的，必须从源头上查找原因并予以纠正。对于因特殊情况（如刚发生工资变动、扣款政策调整）导致的预支款或历史问题，应履行严格的审批程序，并在账务上及时清理，不得长期挂账。</w:t>
      </w:r>
      <w:r>
        <w:rPr>
          <w:rFonts w:hint="eastAsia" w:ascii="仿宋" w:hAnsi="仿宋" w:eastAsia="仿宋" w:cs="仿宋"/>
          <w:b/>
          <w:bCs/>
          <w:sz w:val="32"/>
          <w:szCs w:val="32"/>
          <w:lang w:val="en-US" w:eastAsia="zh-CN"/>
        </w:rPr>
        <w:t>三是开展自查自纠与强化责任意识。</w:t>
      </w:r>
      <w:r>
        <w:rPr>
          <w:rFonts w:hint="eastAsia" w:ascii="仿宋" w:hAnsi="仿宋" w:eastAsia="仿宋" w:cs="仿宋"/>
          <w:b w:val="0"/>
          <w:bCs w:val="0"/>
          <w:sz w:val="32"/>
          <w:szCs w:val="32"/>
          <w:lang w:val="en-US" w:eastAsia="zh-CN"/>
        </w:rPr>
        <w:t>建议单位参照中提到的"工资大检查"模式，对近年来的工资、津贴补贴发放情况进行一次全面自查，重点核查是否存在类似问题。对自查中发现的多发、错发款项，应制定明确的清退和追缴方案，并按规定进行账务调整。</w:t>
      </w:r>
    </w:p>
    <w:p w14:paraId="61C119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5.发放奖励绩效奖金合计1.42万元，后附除国库支付单，无其他说明及依据。详见2024年7月8号凭证。</w:t>
      </w:r>
    </w:p>
    <w:p w14:paraId="6C49EF5F">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相关政策1：</w:t>
      </w:r>
      <w:r>
        <w:rPr>
          <w:rFonts w:hint="eastAsia" w:ascii="仿宋" w:hAnsi="仿宋" w:eastAsia="仿宋" w:cs="仿宋"/>
          <w:b w:val="0"/>
          <w:bCs w:val="0"/>
          <w:sz w:val="32"/>
          <w:szCs w:val="32"/>
          <w:highlight w:val="none"/>
          <w:lang w:val="en-US" w:eastAsia="zh-CN"/>
        </w:rPr>
        <w:t>上述违反了《违规发放津贴补贴行为处分规定》（监察部、人社部、财政部、审计署令第31号）</w:t>
      </w:r>
    </w:p>
    <w:p w14:paraId="2B71E040">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第四条规定：违反规定自行新设项目发放津贴补贴的；超过规定标准、范围发放津贴补贴的；以发放津贴补贴的形式，变相将国有资产集体私分给个人的，均属于违规行为。</w:t>
      </w:r>
      <w:r>
        <w:rPr>
          <w:rFonts w:hint="eastAsia" w:ascii="仿宋" w:hAnsi="仿宋" w:eastAsia="仿宋" w:cs="仿宋"/>
          <w:b/>
          <w:bCs/>
          <w:sz w:val="32"/>
          <w:szCs w:val="32"/>
          <w:highlight w:val="none"/>
          <w:lang w:val="en-US" w:eastAsia="zh-CN"/>
        </w:rPr>
        <w:t>相关政策2：</w:t>
      </w:r>
      <w:r>
        <w:rPr>
          <w:rFonts w:hint="eastAsia" w:ascii="仿宋" w:hAnsi="仿宋" w:eastAsia="仿宋" w:cs="仿宋"/>
          <w:b w:val="0"/>
          <w:bCs w:val="0"/>
          <w:sz w:val="32"/>
          <w:szCs w:val="32"/>
          <w:highlight w:val="none"/>
          <w:lang w:val="en-US" w:eastAsia="zh-CN"/>
        </w:rPr>
        <w:t>上述违反了《中华人民共和国预算法》要求。所有支出必须以经批准的预算为依据，并体现其真实性和准确性。一笔没有说明和依据的支出，无法证明其符合预算，也毫无真实性可言。</w:t>
      </w:r>
      <w:r>
        <w:rPr>
          <w:rFonts w:hint="eastAsia" w:ascii="仿宋" w:hAnsi="仿宋" w:eastAsia="仿宋" w:cs="仿宋"/>
          <w:b/>
          <w:bCs/>
          <w:sz w:val="32"/>
          <w:szCs w:val="32"/>
          <w:highlight w:val="none"/>
          <w:lang w:val="en-US" w:eastAsia="zh-CN"/>
        </w:rPr>
        <w:t>相关政策3：</w:t>
      </w:r>
      <w:r>
        <w:rPr>
          <w:rFonts w:hint="eastAsia" w:ascii="仿宋" w:hAnsi="仿宋" w:eastAsia="仿宋" w:cs="仿宋"/>
          <w:b w:val="0"/>
          <w:bCs w:val="0"/>
          <w:sz w:val="32"/>
          <w:szCs w:val="32"/>
          <w:highlight w:val="none"/>
          <w:lang w:val="en-US" w:eastAsia="zh-CN"/>
        </w:rPr>
        <w:t>上述违反了《政府会计制度》。要求会计核算必须以真实发生的经济业务事项为依据，并且原始凭证必须齐全、合法。仅有支付单，无法证明经济业务的真实性与合法性。</w:t>
      </w:r>
      <w:r>
        <w:rPr>
          <w:rFonts w:hint="eastAsia" w:ascii="仿宋" w:hAnsi="仿宋" w:eastAsia="仿宋" w:cs="仿宋"/>
          <w:b/>
          <w:bCs/>
          <w:sz w:val="32"/>
          <w:szCs w:val="32"/>
          <w:highlight w:val="none"/>
          <w:lang w:val="en-US" w:eastAsia="zh-CN"/>
        </w:rPr>
        <w:t>相关政策4：</w:t>
      </w:r>
      <w:r>
        <w:rPr>
          <w:rFonts w:hint="eastAsia" w:ascii="仿宋" w:hAnsi="仿宋" w:eastAsia="仿宋" w:cs="仿宋"/>
          <w:b w:val="0"/>
          <w:bCs w:val="0"/>
          <w:sz w:val="32"/>
          <w:szCs w:val="32"/>
          <w:highlight w:val="none"/>
          <w:lang w:val="en-US" w:eastAsia="zh-CN"/>
        </w:rPr>
        <w:t>上述违反了《行政事业单位内部控制规范（试行）》。明确指出单位应当建立支出内部管理制度，确保支出申请、审核、审批、支付等环节的规范管理。此案例中，审核与审批环节完全失效。</w:t>
      </w:r>
    </w:p>
    <w:p w14:paraId="7C1A074C">
      <w:pPr>
        <w:pStyle w:val="2"/>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建议：一是及时整改，寻找原因，纠正错误，补充材料/追回资金。</w:t>
      </w:r>
      <w:r>
        <w:rPr>
          <w:rFonts w:hint="eastAsia" w:ascii="仿宋" w:hAnsi="仿宋" w:eastAsia="仿宋" w:cs="仿宋"/>
          <w:b w:val="0"/>
          <w:bCs w:val="0"/>
          <w:sz w:val="32"/>
          <w:szCs w:val="32"/>
          <w:highlight w:val="none"/>
          <w:lang w:val="en-US" w:eastAsia="zh-CN"/>
        </w:rPr>
        <w:t>如果已支付，必须立即追回资金。如果无法追回，应责令相关人员限期退回。同时，尽最大可能补充完善背后的决策材料（如会议纪要、考核方案等），但这也仅能作为说明，难以改变其违规的实质。</w:t>
      </w:r>
      <w:r>
        <w:rPr>
          <w:rFonts w:hint="eastAsia" w:ascii="仿宋" w:hAnsi="仿宋" w:eastAsia="仿宋" w:cs="仿宋"/>
          <w:b/>
          <w:bCs/>
          <w:sz w:val="32"/>
          <w:szCs w:val="32"/>
          <w:highlight w:val="none"/>
          <w:lang w:val="en-US" w:eastAsia="zh-CN"/>
        </w:rPr>
        <w:t>二是建立健全制度与流程（治本之策）。制定明确的绩效奖励办法，</w:t>
      </w:r>
      <w:r>
        <w:rPr>
          <w:rFonts w:hint="eastAsia" w:ascii="仿宋" w:hAnsi="仿宋" w:eastAsia="仿宋" w:cs="仿宋"/>
          <w:b w:val="0"/>
          <w:bCs w:val="0"/>
          <w:sz w:val="32"/>
          <w:szCs w:val="32"/>
          <w:highlight w:val="none"/>
          <w:lang w:val="en-US" w:eastAsia="zh-CN"/>
        </w:rPr>
        <w:t>这是最重要的前提。单位必须制定内部绩效考核与奖励办法，明确</w:t>
      </w:r>
      <w:r>
        <w:rPr>
          <w:rFonts w:hint="eastAsia" w:ascii="仿宋" w:hAnsi="仿宋" w:eastAsia="仿宋" w:cs="仿宋"/>
          <w:b/>
          <w:bCs/>
          <w:sz w:val="32"/>
          <w:szCs w:val="32"/>
          <w:highlight w:val="none"/>
          <w:lang w:val="en-US" w:eastAsia="zh-CN"/>
        </w:rPr>
        <w:t>奖励名称与性质，</w:t>
      </w:r>
      <w:r>
        <w:rPr>
          <w:rFonts w:hint="eastAsia" w:ascii="仿宋" w:hAnsi="仿宋" w:eastAsia="仿宋" w:cs="仿宋"/>
          <w:b w:val="0"/>
          <w:bCs w:val="0"/>
          <w:sz w:val="32"/>
          <w:szCs w:val="32"/>
          <w:highlight w:val="none"/>
          <w:lang w:val="en-US" w:eastAsia="zh-CN"/>
        </w:rPr>
        <w:t>明确是年终绩效、专项工作奖励还是考核优秀奖。</w:t>
      </w:r>
      <w:r>
        <w:rPr>
          <w:rFonts w:hint="eastAsia" w:ascii="仿宋" w:hAnsi="仿宋" w:eastAsia="仿宋" w:cs="仿宋"/>
          <w:b/>
          <w:bCs/>
          <w:sz w:val="32"/>
          <w:szCs w:val="32"/>
          <w:highlight w:val="none"/>
          <w:lang w:val="en-US" w:eastAsia="zh-CN"/>
        </w:rPr>
        <w:t>发放对象与范围：</w:t>
      </w:r>
      <w:r>
        <w:rPr>
          <w:rFonts w:hint="eastAsia" w:ascii="仿宋" w:hAnsi="仿宋" w:eastAsia="仿宋" w:cs="仿宋"/>
          <w:b w:val="0"/>
          <w:bCs w:val="0"/>
          <w:sz w:val="32"/>
          <w:szCs w:val="32"/>
          <w:highlight w:val="none"/>
          <w:lang w:val="en-US" w:eastAsia="zh-CN"/>
        </w:rPr>
        <w:t>哪些岗位、哪些人员有资格获得。</w:t>
      </w:r>
      <w:r>
        <w:rPr>
          <w:rFonts w:hint="eastAsia" w:ascii="仿宋" w:hAnsi="仿宋" w:eastAsia="仿宋" w:cs="仿宋"/>
          <w:b/>
          <w:bCs/>
          <w:sz w:val="32"/>
          <w:szCs w:val="32"/>
          <w:highlight w:val="none"/>
          <w:lang w:val="en-US" w:eastAsia="zh-CN"/>
        </w:rPr>
        <w:t>考核标准与程序：</w:t>
      </w:r>
      <w:r>
        <w:rPr>
          <w:rFonts w:hint="eastAsia" w:ascii="仿宋" w:hAnsi="仿宋" w:eastAsia="仿宋" w:cs="仿宋"/>
          <w:b w:val="0"/>
          <w:bCs w:val="0"/>
          <w:sz w:val="32"/>
          <w:szCs w:val="32"/>
          <w:highlight w:val="none"/>
          <w:lang w:val="en-US" w:eastAsia="zh-CN"/>
        </w:rPr>
        <w:t>如何评定绩效等级，由谁考核，如何公示。</w:t>
      </w:r>
      <w:r>
        <w:rPr>
          <w:rFonts w:hint="eastAsia" w:ascii="仿宋" w:hAnsi="仿宋" w:eastAsia="仿宋" w:cs="仿宋"/>
          <w:b/>
          <w:bCs/>
          <w:sz w:val="32"/>
          <w:szCs w:val="32"/>
          <w:highlight w:val="none"/>
          <w:lang w:val="en-US" w:eastAsia="zh-CN"/>
        </w:rPr>
        <w:t>奖励标准与金额：</w:t>
      </w:r>
      <w:r>
        <w:rPr>
          <w:rFonts w:hint="eastAsia" w:ascii="仿宋" w:hAnsi="仿宋" w:eastAsia="仿宋" w:cs="仿宋"/>
          <w:b w:val="0"/>
          <w:bCs w:val="0"/>
          <w:sz w:val="32"/>
          <w:szCs w:val="32"/>
          <w:highlight w:val="none"/>
          <w:lang w:val="en-US" w:eastAsia="zh-CN"/>
        </w:rPr>
        <w:t>不同绩效等级对应何种奖励金额或计算公式。</w:t>
      </w:r>
      <w:r>
        <w:rPr>
          <w:rFonts w:hint="eastAsia" w:ascii="仿宋" w:hAnsi="仿宋" w:eastAsia="仿宋" w:cs="仿宋"/>
          <w:b/>
          <w:bCs/>
          <w:sz w:val="32"/>
          <w:szCs w:val="32"/>
          <w:highlight w:val="none"/>
          <w:lang w:val="en-US" w:eastAsia="zh-CN"/>
        </w:rPr>
        <w:t>审批权限与流程：</w:t>
      </w:r>
      <w:r>
        <w:rPr>
          <w:rFonts w:hint="eastAsia" w:ascii="仿宋" w:hAnsi="仿宋" w:eastAsia="仿宋" w:cs="仿宋"/>
          <w:b w:val="0"/>
          <w:bCs w:val="0"/>
          <w:sz w:val="32"/>
          <w:szCs w:val="32"/>
          <w:highlight w:val="none"/>
          <w:lang w:val="en-US" w:eastAsia="zh-CN"/>
        </w:rPr>
        <w:t>需要经过领导班子集体研究、公示等程序。</w:t>
      </w:r>
      <w:r>
        <w:rPr>
          <w:rFonts w:hint="eastAsia" w:ascii="仿宋" w:hAnsi="仿宋" w:eastAsia="仿宋" w:cs="仿宋"/>
          <w:b/>
          <w:bCs/>
          <w:sz w:val="32"/>
          <w:szCs w:val="32"/>
          <w:highlight w:val="none"/>
          <w:lang w:val="en-US" w:eastAsia="zh-CN"/>
        </w:rPr>
        <w:t>三是强化预算管理与财务审核。</w:t>
      </w:r>
      <w:r>
        <w:rPr>
          <w:rFonts w:hint="eastAsia" w:ascii="仿宋" w:hAnsi="仿宋" w:eastAsia="仿宋" w:cs="仿宋"/>
          <w:b w:val="0"/>
          <w:bCs w:val="0"/>
          <w:sz w:val="32"/>
          <w:szCs w:val="32"/>
          <w:highlight w:val="none"/>
          <w:lang w:val="en-US" w:eastAsia="zh-CN"/>
        </w:rPr>
        <w:t>纳入年初预算：绩效奖金总额必须根据办法测算，并作为“绩效工资”或“其他工资福利支出”等科目，足额纳入单位年度预算，并获得人大或财政部门的批准。</w:t>
      </w:r>
      <w:r>
        <w:rPr>
          <w:rFonts w:hint="eastAsia" w:ascii="仿宋" w:hAnsi="仿宋" w:eastAsia="仿宋" w:cs="仿宋"/>
          <w:b/>
          <w:bCs/>
          <w:sz w:val="32"/>
          <w:szCs w:val="32"/>
          <w:highlight w:val="none"/>
          <w:lang w:val="en-US" w:eastAsia="zh-CN"/>
        </w:rPr>
        <w:t>财务严格审核：</w:t>
      </w:r>
      <w:r>
        <w:rPr>
          <w:rFonts w:hint="eastAsia" w:ascii="仿宋" w:hAnsi="仿宋" w:eastAsia="仿宋" w:cs="仿宋"/>
          <w:b w:val="0"/>
          <w:bCs w:val="0"/>
          <w:sz w:val="32"/>
          <w:szCs w:val="32"/>
          <w:highlight w:val="none"/>
          <w:lang w:val="en-US" w:eastAsia="zh-CN"/>
        </w:rPr>
        <w:t>报销时，财务部门必须审核以下“四件套”附件是否齐全：</w:t>
      </w:r>
      <w:r>
        <w:rPr>
          <w:rFonts w:hint="eastAsia" w:ascii="仿宋" w:hAnsi="仿宋" w:eastAsia="仿宋" w:cs="仿宋"/>
          <w:b/>
          <w:bCs/>
          <w:sz w:val="32"/>
          <w:szCs w:val="32"/>
          <w:highlight w:val="none"/>
          <w:lang w:val="en-US" w:eastAsia="zh-CN"/>
        </w:rPr>
        <w:t>政策依据：</w:t>
      </w:r>
      <w:r>
        <w:rPr>
          <w:rFonts w:hint="eastAsia" w:ascii="仿宋" w:hAnsi="仿宋" w:eastAsia="仿宋" w:cs="仿宋"/>
          <w:b w:val="0"/>
          <w:bCs w:val="0"/>
          <w:sz w:val="32"/>
          <w:szCs w:val="32"/>
          <w:highlight w:val="none"/>
          <w:lang w:val="en-US" w:eastAsia="zh-CN"/>
        </w:rPr>
        <w:t>《绩效奖励发放办法》等制度文件。</w:t>
      </w:r>
      <w:r>
        <w:rPr>
          <w:rFonts w:hint="eastAsia" w:ascii="仿宋" w:hAnsi="仿宋" w:eastAsia="仿宋" w:cs="仿宋"/>
          <w:b/>
          <w:bCs/>
          <w:sz w:val="32"/>
          <w:szCs w:val="32"/>
          <w:highlight w:val="none"/>
          <w:lang w:val="en-US" w:eastAsia="zh-CN"/>
        </w:rPr>
        <w:t>决策与考核依据：</w:t>
      </w:r>
      <w:r>
        <w:rPr>
          <w:rFonts w:hint="eastAsia" w:ascii="仿宋" w:hAnsi="仿宋" w:eastAsia="仿宋" w:cs="仿宋"/>
          <w:b w:val="0"/>
          <w:bCs w:val="0"/>
          <w:sz w:val="32"/>
          <w:szCs w:val="32"/>
          <w:highlight w:val="none"/>
          <w:lang w:val="en-US" w:eastAsia="zh-CN"/>
        </w:rPr>
        <w:t>本次发放的领导班子会议纪要、考核结果汇总表、公示情况等。</w:t>
      </w:r>
      <w:r>
        <w:rPr>
          <w:rFonts w:hint="eastAsia" w:ascii="仿宋" w:hAnsi="仿宋" w:eastAsia="仿宋" w:cs="仿宋"/>
          <w:b/>
          <w:bCs/>
          <w:sz w:val="32"/>
          <w:szCs w:val="32"/>
          <w:highlight w:val="none"/>
          <w:lang w:val="en-US" w:eastAsia="zh-CN"/>
        </w:rPr>
        <w:t>发放明细依据：</w:t>
      </w:r>
      <w:r>
        <w:rPr>
          <w:rFonts w:hint="eastAsia" w:ascii="仿宋" w:hAnsi="仿宋" w:eastAsia="仿宋" w:cs="仿宋"/>
          <w:b w:val="0"/>
          <w:bCs w:val="0"/>
          <w:sz w:val="32"/>
          <w:szCs w:val="32"/>
          <w:highlight w:val="none"/>
          <w:lang w:val="en-US" w:eastAsia="zh-CN"/>
        </w:rPr>
        <w:t>有领取人签字确认的奖励发放明细表（含姓名、人员类别、金额、银行卡号等）。</w:t>
      </w:r>
      <w:r>
        <w:rPr>
          <w:rFonts w:hint="eastAsia" w:ascii="仿宋" w:hAnsi="仿宋" w:eastAsia="仿宋" w:cs="仿宋"/>
          <w:b/>
          <w:bCs/>
          <w:sz w:val="32"/>
          <w:szCs w:val="32"/>
          <w:highlight w:val="none"/>
          <w:lang w:val="en-US" w:eastAsia="zh-CN"/>
        </w:rPr>
        <w:t>审批依据：</w:t>
      </w:r>
      <w:r>
        <w:rPr>
          <w:rFonts w:hint="eastAsia" w:ascii="仿宋" w:hAnsi="仿宋" w:eastAsia="仿宋" w:cs="仿宋"/>
          <w:b w:val="0"/>
          <w:bCs w:val="0"/>
          <w:sz w:val="32"/>
          <w:szCs w:val="32"/>
          <w:highlight w:val="none"/>
          <w:lang w:val="en-US" w:eastAsia="zh-CN"/>
        </w:rPr>
        <w:t>经费支出审批单。“无依据，不支付”。对于任何奖金、补贴、慰问金的发放，都必须坚持有政策制度，有预算安排，有考核程，有发放明细，有审批流程。</w:t>
      </w:r>
    </w:p>
    <w:p w14:paraId="105830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6.工资管理“四张表、两家发”的模式是一种碎片化的管理方式，虽然可能源于历史习惯或特定管理需求，但其弊端明显，体现在以下九个方面：一是维权成本高。</w:t>
      </w:r>
      <w:r>
        <w:rPr>
          <w:rFonts w:hint="eastAsia" w:ascii="仿宋" w:hAnsi="仿宋" w:eastAsia="仿宋" w:cs="仿宋"/>
          <w:b w:val="0"/>
          <w:bCs w:val="0"/>
          <w:sz w:val="32"/>
          <w:szCs w:val="32"/>
          <w:highlight w:val="none"/>
          <w:lang w:val="en-US" w:eastAsia="zh-CN"/>
        </w:rPr>
        <w:t>如果对某一笔收入有疑问，员工需要分别向财政局和单位办公室咨询，沟通成本高，问题处理链条长。</w:t>
      </w:r>
      <w:r>
        <w:rPr>
          <w:rFonts w:hint="eastAsia" w:ascii="仿宋" w:hAnsi="仿宋" w:eastAsia="仿宋" w:cs="仿宋"/>
          <w:b/>
          <w:bCs/>
          <w:sz w:val="32"/>
          <w:szCs w:val="32"/>
          <w:highlight w:val="none"/>
          <w:lang w:val="en-US" w:eastAsia="zh-CN"/>
        </w:rPr>
        <w:t>二是数据一致性风险高。</w:t>
      </w:r>
      <w:r>
        <w:rPr>
          <w:rFonts w:hint="eastAsia" w:ascii="仿宋" w:hAnsi="仿宋" w:eastAsia="仿宋" w:cs="仿宋"/>
          <w:b w:val="0"/>
          <w:bCs w:val="0"/>
          <w:sz w:val="32"/>
          <w:szCs w:val="32"/>
          <w:highlight w:val="none"/>
          <w:lang w:val="en-US" w:eastAsia="zh-CN"/>
        </w:rPr>
        <w:t>财政统发部分和单位发放部分的基础数据（如基本工资、职级、扣款基数等）需要高度同步。任何一方的数据变动（如职级晋升、公积金调整）若未及时通知另一方，就会导致发放错误，后续纠错流程繁琐。</w:t>
      </w:r>
      <w:r>
        <w:rPr>
          <w:rFonts w:hint="eastAsia" w:ascii="仿宋" w:hAnsi="仿宋" w:eastAsia="仿宋" w:cs="仿宋"/>
          <w:b/>
          <w:bCs/>
          <w:sz w:val="32"/>
          <w:szCs w:val="32"/>
          <w:highlight w:val="none"/>
          <w:lang w:val="en-US" w:eastAsia="zh-CN"/>
        </w:rPr>
        <w:t>三是资金安全风险。</w:t>
      </w:r>
      <w:r>
        <w:rPr>
          <w:rFonts w:hint="eastAsia" w:ascii="仿宋" w:hAnsi="仿宋" w:eastAsia="仿宋" w:cs="仿宋"/>
          <w:b w:val="0"/>
          <w:bCs w:val="0"/>
          <w:sz w:val="32"/>
          <w:szCs w:val="32"/>
          <w:highlight w:val="none"/>
          <w:lang w:val="en-US" w:eastAsia="zh-CN"/>
        </w:rPr>
        <w:t>单位通常通过自有账户发放补贴，涉及资金的请款、保管、支付等环节，内部控制若不到位，存在资金安全风险。</w:t>
      </w:r>
      <w:r>
        <w:rPr>
          <w:rFonts w:hint="eastAsia" w:ascii="仿宋" w:hAnsi="仿宋" w:eastAsia="仿宋" w:cs="仿宋"/>
          <w:b/>
          <w:bCs/>
          <w:sz w:val="32"/>
          <w:szCs w:val="32"/>
          <w:highlight w:val="none"/>
          <w:lang w:val="en-US" w:eastAsia="zh-CN"/>
        </w:rPr>
        <w:t>四是人事变动同步延迟。</w:t>
      </w:r>
      <w:r>
        <w:rPr>
          <w:rFonts w:hint="eastAsia" w:ascii="仿宋" w:hAnsi="仿宋" w:eastAsia="仿宋" w:cs="仿宋"/>
          <w:b w:val="0"/>
          <w:bCs w:val="0"/>
          <w:sz w:val="32"/>
          <w:szCs w:val="32"/>
          <w:highlight w:val="none"/>
          <w:lang w:val="en-US" w:eastAsia="zh-CN"/>
        </w:rPr>
        <w:t>对于人员调入、调出、离职、退休等情况，财政局和单位办公室之间的信息传递可能存在时间差，导致多发、少发或漏发工资。</w:t>
      </w:r>
      <w:r>
        <w:rPr>
          <w:rFonts w:hint="eastAsia" w:ascii="仿宋" w:hAnsi="仿宋" w:eastAsia="仿宋" w:cs="仿宋"/>
          <w:b/>
          <w:bCs/>
          <w:sz w:val="32"/>
          <w:szCs w:val="32"/>
          <w:highlight w:val="none"/>
          <w:lang w:val="en-US" w:eastAsia="zh-CN"/>
        </w:rPr>
        <w:t>五是核算与对账复杂。</w:t>
      </w:r>
      <w:r>
        <w:rPr>
          <w:rFonts w:hint="eastAsia" w:ascii="仿宋" w:hAnsi="仿宋" w:eastAsia="仿宋" w:cs="仿宋"/>
          <w:b w:val="0"/>
          <w:bCs w:val="0"/>
          <w:sz w:val="32"/>
          <w:szCs w:val="32"/>
          <w:highlight w:val="none"/>
          <w:lang w:val="en-US" w:eastAsia="zh-CN"/>
        </w:rPr>
        <w:t>单位财务人员需要将财政发放和单位发放的两部分金额在账务上进行合并处理，期末与财政局、银行等多方对账工作量翻倍，容易出错。</w:t>
      </w:r>
      <w:r>
        <w:rPr>
          <w:rFonts w:hint="eastAsia" w:ascii="仿宋" w:hAnsi="仿宋" w:eastAsia="仿宋" w:cs="仿宋"/>
          <w:b/>
          <w:bCs/>
          <w:sz w:val="32"/>
          <w:szCs w:val="32"/>
          <w:highlight w:val="none"/>
          <w:lang w:val="en-US" w:eastAsia="zh-CN"/>
        </w:rPr>
        <w:t>六是预算编制和执行困难。</w:t>
      </w:r>
      <w:r>
        <w:rPr>
          <w:rFonts w:hint="eastAsia" w:ascii="仿宋" w:hAnsi="仿宋" w:eastAsia="仿宋" w:cs="仿宋"/>
          <w:b w:val="0"/>
          <w:bCs w:val="0"/>
          <w:sz w:val="32"/>
          <w:szCs w:val="32"/>
          <w:highlight w:val="none"/>
          <w:lang w:val="en-US" w:eastAsia="zh-CN"/>
        </w:rPr>
        <w:t>工资福利支出被分割成两块，不利于单位财务进行准确的全年人员经费预算编制，也不利于对预算执行情况进行整体把控和分析。</w:t>
      </w:r>
      <w:r>
        <w:rPr>
          <w:rFonts w:hint="eastAsia" w:ascii="仿宋" w:hAnsi="仿宋" w:eastAsia="仿宋" w:cs="仿宋"/>
          <w:b/>
          <w:bCs/>
          <w:sz w:val="32"/>
          <w:szCs w:val="32"/>
          <w:highlight w:val="none"/>
          <w:lang w:val="en-US" w:eastAsia="zh-CN"/>
        </w:rPr>
        <w:t>七是审计风险高。</w:t>
      </w:r>
      <w:r>
        <w:rPr>
          <w:rFonts w:hint="eastAsia" w:ascii="仿宋" w:hAnsi="仿宋" w:eastAsia="仿宋" w:cs="仿宋"/>
          <w:b w:val="0"/>
          <w:bCs w:val="0"/>
          <w:sz w:val="32"/>
          <w:szCs w:val="32"/>
          <w:highlight w:val="none"/>
          <w:lang w:val="en-US" w:eastAsia="zh-CN"/>
        </w:rPr>
        <w:t>这种模式在审计时会被重点关注。审计人员会审查发放依据、标准、内部控制的完整性，任何环节的疏漏都可能被提出审计质疑。津补贴的发放是否符合政策规定是审计的重中之重。</w:t>
      </w:r>
    </w:p>
    <w:p w14:paraId="6B940FC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八是信息孤岛。</w:t>
      </w:r>
      <w:r>
        <w:rPr>
          <w:rFonts w:hint="eastAsia" w:ascii="仿宋" w:hAnsi="仿宋" w:eastAsia="仿宋" w:cs="仿宋"/>
          <w:b w:val="0"/>
          <w:bCs w:val="0"/>
          <w:sz w:val="32"/>
          <w:szCs w:val="32"/>
          <w:highlight w:val="none"/>
          <w:lang w:val="en-US" w:eastAsia="zh-CN"/>
        </w:rPr>
        <w:t>薪资数据分散在两套甚至多套系统中，无法形成完整、统一的人员薪酬数据库，难以进行有效的薪酬数据分析和决策支持。</w:t>
      </w:r>
      <w:r>
        <w:rPr>
          <w:rFonts w:hint="eastAsia" w:ascii="仿宋" w:hAnsi="仿宋" w:eastAsia="仿宋" w:cs="仿宋"/>
          <w:b/>
          <w:bCs/>
          <w:sz w:val="32"/>
          <w:szCs w:val="32"/>
          <w:highlight w:val="none"/>
          <w:lang w:val="en-US" w:eastAsia="zh-CN"/>
        </w:rPr>
        <w:t>九是统计报表困难。</w:t>
      </w:r>
      <w:r>
        <w:rPr>
          <w:rFonts w:hint="eastAsia" w:ascii="仿宋" w:hAnsi="仿宋" w:eastAsia="仿宋" w:cs="仿宋"/>
          <w:b w:val="0"/>
          <w:bCs w:val="0"/>
          <w:sz w:val="32"/>
          <w:szCs w:val="32"/>
          <w:highlight w:val="none"/>
          <w:lang w:val="en-US" w:eastAsia="zh-CN"/>
        </w:rPr>
        <w:t>每当需要向上级部门报送人事、工资统计报表时，需要人工从不同来源汇总数据，费时费力，且数据准确性难以保证。</w:t>
      </w:r>
    </w:p>
    <w:p w14:paraId="0C1912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相关政策1：</w:t>
      </w:r>
      <w:r>
        <w:rPr>
          <w:rFonts w:hint="eastAsia" w:ascii="仿宋" w:hAnsi="仿宋" w:eastAsia="仿宋" w:cs="仿宋"/>
          <w:b w:val="0"/>
          <w:bCs w:val="0"/>
          <w:sz w:val="32"/>
          <w:szCs w:val="32"/>
          <w:highlight w:val="none"/>
          <w:lang w:val="en-US" w:eastAsia="zh-CN"/>
        </w:rPr>
        <w:t>上述违反了《中华人民共和国预算法》及其实施条例-</w:t>
      </w:r>
      <w:r>
        <w:rPr>
          <w:rFonts w:hint="eastAsia" w:ascii="仿宋" w:hAnsi="仿宋" w:eastAsia="仿宋" w:cs="仿宋"/>
          <w:b/>
          <w:bCs/>
          <w:sz w:val="32"/>
          <w:szCs w:val="32"/>
          <w:highlight w:val="none"/>
          <w:lang w:val="en-US" w:eastAsia="zh-CN"/>
        </w:rPr>
        <w:t>全口径预算与支出管理</w:t>
      </w:r>
      <w:r>
        <w:rPr>
          <w:rFonts w:hint="eastAsia" w:ascii="仿宋" w:hAnsi="仿宋" w:eastAsia="仿宋" w:cs="仿宋"/>
          <w:b w:val="0"/>
          <w:bCs w:val="0"/>
          <w:sz w:val="32"/>
          <w:szCs w:val="32"/>
          <w:highlight w:val="none"/>
          <w:lang w:val="en-US" w:eastAsia="zh-CN"/>
        </w:rPr>
        <w:t>。核心要求：政府的全部收入和支出都应当纳入预算。所有工资性支出作为单位预算的重要组成部分，必须接受严格的预算管理和控制。将工资拆分发放，尤其是使用单位“小金库”、未纳入预算的收支或其他非财政渠道的资金，规避了预算的统筹管理和监督，使得部分人员支出脱离了人大和财政的监管视野，属于典型的“预算管理碎片化”。</w:t>
      </w:r>
      <w:r>
        <w:rPr>
          <w:rFonts w:hint="eastAsia" w:ascii="仿宋" w:hAnsi="仿宋" w:eastAsia="仿宋" w:cs="仿宋"/>
          <w:b/>
          <w:bCs/>
          <w:sz w:val="32"/>
          <w:szCs w:val="32"/>
          <w:highlight w:val="none"/>
          <w:lang w:val="en-US" w:eastAsia="zh-CN"/>
        </w:rPr>
        <w:t>相关政策2：</w:t>
      </w:r>
      <w:r>
        <w:rPr>
          <w:rFonts w:hint="eastAsia" w:ascii="仿宋" w:hAnsi="仿宋" w:eastAsia="仿宋" w:cs="仿宋"/>
          <w:b w:val="0"/>
          <w:bCs w:val="0"/>
          <w:sz w:val="32"/>
          <w:szCs w:val="32"/>
          <w:highlight w:val="none"/>
          <w:lang w:val="en-US" w:eastAsia="zh-CN"/>
        </w:rPr>
        <w:t>上述违反了《政府会计制度》-</w:t>
      </w:r>
      <w:r>
        <w:rPr>
          <w:rFonts w:hint="eastAsia" w:ascii="仿宋" w:hAnsi="仿宋" w:eastAsia="仿宋" w:cs="仿宋"/>
          <w:b/>
          <w:bCs/>
          <w:sz w:val="32"/>
          <w:szCs w:val="32"/>
          <w:highlight w:val="none"/>
          <w:lang w:val="en-US" w:eastAsia="zh-CN"/>
        </w:rPr>
        <w:t>核算的完整性与准确性。</w:t>
      </w:r>
      <w:r>
        <w:rPr>
          <w:rFonts w:hint="eastAsia" w:ascii="仿宋" w:hAnsi="仿宋" w:eastAsia="仿宋" w:cs="仿宋"/>
          <w:b w:val="0"/>
          <w:bCs w:val="0"/>
          <w:sz w:val="32"/>
          <w:szCs w:val="32"/>
          <w:highlight w:val="none"/>
          <w:lang w:val="en-US" w:eastAsia="zh-CN"/>
        </w:rPr>
        <w:t>核心要求：会计核算应当以实际发生的经济业务为依据，</w:t>
      </w:r>
      <w:r>
        <w:rPr>
          <w:rFonts w:hint="eastAsia" w:ascii="仿宋" w:hAnsi="仿宋" w:eastAsia="仿宋" w:cs="仿宋"/>
          <w:b/>
          <w:bCs/>
          <w:sz w:val="32"/>
          <w:szCs w:val="32"/>
          <w:highlight w:val="none"/>
          <w:lang w:val="en-US" w:eastAsia="zh-CN"/>
        </w:rPr>
        <w:t>真实、完整</w:t>
      </w:r>
      <w:r>
        <w:rPr>
          <w:rFonts w:hint="eastAsia" w:ascii="仿宋" w:hAnsi="仿宋" w:eastAsia="仿宋" w:cs="仿宋"/>
          <w:b w:val="0"/>
          <w:bCs w:val="0"/>
          <w:sz w:val="32"/>
          <w:szCs w:val="32"/>
          <w:highlight w:val="none"/>
          <w:lang w:val="en-US" w:eastAsia="zh-CN"/>
        </w:rPr>
        <w:t>地反映单位的财务状况和运行情况。人为将同一笔经济业务（支付职工薪酬）拆分，导致单位的“人员支出”总额在账面上无法真实、完整地体现。这扭曲了成本信息，影响了会计信息的质量，使得报表使用者无法准确了解单位真实的人工成本。</w:t>
      </w:r>
      <w:r>
        <w:rPr>
          <w:rFonts w:hint="eastAsia" w:ascii="仿宋" w:hAnsi="仿宋" w:eastAsia="仿宋" w:cs="仿宋"/>
          <w:b/>
          <w:bCs/>
          <w:sz w:val="32"/>
          <w:szCs w:val="32"/>
          <w:highlight w:val="none"/>
          <w:lang w:val="en-US" w:eastAsia="zh-CN"/>
        </w:rPr>
        <w:t>相关政策3：</w:t>
      </w:r>
      <w:r>
        <w:rPr>
          <w:rFonts w:hint="eastAsia" w:ascii="仿宋" w:hAnsi="仿宋" w:eastAsia="仿宋" w:cs="仿宋"/>
          <w:b w:val="0"/>
          <w:bCs w:val="0"/>
          <w:sz w:val="32"/>
          <w:szCs w:val="32"/>
          <w:highlight w:val="none"/>
          <w:lang w:val="en-US" w:eastAsia="zh-CN"/>
        </w:rPr>
        <w:t>上述违反了《行政事业单位内部控制规范（试行）》-</w:t>
      </w:r>
      <w:r>
        <w:rPr>
          <w:rFonts w:hint="eastAsia" w:ascii="仿宋" w:hAnsi="仿宋" w:eastAsia="仿宋" w:cs="仿宋"/>
          <w:b/>
          <w:bCs/>
          <w:sz w:val="32"/>
          <w:szCs w:val="32"/>
          <w:highlight w:val="none"/>
          <w:lang w:val="en-US" w:eastAsia="zh-CN"/>
        </w:rPr>
        <w:t>业务归口管理与控制。</w:t>
      </w:r>
      <w:r>
        <w:rPr>
          <w:rFonts w:hint="eastAsia" w:ascii="仿宋" w:hAnsi="仿宋" w:eastAsia="仿宋" w:cs="仿宋"/>
          <w:b w:val="0"/>
          <w:bCs w:val="0"/>
          <w:sz w:val="32"/>
          <w:szCs w:val="32"/>
          <w:highlight w:val="none"/>
          <w:lang w:val="en-US" w:eastAsia="zh-CN"/>
        </w:rPr>
        <w:t>核心要求：单位应当建立健全内部控制体系，对经济活动实行归口管理。工资薪金发放作为一个完整的经济活动，应由人事部门和财务部门统一审核、统一支付。“四张表、两家发”的模式破坏了业务的完整性和归口管理原则。导致审核控制弱化，人事部门可能无法全面掌握职工的总收入，无法进行有效的总量控制和合规性审核。支付控制分散，财务部门无法对人员经费进行统一的支付控制和账务处理，内控环节出现断点。</w:t>
      </w:r>
    </w:p>
    <w:p w14:paraId="1EA520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建议：推动整合与规范化，利用信息化手段，明确责任分工，强化内部控制，实现工资性收入的“一个标准、归口管理、统一核算、统一发放”</w:t>
      </w:r>
      <w:r>
        <w:rPr>
          <w:rFonts w:hint="eastAsia" w:ascii="仿宋" w:hAnsi="仿宋" w:eastAsia="仿宋" w:cs="仿宋"/>
          <w:b w:val="0"/>
          <w:bCs w:val="0"/>
          <w:sz w:val="32"/>
          <w:szCs w:val="32"/>
          <w:highlight w:val="none"/>
          <w:lang w:val="en-US" w:eastAsia="zh-CN"/>
        </w:rPr>
        <w:t>。</w:t>
      </w:r>
      <w:r>
        <w:rPr>
          <w:rFonts w:hint="eastAsia" w:ascii="仿宋" w:hAnsi="仿宋" w:eastAsia="仿宋" w:cs="仿宋"/>
          <w:b/>
          <w:bCs/>
          <w:sz w:val="32"/>
          <w:szCs w:val="32"/>
          <w:highlight w:val="none"/>
          <w:lang w:val="en-US" w:eastAsia="zh-CN"/>
        </w:rPr>
        <w:t>一是确定终极目标，推动“工资一体化发放”。</w:t>
      </w:r>
      <w:r>
        <w:rPr>
          <w:rFonts w:hint="eastAsia" w:ascii="仿宋" w:hAnsi="仿宋" w:eastAsia="仿宋" w:cs="仿宋"/>
          <w:b w:val="0"/>
          <w:bCs w:val="0"/>
          <w:sz w:val="32"/>
          <w:szCs w:val="32"/>
          <w:highlight w:val="none"/>
          <w:lang w:val="en-US" w:eastAsia="zh-CN"/>
        </w:rPr>
        <w:t>积极与上级财政部门沟通，争取将所有合规的津补贴、绩效工资等项目全部纳入财政统发系统。由单位提供完整、准确的发放数据和依据，由财政局通过一个渠道统一发放。这是最彻底、最规范的解决方案，能从根本上解决上述所有问题。</w:t>
      </w:r>
      <w:r>
        <w:rPr>
          <w:rFonts w:hint="eastAsia" w:ascii="仿宋" w:hAnsi="仿宋" w:eastAsia="仿宋" w:cs="仿宋"/>
          <w:b/>
          <w:bCs/>
          <w:sz w:val="32"/>
          <w:szCs w:val="32"/>
          <w:highlight w:val="none"/>
          <w:lang w:val="en-US" w:eastAsia="zh-CN"/>
        </w:rPr>
        <w:t>二是优化流程与加强管理，实施现阶段过渡方案。</w:t>
      </w:r>
      <w:r>
        <w:rPr>
          <w:rFonts w:hint="eastAsia" w:ascii="仿宋" w:hAnsi="仿宋" w:eastAsia="仿宋" w:cs="仿宋"/>
          <w:b w:val="0"/>
          <w:bCs w:val="0"/>
          <w:sz w:val="32"/>
          <w:szCs w:val="32"/>
          <w:highlight w:val="none"/>
          <w:lang w:val="en-US" w:eastAsia="zh-CN"/>
        </w:rPr>
        <w:t>如果短期内无法实现全部财政统发，应采取以下措施进行优化：</w:t>
      </w:r>
      <w:r>
        <w:rPr>
          <w:rFonts w:hint="eastAsia" w:ascii="仿宋" w:hAnsi="仿宋" w:eastAsia="仿宋" w:cs="仿宋"/>
          <w:b/>
          <w:bCs/>
          <w:sz w:val="32"/>
          <w:szCs w:val="32"/>
          <w:highlight w:val="none"/>
          <w:lang w:val="en-US" w:eastAsia="zh-CN"/>
        </w:rPr>
        <w:t>①流程优化。</w:t>
      </w:r>
      <w:r>
        <w:rPr>
          <w:rFonts w:hint="eastAsia" w:ascii="仿宋" w:hAnsi="仿宋" w:eastAsia="仿宋" w:cs="仿宋"/>
          <w:b w:val="0"/>
          <w:bCs w:val="0"/>
          <w:sz w:val="32"/>
          <w:szCs w:val="32"/>
          <w:highlight w:val="none"/>
          <w:lang w:val="en-US" w:eastAsia="zh-CN"/>
        </w:rPr>
        <w:t>明确发放项目和标准，制定内部的《薪酬发放管理办法》，以书面形式明确财政统发哪些、单位发哪些，每个项目的计算标准、发放时间、责任部门，并向全体员工公示，减少误解。</w:t>
      </w:r>
      <w:r>
        <w:rPr>
          <w:rFonts w:hint="eastAsia" w:ascii="仿宋" w:hAnsi="仿宋" w:eastAsia="仿宋" w:cs="仿宋"/>
          <w:b/>
          <w:bCs/>
          <w:sz w:val="32"/>
          <w:szCs w:val="32"/>
          <w:highlight w:val="none"/>
          <w:lang w:val="en-US" w:eastAsia="zh-CN"/>
        </w:rPr>
        <w:t>②建立数据同步机制。</w:t>
      </w:r>
      <w:r>
        <w:rPr>
          <w:rFonts w:hint="eastAsia" w:ascii="仿宋" w:hAnsi="仿宋" w:eastAsia="仿宋" w:cs="仿宋"/>
          <w:b w:val="0"/>
          <w:bCs w:val="0"/>
          <w:sz w:val="32"/>
          <w:szCs w:val="32"/>
          <w:highlight w:val="none"/>
          <w:lang w:val="en-US" w:eastAsia="zh-CN"/>
        </w:rPr>
        <w:t>建立“人事-财务-办公室”联动机制。任何人员信息、薪资标准的变动，由人力资源岗统一发起，同时通知财政局对接人和单位办公室发放负责人，确保两边数据源一致</w:t>
      </w:r>
      <w:r>
        <w:rPr>
          <w:rFonts w:hint="eastAsia" w:ascii="仿宋" w:hAnsi="仿宋" w:eastAsia="仿宋" w:cs="仿宋"/>
          <w:b/>
          <w:bCs/>
          <w:sz w:val="32"/>
          <w:szCs w:val="32"/>
          <w:highlight w:val="none"/>
          <w:lang w:val="en-US" w:eastAsia="zh-CN"/>
        </w:rPr>
        <w:t>。③合并发放时间。</w:t>
      </w:r>
      <w:r>
        <w:rPr>
          <w:rFonts w:hint="eastAsia" w:ascii="仿宋" w:hAnsi="仿宋" w:eastAsia="仿宋" w:cs="仿宋"/>
          <w:b w:val="0"/>
          <w:bCs w:val="0"/>
          <w:sz w:val="32"/>
          <w:szCs w:val="32"/>
          <w:highlight w:val="none"/>
          <w:lang w:val="en-US" w:eastAsia="zh-CN"/>
        </w:rPr>
        <w:t>尽量将单位发放的补贴与财政统发工资的到账时间安排在相近的日期，减轻员工的核算困惑。</w:t>
      </w:r>
      <w:r>
        <w:rPr>
          <w:rFonts w:hint="eastAsia" w:ascii="仿宋" w:hAnsi="仿宋" w:eastAsia="仿宋" w:cs="仿宋"/>
          <w:b/>
          <w:bCs/>
          <w:sz w:val="32"/>
          <w:szCs w:val="32"/>
          <w:highlight w:val="none"/>
          <w:lang w:val="en-US" w:eastAsia="zh-CN"/>
        </w:rPr>
        <w:t>④技术赋能。</w:t>
      </w:r>
      <w:r>
        <w:rPr>
          <w:rFonts w:hint="eastAsia" w:ascii="仿宋" w:hAnsi="仿宋" w:eastAsia="仿宋" w:cs="仿宋"/>
          <w:b w:val="0"/>
          <w:bCs w:val="0"/>
          <w:sz w:val="32"/>
          <w:szCs w:val="32"/>
          <w:highlight w:val="none"/>
          <w:lang w:val="en-US" w:eastAsia="zh-CN"/>
        </w:rPr>
        <w:t>引入或优化薪资管理系统，即使发放渠道不同，也应使用一套统一的软件或Excel模板进行所有工资项目的计算和汇总。系统应能自动生成财政统发表和单位发放表，并能合并生成一张完整的、给员工看的综合工资条（详细列出所有收入项目和扣除项目）。</w:t>
      </w:r>
      <w:r>
        <w:rPr>
          <w:rFonts w:hint="eastAsia" w:ascii="仿宋" w:hAnsi="仿宋" w:eastAsia="仿宋" w:cs="仿宋"/>
          <w:b/>
          <w:bCs/>
          <w:sz w:val="32"/>
          <w:szCs w:val="32"/>
          <w:highlight w:val="none"/>
          <w:lang w:val="en-US" w:eastAsia="zh-CN"/>
        </w:rPr>
        <w:t>⑤推广电子工资条。</w:t>
      </w:r>
      <w:r>
        <w:rPr>
          <w:rFonts w:hint="eastAsia" w:ascii="仿宋" w:hAnsi="仿宋" w:eastAsia="仿宋" w:cs="仿宋"/>
          <w:b w:val="0"/>
          <w:bCs w:val="0"/>
          <w:sz w:val="32"/>
          <w:szCs w:val="32"/>
          <w:highlight w:val="none"/>
          <w:lang w:val="en-US" w:eastAsia="zh-CN"/>
        </w:rPr>
        <w:t>通过短信、邮件或内部OA系统推送完整的电子工资条，方便员工查询、保存和核对。</w:t>
      </w:r>
    </w:p>
    <w:p w14:paraId="0343AA4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⑥强化审核与监督。</w:t>
      </w:r>
      <w:r>
        <w:rPr>
          <w:rFonts w:hint="eastAsia" w:ascii="仿宋" w:hAnsi="仿宋" w:eastAsia="仿宋" w:cs="仿宋"/>
          <w:b w:val="0"/>
          <w:bCs w:val="0"/>
          <w:sz w:val="32"/>
          <w:szCs w:val="32"/>
          <w:highlight w:val="none"/>
          <w:lang w:val="en-US" w:eastAsia="zh-CN"/>
        </w:rPr>
        <w:t>单位办公室制作补贴发放表时，必须经过制表人、审核人（财务负责人）、审批人（单位分管领导）三级审核签字确认，确保数据准确、合规。</w:t>
      </w:r>
      <w:r>
        <w:rPr>
          <w:rFonts w:hint="eastAsia" w:ascii="仿宋" w:hAnsi="仿宋" w:eastAsia="仿宋" w:cs="仿宋"/>
          <w:b/>
          <w:bCs/>
          <w:sz w:val="32"/>
          <w:szCs w:val="32"/>
          <w:highlight w:val="none"/>
          <w:lang w:val="en-US" w:eastAsia="zh-CN"/>
        </w:rPr>
        <w:t>⑦定期对账与审计。</w:t>
      </w:r>
      <w:r>
        <w:rPr>
          <w:rFonts w:hint="eastAsia" w:ascii="仿宋" w:hAnsi="仿宋" w:eastAsia="仿宋" w:cs="仿宋"/>
          <w:b w:val="0"/>
          <w:bCs w:val="0"/>
          <w:sz w:val="32"/>
          <w:szCs w:val="32"/>
          <w:highlight w:val="none"/>
          <w:lang w:val="en-US" w:eastAsia="zh-CN"/>
        </w:rPr>
        <w:t>财务部门每月、每季度都要对财政发放和单位发放的记录进行核对，确保账实相符。定期邀请内审或上级审计部门进行抽查，提前发现问题。</w:t>
      </w:r>
      <w:r>
        <w:rPr>
          <w:rFonts w:hint="eastAsia" w:ascii="仿宋" w:hAnsi="仿宋" w:eastAsia="仿宋" w:cs="仿宋"/>
          <w:b/>
          <w:bCs/>
          <w:sz w:val="32"/>
          <w:szCs w:val="32"/>
          <w:highlight w:val="none"/>
          <w:lang w:val="en-US" w:eastAsia="zh-CN"/>
        </w:rPr>
        <w:t>⑧专款专用与账户管理。</w:t>
      </w:r>
      <w:r>
        <w:rPr>
          <w:rFonts w:hint="eastAsia" w:ascii="仿宋" w:hAnsi="仿宋" w:eastAsia="仿宋" w:cs="仿宋"/>
          <w:b w:val="0"/>
          <w:bCs w:val="0"/>
          <w:sz w:val="32"/>
          <w:szCs w:val="32"/>
          <w:highlight w:val="none"/>
          <w:lang w:val="en-US" w:eastAsia="zh-CN"/>
        </w:rPr>
        <w:t>对用于发放补贴的账户进行严格管理，收支清晰，杜绝与其他经费混用。</w:t>
      </w:r>
      <w:r>
        <w:rPr>
          <w:rFonts w:hint="eastAsia" w:ascii="仿宋" w:hAnsi="仿宋" w:eastAsia="仿宋" w:cs="仿宋"/>
          <w:b/>
          <w:bCs/>
          <w:sz w:val="32"/>
          <w:szCs w:val="32"/>
          <w:highlight w:val="none"/>
          <w:lang w:val="en-US" w:eastAsia="zh-CN"/>
        </w:rPr>
        <w:t>三是加强沟通与培训。对员工，</w:t>
      </w:r>
      <w:r>
        <w:rPr>
          <w:rFonts w:hint="eastAsia" w:ascii="仿宋" w:hAnsi="仿宋" w:eastAsia="仿宋" w:cs="仿宋"/>
          <w:b w:val="0"/>
          <w:bCs w:val="0"/>
          <w:sz w:val="32"/>
          <w:szCs w:val="32"/>
          <w:highlight w:val="none"/>
          <w:lang w:val="en-US" w:eastAsia="zh-CN"/>
        </w:rPr>
        <w:t>定期召开说明会或印发通知，解释工资构成和发放方式，公布咨询渠道，减少因信息不对称带来的误会。</w:t>
      </w:r>
      <w:r>
        <w:rPr>
          <w:rFonts w:hint="eastAsia" w:ascii="仿宋" w:hAnsi="仿宋" w:eastAsia="仿宋" w:cs="仿宋"/>
          <w:b/>
          <w:bCs/>
          <w:sz w:val="32"/>
          <w:szCs w:val="32"/>
          <w:highlight w:val="none"/>
          <w:lang w:val="en-US" w:eastAsia="zh-CN"/>
        </w:rPr>
        <w:t>对相关经办人员，</w:t>
      </w:r>
      <w:r>
        <w:rPr>
          <w:rFonts w:hint="eastAsia" w:ascii="仿宋" w:hAnsi="仿宋" w:eastAsia="仿宋" w:cs="仿宋"/>
          <w:b w:val="0"/>
          <w:bCs w:val="0"/>
          <w:sz w:val="32"/>
          <w:szCs w:val="32"/>
          <w:highlight w:val="none"/>
          <w:lang w:val="en-US" w:eastAsia="zh-CN"/>
        </w:rPr>
        <w:t>组织办公室、财务室人员进行业务培训，确保他们熟悉政策、精通流程、熟练操作软件，减少人为差错。</w:t>
      </w:r>
    </w:p>
    <w:p w14:paraId="53DBC013">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56" w:name="_Toc10364"/>
      <w:r>
        <w:rPr>
          <w:rFonts w:hint="eastAsia" w:ascii="楷体" w:hAnsi="楷体" w:eastAsia="楷体" w:cs="楷体"/>
          <w:b/>
          <w:bCs/>
          <w:sz w:val="32"/>
          <w:szCs w:val="32"/>
          <w:lang w:val="en-US" w:eastAsia="zh-CN"/>
        </w:rPr>
        <w:t>（四）项目管理方面存在的问题及建议</w:t>
      </w:r>
      <w:bookmarkEnd w:id="56"/>
    </w:p>
    <w:p w14:paraId="0C8970FC">
      <w:pPr>
        <w:pStyle w:val="2"/>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1.加班餐费凭证附件没有标注加班人数，未实施审批流程，无法核对金额。详见2024年12月10日0.0062万元与0.0053万元。</w:t>
      </w:r>
    </w:p>
    <w:p w14:paraId="11F85D5B">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行政事业单位内部控制规范（试行）》（财会〔2012〕21号）的核心规定。单位应当建立健全支出内部管理制度，确定经济活动的各项支出标准，明确支出报销流程，按照规定办理支出事项。没有履行审批程序，违反了“各项支出必须经过审核”的核心控制要求。由于缺少人数等信息，审核环节形同虚设，无法对支出的真实性、合规性进行有效审核。</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政府会计制度及相关会计基础工作规范（如《会计基础工作规范》）核心规定。原始凭证必须具备的基本内容包括：凭证名称、填制日期、填制单位名称或填制人姓名、经办人员的签名或盖章、接受单位名称、经济业务内容、数量、单价、金额等。会计人员必须按照国家统一的会计制度的规定对原始凭证进行审核，对不真实、不合法的原始凭证有权不予接受。作为报销核心依据的原始凭证（如餐费清单、审批单）信息严重不全，缺少“经济业务内容”（为多少人提供的加班餐）这一关键要素，导致原始凭证不完整、不合规，会计人员本应拒绝受理。</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上述违反了单位内部财务管理制度（通用原则）。任何单位的内部管理制度都应包含“先审批、后支出”的原则，以及对公务活动（包括加班）开支范围和标准的规定。此报销行为直接违背了基本原则。</w:t>
      </w:r>
    </w:p>
    <w:p w14:paraId="1364EF3C">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建议：一是及时整改，规范流程（针对已发生业务）。</w:t>
      </w:r>
      <w:r>
        <w:rPr>
          <w:rFonts w:hint="eastAsia" w:ascii="仿宋" w:hAnsi="仿宋" w:eastAsia="仿宋" w:cs="仿宋"/>
          <w:b w:val="0"/>
          <w:bCs w:val="0"/>
          <w:sz w:val="32"/>
          <w:szCs w:val="32"/>
          <w:lang w:val="en-US" w:eastAsia="zh-CN"/>
        </w:rPr>
        <w:t>财务部门应将该笔报销凭证退回经办部门，要求其补充提供经部门负责人签字的</w:t>
      </w:r>
      <w:r>
        <w:rPr>
          <w:rFonts w:hint="eastAsia" w:ascii="仿宋" w:hAnsi="仿宋" w:eastAsia="仿宋" w:cs="仿宋"/>
          <w:b/>
          <w:bCs/>
          <w:sz w:val="32"/>
          <w:szCs w:val="32"/>
          <w:lang w:val="en-US" w:eastAsia="zh-CN"/>
        </w:rPr>
        <w:t>《加班餐费审批单》。</w:t>
      </w:r>
      <w:r>
        <w:rPr>
          <w:rFonts w:hint="eastAsia" w:ascii="仿宋" w:hAnsi="仿宋" w:eastAsia="仿宋" w:cs="仿宋"/>
          <w:b w:val="0"/>
          <w:bCs w:val="0"/>
          <w:sz w:val="32"/>
          <w:szCs w:val="32"/>
          <w:lang w:val="en-US" w:eastAsia="zh-CN"/>
        </w:rPr>
        <w:t>审批单上必须明确填写：</w:t>
      </w:r>
      <w:r>
        <w:rPr>
          <w:rFonts w:hint="eastAsia" w:ascii="仿宋" w:hAnsi="仿宋" w:eastAsia="仿宋" w:cs="仿宋"/>
          <w:b/>
          <w:bCs/>
          <w:sz w:val="32"/>
          <w:szCs w:val="32"/>
          <w:lang w:val="en-US" w:eastAsia="zh-CN"/>
        </w:rPr>
        <w:t>加班事由、加班人员名单、加班日期、用餐日期、用餐人数及人均费用标准</w:t>
      </w:r>
      <w:r>
        <w:rPr>
          <w:rFonts w:hint="eastAsia" w:ascii="仿宋" w:hAnsi="仿宋" w:eastAsia="仿宋" w:cs="仿宋"/>
          <w:b w:val="0"/>
          <w:bCs w:val="0"/>
          <w:sz w:val="32"/>
          <w:szCs w:val="32"/>
          <w:lang w:val="en-US" w:eastAsia="zh-CN"/>
        </w:rPr>
        <w:t>。</w:t>
      </w:r>
      <w:r>
        <w:rPr>
          <w:rFonts w:hint="eastAsia" w:ascii="仿宋" w:hAnsi="仿宋" w:eastAsia="仿宋" w:cs="仿宋"/>
          <w:b/>
          <w:bCs/>
          <w:sz w:val="32"/>
          <w:szCs w:val="32"/>
          <w:lang w:val="en-US" w:eastAsia="zh-CN"/>
        </w:rPr>
        <w:t>说明情况：</w:t>
      </w:r>
      <w:r>
        <w:rPr>
          <w:rFonts w:hint="eastAsia" w:ascii="仿宋" w:hAnsi="仿宋" w:eastAsia="仿宋" w:cs="仿宋"/>
          <w:b w:val="0"/>
          <w:bCs w:val="0"/>
          <w:sz w:val="32"/>
          <w:szCs w:val="32"/>
          <w:lang w:val="en-US" w:eastAsia="zh-CN"/>
        </w:rPr>
        <w:t>由经办人对缺少审批和信息不全的情况做出书面说明，并由部门负责人签字确认，作为追溯性证明。</w:t>
      </w:r>
      <w:r>
        <w:rPr>
          <w:rFonts w:hint="eastAsia" w:ascii="仿宋" w:hAnsi="仿宋" w:eastAsia="仿宋" w:cs="仿宋"/>
          <w:b/>
          <w:bCs/>
          <w:sz w:val="32"/>
          <w:szCs w:val="32"/>
          <w:lang w:val="en-US" w:eastAsia="zh-CN"/>
        </w:rPr>
        <w:t>二是建章立制，杜绝后患（长效机制）。</w:t>
      </w:r>
      <w:r>
        <w:rPr>
          <w:rFonts w:hint="eastAsia" w:ascii="仿宋" w:hAnsi="仿宋" w:eastAsia="仿宋" w:cs="仿宋"/>
          <w:b w:val="0"/>
          <w:bCs w:val="0"/>
          <w:sz w:val="32"/>
          <w:szCs w:val="32"/>
          <w:lang w:val="en-US" w:eastAsia="zh-CN"/>
        </w:rPr>
        <w:t>制定明确标准，单位应出台或完善《加班餐费管理办法》，明确规定适用情形，如在什么情况下可以申请加班餐（如加班超过晚上X小时）。</w:t>
      </w:r>
      <w:r>
        <w:rPr>
          <w:rFonts w:hint="eastAsia" w:ascii="仿宋" w:hAnsi="仿宋" w:eastAsia="仿宋" w:cs="仿宋"/>
          <w:b/>
          <w:bCs/>
          <w:sz w:val="32"/>
          <w:szCs w:val="32"/>
          <w:lang w:val="en-US" w:eastAsia="zh-CN"/>
        </w:rPr>
        <w:t>审批权限：</w:t>
      </w:r>
      <w:r>
        <w:rPr>
          <w:rFonts w:hint="eastAsia" w:ascii="仿宋" w:hAnsi="仿宋" w:eastAsia="仿宋" w:cs="仿宋"/>
          <w:b w:val="0"/>
          <w:bCs w:val="0"/>
          <w:sz w:val="32"/>
          <w:szCs w:val="32"/>
          <w:lang w:val="en-US" w:eastAsia="zh-CN"/>
        </w:rPr>
        <w:t>由谁审批（如部门负责人）。</w:t>
      </w:r>
      <w:r>
        <w:rPr>
          <w:rFonts w:hint="eastAsia" w:ascii="仿宋" w:hAnsi="仿宋" w:eastAsia="仿宋" w:cs="仿宋"/>
          <w:b/>
          <w:bCs/>
          <w:sz w:val="32"/>
          <w:szCs w:val="32"/>
          <w:lang w:val="en-US" w:eastAsia="zh-CN"/>
        </w:rPr>
        <w:t>费用标准：</w:t>
      </w:r>
      <w:r>
        <w:rPr>
          <w:rFonts w:hint="eastAsia" w:ascii="仿宋" w:hAnsi="仿宋" w:eastAsia="仿宋" w:cs="仿宋"/>
          <w:b w:val="0"/>
          <w:bCs w:val="0"/>
          <w:sz w:val="32"/>
          <w:szCs w:val="32"/>
          <w:lang w:val="en-US" w:eastAsia="zh-CN"/>
        </w:rPr>
        <w:t>每人每餐的报销上限。</w:t>
      </w:r>
      <w:r>
        <w:rPr>
          <w:rFonts w:hint="eastAsia" w:ascii="仿宋" w:hAnsi="仿宋" w:eastAsia="仿宋" w:cs="仿宋"/>
          <w:b/>
          <w:bCs/>
          <w:sz w:val="32"/>
          <w:szCs w:val="32"/>
          <w:lang w:val="en-US" w:eastAsia="zh-CN"/>
        </w:rPr>
        <w:t>所需附件：</w:t>
      </w:r>
      <w:r>
        <w:rPr>
          <w:rFonts w:hint="eastAsia" w:ascii="仿宋" w:hAnsi="仿宋" w:eastAsia="仿宋" w:cs="仿宋"/>
          <w:b w:val="0"/>
          <w:bCs w:val="0"/>
          <w:sz w:val="32"/>
          <w:szCs w:val="32"/>
          <w:lang w:val="en-US" w:eastAsia="zh-CN"/>
        </w:rPr>
        <w:t>报销时必须提供《加班餐费审批单》、餐费发票、菜单或消费明细（如可能）。</w:t>
      </w:r>
      <w:r>
        <w:rPr>
          <w:rFonts w:hint="eastAsia" w:ascii="仿宋" w:hAnsi="仿宋" w:eastAsia="仿宋" w:cs="仿宋"/>
          <w:b/>
          <w:bCs/>
          <w:sz w:val="32"/>
          <w:szCs w:val="32"/>
          <w:lang w:val="en-US" w:eastAsia="zh-CN"/>
        </w:rPr>
        <w:t>设计统一表单：</w:t>
      </w:r>
      <w:r>
        <w:rPr>
          <w:rFonts w:hint="eastAsia" w:ascii="仿宋" w:hAnsi="仿宋" w:eastAsia="仿宋" w:cs="仿宋"/>
          <w:b w:val="0"/>
          <w:bCs w:val="0"/>
          <w:sz w:val="32"/>
          <w:szCs w:val="32"/>
          <w:lang w:val="en-US" w:eastAsia="zh-CN"/>
        </w:rPr>
        <w:t>制作标准化的《加班餐费审批报销单》，表单上必须包含“加班事由”、“加班人员”、“用餐人数”、“人均标准”、“总金额”、“审批人”等必填项。</w:t>
      </w:r>
      <w:r>
        <w:rPr>
          <w:rFonts w:hint="eastAsia" w:ascii="仿宋" w:hAnsi="仿宋" w:eastAsia="仿宋" w:cs="仿宋"/>
          <w:b/>
          <w:bCs/>
          <w:sz w:val="32"/>
          <w:szCs w:val="32"/>
          <w:lang w:val="en-US" w:eastAsia="zh-CN"/>
        </w:rPr>
        <w:t>三是加强宣传与审核，组织培训。</w:t>
      </w:r>
      <w:r>
        <w:rPr>
          <w:rFonts w:hint="eastAsia" w:ascii="仿宋" w:hAnsi="仿宋" w:eastAsia="仿宋" w:cs="仿宋"/>
          <w:b w:val="0"/>
          <w:bCs w:val="0"/>
          <w:sz w:val="32"/>
          <w:szCs w:val="32"/>
          <w:lang w:val="en-US" w:eastAsia="zh-CN"/>
        </w:rPr>
        <w:t>对全体员工，特别是业务经办人员和部门负责人进行财务报销制度的培训，强调合规报销的要求。</w:t>
      </w:r>
      <w:r>
        <w:rPr>
          <w:rFonts w:hint="eastAsia" w:ascii="仿宋" w:hAnsi="仿宋" w:eastAsia="仿宋" w:cs="仿宋"/>
          <w:b/>
          <w:bCs/>
          <w:sz w:val="32"/>
          <w:szCs w:val="32"/>
          <w:lang w:val="en-US" w:eastAsia="zh-CN"/>
        </w:rPr>
        <w:t>严格财务审核，</w:t>
      </w:r>
      <w:r>
        <w:rPr>
          <w:rFonts w:hint="eastAsia" w:ascii="仿宋" w:hAnsi="仿宋" w:eastAsia="仿宋" w:cs="仿宋"/>
          <w:b w:val="0"/>
          <w:bCs w:val="0"/>
          <w:sz w:val="32"/>
          <w:szCs w:val="32"/>
          <w:lang w:val="en-US" w:eastAsia="zh-CN"/>
        </w:rPr>
        <w:t>财务人员在审核报销时，必须将审批程序和附件完整性作为前置条件。对于缺少关键要素的报销单，一律不予受理，从入口处把关。</w:t>
      </w:r>
    </w:p>
    <w:p w14:paraId="6432FC2D">
      <w:pPr>
        <w:pStyle w:val="2"/>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2.支付科普印刷费后附无会议纪要，详见8月6号0.8万元印刷费。</w:t>
      </w:r>
    </w:p>
    <w:p w14:paraId="5F858E93">
      <w:pPr>
        <w:pStyle w:val="2"/>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行政事业单位内部控制规范（试行）》（财会〔2012〕21号）核心规定。单位应当建立健全经济活动决策、执行和监督相互分离的机制，并确保重大经济事项的决策实行集体研究。0.8万元的支出是否需要会议纪要，取决于单位内部规定的“三重一大”标准。但无论如何，必须存在一个审批环节。当前凭证后无任何审批或决策记录，违反了支出业务内部控制的基本要求。内部控制要求业务环节留痕。会议纪要或审批单是证明“科普印刷”这项业务真实发生且经过批准的关键痕迹。缺少它，内部控制的监督功能失效。</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上述违反了《政府会计制度》及相关会计基础工作规范</w:t>
      </w:r>
      <w:r>
        <w:rPr>
          <w:rFonts w:hint="eastAsia" w:ascii="仿宋" w:hAnsi="仿宋" w:eastAsia="仿宋" w:cs="仿宋"/>
          <w:b/>
          <w:bCs/>
          <w:sz w:val="32"/>
          <w:szCs w:val="32"/>
          <w:lang w:val="en-US" w:eastAsia="zh-CN"/>
        </w:rPr>
        <w:t>核心规定。会计凭证所附的原始凭证必须真实、完整，能够反映经济业务的实质。支付凭证后附的原始凭证不完整，缺少能证明“业务为何发生”的关键文件（审批单或会议纪要），导致会计记录无法充分反映经济业务的全貌和实质。</w:t>
      </w:r>
    </w:p>
    <w:p w14:paraId="6EB86F5D">
      <w:pPr>
        <w:pStyle w:val="2"/>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Chars="0" w:firstLine="643" w:firstLineChars="200"/>
        <w:jc w:val="both"/>
        <w:textAlignment w:val="auto"/>
        <w:rPr>
          <w:rFonts w:hint="eastAsia" w:ascii="仿宋" w:hAnsi="仿宋" w:eastAsia="仿宋" w:cs="仿宋"/>
          <w:b/>
          <w:bCs/>
          <w:sz w:val="32"/>
          <w:szCs w:val="32"/>
          <w:lang w:val="en-US" w:eastAsia="zh-CN"/>
        </w:rPr>
      </w:pPr>
    </w:p>
    <w:p w14:paraId="7E3607E0">
      <w:pPr>
        <w:pStyle w:val="2"/>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建议：一是及时整改，补充证据（针对已发生业务）。追溯决策过程，</w:t>
      </w:r>
      <w:r>
        <w:rPr>
          <w:rFonts w:hint="eastAsia" w:ascii="仿宋" w:hAnsi="仿宋" w:eastAsia="仿宋" w:cs="仿宋"/>
          <w:b w:val="0"/>
          <w:bCs w:val="0"/>
          <w:sz w:val="32"/>
          <w:szCs w:val="32"/>
          <w:lang w:val="en-US" w:eastAsia="zh-CN"/>
        </w:rPr>
        <w:t>立即联系业务经办部门，要求其补办相关手续。根据这笔支出的性质和金额，判断其所需的决策层级。如果属于常规业务但金额较大，应补充提供经相关负责人签字的《事项审批单》或《印刷申请单》，单上需明确印刷事由、预算、品种和数量等。</w:t>
      </w:r>
      <w:r>
        <w:rPr>
          <w:rFonts w:hint="eastAsia" w:ascii="仿宋" w:hAnsi="仿宋" w:eastAsia="仿宋" w:cs="仿宋"/>
          <w:b/>
          <w:bCs/>
          <w:sz w:val="32"/>
          <w:szCs w:val="32"/>
          <w:lang w:val="en-US" w:eastAsia="zh-CN"/>
        </w:rPr>
        <w:t>书面说明，</w:t>
      </w:r>
      <w:r>
        <w:rPr>
          <w:rFonts w:hint="eastAsia" w:ascii="仿宋" w:hAnsi="仿宋" w:eastAsia="仿宋" w:cs="仿宋"/>
          <w:b w:val="0"/>
          <w:bCs w:val="0"/>
          <w:sz w:val="32"/>
          <w:szCs w:val="32"/>
          <w:lang w:val="en-US" w:eastAsia="zh-CN"/>
        </w:rPr>
        <w:t>由经办人员对缺失审批文件的情况做出书面说明，并经部门负责人和单位领导审核追认，将此说明作为凭证附件。</w:t>
      </w:r>
      <w:r>
        <w:rPr>
          <w:rFonts w:hint="eastAsia" w:ascii="仿宋" w:hAnsi="仿宋" w:eastAsia="仿宋" w:cs="仿宋"/>
          <w:b/>
          <w:bCs/>
          <w:sz w:val="32"/>
          <w:szCs w:val="32"/>
          <w:lang w:val="en-US" w:eastAsia="zh-CN"/>
        </w:rPr>
        <w:t>二是建章立制，明确标准（长效机制）。明确审批权限，</w:t>
      </w:r>
      <w:r>
        <w:rPr>
          <w:rFonts w:hint="eastAsia" w:ascii="仿宋" w:hAnsi="仿宋" w:eastAsia="仿宋" w:cs="仿宋"/>
          <w:b w:val="0"/>
          <w:bCs w:val="0"/>
          <w:sz w:val="32"/>
          <w:szCs w:val="32"/>
          <w:lang w:val="en-US" w:eastAsia="zh-CN"/>
        </w:rPr>
        <w:t>单位应制定或完善内部的《支出审批权限管理规定》，以制度形式明确：</w:t>
      </w:r>
      <w:r>
        <w:rPr>
          <w:rFonts w:hint="eastAsia" w:ascii="仿宋" w:hAnsi="仿宋" w:eastAsia="仿宋" w:cs="仿宋"/>
          <w:b/>
          <w:bCs/>
          <w:sz w:val="32"/>
          <w:szCs w:val="32"/>
          <w:lang w:val="en-US" w:eastAsia="zh-CN"/>
        </w:rPr>
        <w:t>不同金额、不同性质的支出分别由谁审批。何种事项必须提交会议集体研究决定。</w:t>
      </w:r>
      <w:r>
        <w:rPr>
          <w:rFonts w:hint="eastAsia" w:ascii="仿宋" w:hAnsi="仿宋" w:eastAsia="仿宋" w:cs="仿宋"/>
          <w:b w:val="0"/>
          <w:bCs w:val="0"/>
          <w:sz w:val="32"/>
          <w:szCs w:val="32"/>
          <w:lang w:val="en-US" w:eastAsia="zh-CN"/>
        </w:rPr>
        <w:t>印刷费等共性支出的申请和报销需要提供哪些核心附件（如：审批单、合同、验收单、成果样本等）。</w:t>
      </w:r>
      <w:r>
        <w:rPr>
          <w:rFonts w:hint="eastAsia" w:ascii="仿宋" w:hAnsi="仿宋" w:eastAsia="仿宋" w:cs="仿宋"/>
          <w:b/>
          <w:bCs/>
          <w:sz w:val="32"/>
          <w:szCs w:val="32"/>
          <w:lang w:val="en-US" w:eastAsia="zh-CN"/>
        </w:rPr>
        <w:t>加强财务审核，</w:t>
      </w:r>
      <w:r>
        <w:rPr>
          <w:rFonts w:hint="eastAsia" w:ascii="仿宋" w:hAnsi="仿宋" w:eastAsia="仿宋" w:cs="仿宋"/>
          <w:b w:val="0"/>
          <w:bCs w:val="0"/>
          <w:sz w:val="32"/>
          <w:szCs w:val="32"/>
          <w:lang w:val="en-US" w:eastAsia="zh-CN"/>
        </w:rPr>
        <w:t>财务人员在进行报销审核时，必须将“审批流程是否完整”作为首要关卡。对于缺少关键审批或决策文件的报销申请，有权予以退回，要求补正后再支付。三是</w:t>
      </w:r>
      <w:r>
        <w:rPr>
          <w:rFonts w:hint="eastAsia" w:ascii="仿宋" w:hAnsi="仿宋" w:eastAsia="仿宋" w:cs="仿宋"/>
          <w:b/>
          <w:bCs/>
          <w:sz w:val="32"/>
          <w:szCs w:val="32"/>
          <w:lang w:val="en-US" w:eastAsia="zh-CN"/>
        </w:rPr>
        <w:t>加强宣传教育与培训。</w:t>
      </w:r>
      <w:r>
        <w:rPr>
          <w:rFonts w:hint="eastAsia" w:ascii="仿宋" w:hAnsi="仿宋" w:eastAsia="仿宋" w:cs="仿宋"/>
          <w:b w:val="0"/>
          <w:bCs w:val="0"/>
          <w:sz w:val="32"/>
          <w:szCs w:val="32"/>
          <w:lang w:val="en-US" w:eastAsia="zh-CN"/>
        </w:rPr>
        <w:t>对业务人员开展培训，强调“报销合规性”不仅指发票真伪，更包括整个</w:t>
      </w:r>
      <w:r>
        <w:rPr>
          <w:rFonts w:hint="eastAsia" w:ascii="仿宋" w:hAnsi="仿宋" w:eastAsia="仿宋" w:cs="仿宋"/>
          <w:b/>
          <w:bCs/>
          <w:sz w:val="32"/>
          <w:szCs w:val="32"/>
          <w:lang w:val="en-US" w:eastAsia="zh-CN"/>
        </w:rPr>
        <w:t>业务流程的合规与留痕。</w:t>
      </w:r>
      <w:r>
        <w:rPr>
          <w:rFonts w:hint="eastAsia" w:ascii="仿宋" w:hAnsi="仿宋" w:eastAsia="仿宋" w:cs="仿宋"/>
          <w:b w:val="0"/>
          <w:bCs w:val="0"/>
          <w:sz w:val="32"/>
          <w:szCs w:val="32"/>
          <w:lang w:val="en-US" w:eastAsia="zh-CN"/>
        </w:rPr>
        <w:t>审批单和会议纪要是证明业务真实合法的“身份证”，不可或缺。</w:t>
      </w:r>
    </w:p>
    <w:p w14:paraId="151A47A8">
      <w:pPr>
        <w:pStyle w:val="2"/>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3.支付科普活动纸杯费用，验收单无验收人签字。详见9月13号凭证0.65万元。</w:t>
      </w:r>
    </w:p>
    <w:p w14:paraId="4126E6EA">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行政事业单位内部控制规范（试行）》（财会〔2012〕21号）核心规定。单位应当对资产实行分类管理，建立健全资产内部管理制度，加强对货物验收的管理。纸杯属于单位的消耗性存货或直接列为支出管理的物品。其接收必须经过验收，以确保资产（或物资）安全。验收单无人签字，违反了资产（物资）验收的控制要求。验收报告或验收单是证明服务或货物已按约定履行完毕、可以支付款项的重要依据。无效的验收单导致支付环节缺乏关键证明，违反了支出业务内部控制的完整性要求。</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会计基础工作规范》核心规定。原始凭证的内容必须具备经办人员的签名或者盖章，购买实物的原始凭证，必须有验收证明。这是最直接的违规依据。支付购买纸杯费用的原始凭证中，附带的验收单没有验收人签名或盖章，导致该</w:t>
      </w:r>
      <w:r>
        <w:rPr>
          <w:rFonts w:hint="eastAsia" w:ascii="仿宋" w:hAnsi="仿宋" w:eastAsia="仿宋" w:cs="仿宋"/>
          <w:b/>
          <w:bCs/>
          <w:sz w:val="32"/>
          <w:szCs w:val="32"/>
          <w:lang w:val="en-US" w:eastAsia="zh-CN"/>
        </w:rPr>
        <w:t>验收证明在法律形式和实质内容上均为无效</w:t>
      </w:r>
      <w:r>
        <w:rPr>
          <w:rFonts w:hint="eastAsia" w:ascii="仿宋" w:hAnsi="仿宋" w:eastAsia="仿宋" w:cs="仿宋"/>
          <w:b w:val="0"/>
          <w:bCs w:val="0"/>
          <w:sz w:val="32"/>
          <w:szCs w:val="32"/>
          <w:lang w:val="en-US" w:eastAsia="zh-CN"/>
        </w:rPr>
        <w:t>，属于不合规的原始凭证。无法证明这批纸杯是否确实被收到，并且是为单位公务活动所使用。这为虚报支出、货物被挪用的风险敞开了大门。无法确认实际收到的纸杯数量、规格是否与合同或订单一致，也无法确认是否存在质量问题。尽管纸杯属于低值易耗品，但0.65万元表明这是一次批量采购，必须遵循基本的物资管理流程。验收环节的缺失，使得整个采购支付的闭环管理出现了断点。</w:t>
      </w:r>
    </w:p>
    <w:p w14:paraId="214C76F8">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建议：一是及时整改，明确责任（针对已发生业务）。追溯补签。</w:t>
      </w:r>
      <w:r>
        <w:rPr>
          <w:rFonts w:hint="eastAsia" w:ascii="仿宋" w:hAnsi="仿宋" w:eastAsia="仿宋" w:cs="仿宋"/>
          <w:b w:val="0"/>
          <w:bCs w:val="0"/>
          <w:sz w:val="32"/>
          <w:szCs w:val="32"/>
          <w:lang w:val="en-US" w:eastAsia="zh-CN"/>
        </w:rPr>
        <w:t>找到负责接收和保管这批纸杯的经办人员及部门负责人，在验收单上补签姓名和日期，并对收货的真实性进行书面确认。</w:t>
      </w:r>
      <w:r>
        <w:rPr>
          <w:rFonts w:hint="eastAsia" w:ascii="仿宋" w:hAnsi="仿宋" w:eastAsia="仿宋" w:cs="仿宋"/>
          <w:b/>
          <w:bCs/>
          <w:sz w:val="32"/>
          <w:szCs w:val="32"/>
          <w:lang w:val="en-US" w:eastAsia="zh-CN"/>
        </w:rPr>
        <w:t>书面说明。</w:t>
      </w:r>
      <w:r>
        <w:rPr>
          <w:rFonts w:hint="eastAsia" w:ascii="仿宋" w:hAnsi="仿宋" w:eastAsia="仿宋" w:cs="仿宋"/>
          <w:b w:val="0"/>
          <w:bCs w:val="0"/>
          <w:sz w:val="32"/>
          <w:szCs w:val="32"/>
          <w:lang w:val="en-US" w:eastAsia="zh-CN"/>
        </w:rPr>
        <w:t>若无法确定或找到具体验收人，应由使用部门（科普活动主办部门）负责人出具书面说明，证实该批纸杯确已收到并用于公务活动，并承担相应管理责任。将此说明作为凭证附件。</w:t>
      </w:r>
      <w:r>
        <w:rPr>
          <w:rFonts w:hint="eastAsia" w:ascii="仿宋" w:hAnsi="仿宋" w:eastAsia="仿宋" w:cs="仿宋"/>
          <w:b/>
          <w:bCs/>
          <w:sz w:val="32"/>
          <w:szCs w:val="32"/>
          <w:lang w:val="en-US" w:eastAsia="zh-CN"/>
        </w:rPr>
        <w:t>二是建章立制，规范流程（长效机制）。明确验收责任。</w:t>
      </w:r>
      <w:r>
        <w:rPr>
          <w:rFonts w:hint="eastAsia" w:ascii="仿宋" w:hAnsi="仿宋" w:eastAsia="仿宋" w:cs="仿宋"/>
          <w:b w:val="0"/>
          <w:bCs w:val="0"/>
          <w:sz w:val="32"/>
          <w:szCs w:val="32"/>
          <w:lang w:val="en-US" w:eastAsia="zh-CN"/>
        </w:rPr>
        <w:t>在单位内部管理制度中，明确各类货物和服务的验收责任人（如：部门指定的资产管理员、项目经办人或部门负责人）。</w:t>
      </w:r>
      <w:r>
        <w:rPr>
          <w:rFonts w:hint="eastAsia" w:ascii="仿宋" w:hAnsi="仿宋" w:eastAsia="仿宋" w:cs="仿宋"/>
          <w:b/>
          <w:bCs/>
          <w:sz w:val="32"/>
          <w:szCs w:val="32"/>
          <w:lang w:val="en-US" w:eastAsia="zh-CN"/>
        </w:rPr>
        <w:t>设计标准验收单。</w:t>
      </w:r>
      <w:r>
        <w:rPr>
          <w:rFonts w:hint="eastAsia" w:ascii="仿宋" w:hAnsi="仿宋" w:eastAsia="仿宋" w:cs="仿宋"/>
          <w:b w:val="0"/>
          <w:bCs w:val="0"/>
          <w:sz w:val="32"/>
          <w:szCs w:val="32"/>
          <w:lang w:val="en-US" w:eastAsia="zh-CN"/>
        </w:rPr>
        <w:t>使用规范的《货物验收单》，单据上必须包含：货物名称、规格型号、数量、单价、总价、送达日期、验收日期、验收结果（合格/不合格）以及验收人签名等必填项。</w:t>
      </w:r>
      <w:r>
        <w:rPr>
          <w:rFonts w:hint="eastAsia" w:ascii="仿宋" w:hAnsi="仿宋" w:eastAsia="仿宋" w:cs="仿宋"/>
          <w:b/>
          <w:bCs/>
          <w:sz w:val="32"/>
          <w:szCs w:val="32"/>
          <w:lang w:val="en-US" w:eastAsia="zh-CN"/>
        </w:rPr>
        <w:t>强化财务审核。</w:t>
      </w:r>
      <w:r>
        <w:rPr>
          <w:rFonts w:hint="eastAsia" w:ascii="仿宋" w:hAnsi="仿宋" w:eastAsia="仿宋" w:cs="仿宋"/>
          <w:b w:val="0"/>
          <w:bCs w:val="0"/>
          <w:sz w:val="32"/>
          <w:szCs w:val="32"/>
          <w:lang w:val="en-US" w:eastAsia="zh-CN"/>
        </w:rPr>
        <w:t>财务人员在审核涉及实物采购的报销时，必须将“验收手续是否完备”作为刚性条件。对于验收单无人签字或签字不全的，一律退回，要求整改后再予支付。</w:t>
      </w:r>
      <w:r>
        <w:rPr>
          <w:rFonts w:hint="eastAsia" w:ascii="仿宋" w:hAnsi="仿宋" w:eastAsia="仿宋" w:cs="仿宋"/>
          <w:b/>
          <w:bCs/>
          <w:sz w:val="32"/>
          <w:szCs w:val="32"/>
          <w:lang w:val="en-US" w:eastAsia="zh-CN"/>
        </w:rPr>
        <w:t>三是加强意识教育与培训。</w:t>
      </w:r>
      <w:r>
        <w:rPr>
          <w:rFonts w:hint="eastAsia" w:ascii="仿宋" w:hAnsi="仿宋" w:eastAsia="仿宋" w:cs="仿宋"/>
          <w:b w:val="0"/>
          <w:bCs w:val="0"/>
          <w:sz w:val="32"/>
          <w:szCs w:val="32"/>
          <w:lang w:val="en-US" w:eastAsia="zh-CN"/>
        </w:rPr>
        <w:t>对业务经办人员和资产管理员进行培训，强调验收签字不是可有可无的形式，而是明确经济责任、保护个人和单位利益的重要法律手续。让其理解“签字即负责”的严肃性。</w:t>
      </w:r>
    </w:p>
    <w:p w14:paraId="604F8D5A">
      <w:pPr>
        <w:pStyle w:val="2"/>
        <w:rPr>
          <w:rFonts w:hint="eastAsia" w:ascii="仿宋" w:hAnsi="仿宋" w:eastAsia="仿宋" w:cs="仿宋"/>
          <w:b w:val="0"/>
          <w:bCs w:val="0"/>
          <w:sz w:val="32"/>
          <w:szCs w:val="32"/>
          <w:lang w:val="en-US" w:eastAsia="zh-CN"/>
        </w:rPr>
      </w:pPr>
    </w:p>
    <w:p w14:paraId="0DDA5086">
      <w:pPr>
        <w:pStyle w:val="2"/>
        <w:rPr>
          <w:rFonts w:hint="eastAsia" w:ascii="仿宋" w:hAnsi="仿宋" w:eastAsia="仿宋" w:cs="仿宋"/>
          <w:b w:val="0"/>
          <w:bCs w:val="0"/>
          <w:sz w:val="32"/>
          <w:szCs w:val="32"/>
          <w:lang w:val="en-US" w:eastAsia="zh-CN"/>
        </w:rPr>
      </w:pPr>
    </w:p>
    <w:p w14:paraId="53278CAE">
      <w:pPr>
        <w:rPr>
          <w:rFonts w:hint="default"/>
          <w:lang w:val="en-US" w:eastAsia="zh-CN"/>
        </w:rPr>
      </w:pPr>
    </w:p>
    <w:tbl>
      <w:tblPr>
        <w:tblStyle w:val="14"/>
        <w:tblpPr w:leftFromText="180" w:rightFromText="180" w:vertAnchor="text" w:horzAnchor="page" w:tblpXSpec="center" w:tblpY="952"/>
        <w:tblOverlap w:val="never"/>
        <w:tblW w:w="8799" w:type="dxa"/>
        <w:jc w:val="center"/>
        <w:tblLayout w:type="fixed"/>
        <w:tblCellMar>
          <w:top w:w="0" w:type="dxa"/>
          <w:left w:w="108" w:type="dxa"/>
          <w:bottom w:w="0" w:type="dxa"/>
          <w:right w:w="108" w:type="dxa"/>
        </w:tblCellMar>
      </w:tblPr>
      <w:tblGrid>
        <w:gridCol w:w="4525"/>
        <w:gridCol w:w="4274"/>
      </w:tblGrid>
      <w:tr w14:paraId="76CBCD93">
        <w:tblPrEx>
          <w:tblCellMar>
            <w:top w:w="0" w:type="dxa"/>
            <w:left w:w="108" w:type="dxa"/>
            <w:bottom w:w="0" w:type="dxa"/>
            <w:right w:w="108" w:type="dxa"/>
          </w:tblCellMar>
        </w:tblPrEx>
        <w:trPr>
          <w:trHeight w:val="623" w:hRule="atLeast"/>
          <w:jc w:val="center"/>
        </w:trPr>
        <w:tc>
          <w:tcPr>
            <w:tcW w:w="4525" w:type="dxa"/>
            <w:noWrap w:val="0"/>
            <w:vAlign w:val="top"/>
          </w:tcPr>
          <w:p w14:paraId="27B7AECD">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湖南浩元会计师事务所</w:t>
            </w:r>
          </w:p>
        </w:tc>
        <w:tc>
          <w:tcPr>
            <w:tcW w:w="4274" w:type="dxa"/>
            <w:noWrap w:val="0"/>
            <w:vAlign w:val="top"/>
          </w:tcPr>
          <w:p w14:paraId="0746C02F">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中国注册会计师：</w:t>
            </w:r>
          </w:p>
        </w:tc>
      </w:tr>
      <w:tr w14:paraId="7FD693C9">
        <w:tblPrEx>
          <w:tblCellMar>
            <w:top w:w="0" w:type="dxa"/>
            <w:left w:w="108" w:type="dxa"/>
            <w:bottom w:w="0" w:type="dxa"/>
            <w:right w:w="108" w:type="dxa"/>
          </w:tblCellMar>
        </w:tblPrEx>
        <w:trPr>
          <w:trHeight w:val="1267" w:hRule="atLeast"/>
          <w:jc w:val="center"/>
        </w:trPr>
        <w:tc>
          <w:tcPr>
            <w:tcW w:w="4525" w:type="dxa"/>
            <w:noWrap w:val="0"/>
            <w:vAlign w:val="top"/>
          </w:tcPr>
          <w:p w14:paraId="5C9DE52A">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（普通合伙）</w:t>
            </w:r>
          </w:p>
        </w:tc>
        <w:tc>
          <w:tcPr>
            <w:tcW w:w="4274" w:type="dxa"/>
            <w:noWrap w:val="0"/>
            <w:vAlign w:val="top"/>
          </w:tcPr>
          <w:p w14:paraId="6FC64BD1">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p>
        </w:tc>
      </w:tr>
      <w:tr w14:paraId="6BCD2100">
        <w:tblPrEx>
          <w:tblCellMar>
            <w:top w:w="0" w:type="dxa"/>
            <w:left w:w="108" w:type="dxa"/>
            <w:bottom w:w="0" w:type="dxa"/>
            <w:right w:w="108" w:type="dxa"/>
          </w:tblCellMar>
        </w:tblPrEx>
        <w:trPr>
          <w:trHeight w:val="1247" w:hRule="atLeast"/>
          <w:jc w:val="center"/>
        </w:trPr>
        <w:tc>
          <w:tcPr>
            <w:tcW w:w="4525" w:type="dxa"/>
            <w:noWrap w:val="0"/>
            <w:vAlign w:val="top"/>
          </w:tcPr>
          <w:p w14:paraId="5DDE7399">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p>
        </w:tc>
        <w:tc>
          <w:tcPr>
            <w:tcW w:w="4274" w:type="dxa"/>
            <w:noWrap w:val="0"/>
            <w:vAlign w:val="top"/>
          </w:tcPr>
          <w:p w14:paraId="67F3844A">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中国注册会计师：</w:t>
            </w:r>
          </w:p>
          <w:p w14:paraId="6FA1FA44">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p>
        </w:tc>
      </w:tr>
      <w:tr w14:paraId="6E160BFB">
        <w:tblPrEx>
          <w:tblCellMar>
            <w:top w:w="0" w:type="dxa"/>
            <w:left w:w="108" w:type="dxa"/>
            <w:bottom w:w="0" w:type="dxa"/>
            <w:right w:w="108" w:type="dxa"/>
          </w:tblCellMar>
        </w:tblPrEx>
        <w:trPr>
          <w:trHeight w:val="623" w:hRule="atLeast"/>
          <w:jc w:val="center"/>
        </w:trPr>
        <w:tc>
          <w:tcPr>
            <w:tcW w:w="4525" w:type="dxa"/>
            <w:noWrap w:val="0"/>
            <w:vAlign w:val="top"/>
          </w:tcPr>
          <w:p w14:paraId="51A7DD8F">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中 国·长 沙</w:t>
            </w:r>
          </w:p>
        </w:tc>
        <w:tc>
          <w:tcPr>
            <w:tcW w:w="4274" w:type="dxa"/>
            <w:noWrap w:val="0"/>
            <w:vAlign w:val="top"/>
          </w:tcPr>
          <w:p w14:paraId="34AC2330">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2025年10月21日</w:t>
            </w:r>
          </w:p>
        </w:tc>
      </w:tr>
    </w:tbl>
    <w:p w14:paraId="3205A8D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sz w:val="32"/>
          <w:szCs w:val="32"/>
          <w:lang w:eastAsia="zh-CN"/>
        </w:rPr>
      </w:pPr>
    </w:p>
    <w:p w14:paraId="69509B92">
      <w:pPr>
        <w:pStyle w:val="5"/>
        <w:rPr>
          <w:rFonts w:hint="eastAsia" w:ascii="黑体" w:hAnsi="黑体" w:eastAsia="黑体" w:cs="黑体"/>
          <w:sz w:val="32"/>
          <w:szCs w:val="32"/>
          <w:lang w:eastAsia="zh-CN"/>
        </w:rPr>
      </w:pPr>
    </w:p>
    <w:p w14:paraId="3244901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sz w:val="32"/>
          <w:szCs w:val="32"/>
          <w:lang w:val="en-US" w:eastAsia="zh-CN"/>
        </w:rPr>
      </w:pPr>
    </w:p>
    <w:sectPr>
      <w:pgSz w:w="11906" w:h="16838"/>
      <w:pgMar w:top="1157"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隶二简体">
    <w:altName w:val="宋体"/>
    <w:panose1 w:val="02010601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1C557">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bottomMargin">
                <wp:align>top</wp:align>
              </wp:positionV>
              <wp:extent cx="2431415" cy="298450"/>
              <wp:effectExtent l="0" t="0" r="0" b="0"/>
              <wp:wrapNone/>
              <wp:docPr id="2" name="文本框 2"/>
              <wp:cNvGraphicFramePr/>
              <a:graphic xmlns:a="http://schemas.openxmlformats.org/drawingml/2006/main">
                <a:graphicData uri="http://schemas.microsoft.com/office/word/2010/wordprocessingShape">
                  <wps:wsp>
                    <wps:cNvSpPr txBox="1"/>
                    <wps:spPr>
                      <a:xfrm>
                        <a:off x="1168400" y="9895840"/>
                        <a:ext cx="2431415"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AC19B">
                          <w:pPr>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湖南浩元会计师事务所（普通合伙）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15pt;margin-top:769.9pt;height:23.5pt;width:191.45pt;mso-position-horizontal-relative:page;mso-position-vertical-relative:page;z-index:251660288;mso-width-relative:page;mso-height-relative:page;" filled="f" stroked="f" coordsize="21600,21600" o:gfxdata="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yvZrWAAAABAEAAA8AAAAAAAAAAQAgAAAA&#10;IgAAAGRycy9kb3ducmV2LnhtbFBLAQIUABQAAAAIAIdO4kAoJ/C0RgIAAHIEAAAOAAAAAAAAAAEA&#10;IAAAACUBAABkcnMvZTJvRG9jLnhtbFBLBQYAAAAABgAGAFkBAADdBQAAAAA=&#10;">
              <v:fill on="f" focussize="0,0"/>
              <v:stroke on="f" weight="0.5pt"/>
              <v:imagedata o:title=""/>
              <o:lock v:ext="edit" aspectratio="f"/>
              <v:textbox>
                <w:txbxContent>
                  <w:p w14:paraId="477AC19B">
                    <w:pPr>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湖南浩元会计师事务所（普通合伙）</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top</wp:align>
              </wp:positionV>
              <wp:extent cx="5313045" cy="0"/>
              <wp:effectExtent l="0" t="6350" r="0" b="6350"/>
              <wp:wrapNone/>
              <wp:docPr id="1" name="直接连接符 1"/>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15pt;margin-top:770.4pt;height:0pt;width:418.35pt;mso-position-horizontal-relative:page;mso-position-vertical-relative:page;z-index:251659264;mso-width-relative:margin;mso-height-relative:page;mso-width-percent:1000;" filled="f" stroked="t" coordsize="21600,21600" o:gfxdata="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7jyGc&#10;zwAAAAIBAAAPAAAAAAAAAAEAIAAAACIAAABkcnMvZG93bnJldi54bWxQSwECFAAUAAAACACHTuJA&#10;F49pAfEBAAC+AwAADgAAAAAAAAABACAAAAAeAQAAZHJzL2Uyb0RvYy54bWxQSwUGAAAAAAYABgBZ&#10;AQAAgQUAAAAA&#10;">
              <v:fill on="f" focussize="0,0"/>
              <v:stroke weight="1pt" color="#000000 [3213]" miterlimit="8" joinstyle="miter"/>
              <v:imagedata o:title=""/>
              <o:lock v:ext="edit" aspectratio="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50B68">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8C09C">
                          <w:pPr>
                            <w:pStyle w:val="8"/>
                            <w:rPr>
                              <w:b/>
                              <w:bCs/>
                            </w:rPr>
                          </w:pPr>
                          <w:r>
                            <w:rPr>
                              <w:b/>
                              <w:bCs/>
                            </w:rPr>
                            <w:t>第</w:t>
                          </w:r>
                          <w:r>
                            <w:rPr>
                              <w:b/>
                              <w:bCs/>
                            </w:rPr>
                            <w:fldChar w:fldCharType="begin"/>
                          </w:r>
                          <w:r>
                            <w:rPr>
                              <w:b/>
                              <w:bCs/>
                            </w:rPr>
                            <w:instrText xml:space="preserve"> PAGE  \* MERGEFORMAT </w:instrText>
                          </w:r>
                          <w:r>
                            <w:rPr>
                              <w:b/>
                              <w:bCs/>
                            </w:rPr>
                            <w:fldChar w:fldCharType="separate"/>
                          </w:r>
                          <w:r>
                            <w:rPr>
                              <w:b/>
                              <w:bCs/>
                            </w:rPr>
                            <w:t>1</w:t>
                          </w:r>
                          <w:r>
                            <w:rPr>
                              <w:b/>
                              <w:bCs/>
                            </w:rPr>
                            <w:fldChar w:fldCharType="end"/>
                          </w:r>
                          <w:r>
                            <w:rPr>
                              <w:b/>
                              <w:bCs/>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E48C09C">
                    <w:pPr>
                      <w:pStyle w:val="8"/>
                      <w:rPr>
                        <w:b/>
                        <w:bCs/>
                      </w:rPr>
                    </w:pPr>
                    <w:r>
                      <w:rPr>
                        <w:b/>
                        <w:bCs/>
                      </w:rPr>
                      <w:t>第</w:t>
                    </w:r>
                    <w:r>
                      <w:rPr>
                        <w:b/>
                        <w:bCs/>
                      </w:rPr>
                      <w:fldChar w:fldCharType="begin"/>
                    </w:r>
                    <w:r>
                      <w:rPr>
                        <w:b/>
                        <w:bCs/>
                      </w:rPr>
                      <w:instrText xml:space="preserve"> PAGE  \* MERGEFORMAT </w:instrText>
                    </w:r>
                    <w:r>
                      <w:rPr>
                        <w:b/>
                        <w:bCs/>
                      </w:rPr>
                      <w:fldChar w:fldCharType="separate"/>
                    </w:r>
                    <w:r>
                      <w:rPr>
                        <w:b/>
                        <w:bCs/>
                      </w:rPr>
                      <w:t>1</w:t>
                    </w:r>
                    <w:r>
                      <w:rPr>
                        <w:b/>
                        <w:bCs/>
                      </w:rPr>
                      <w:fldChar w:fldCharType="end"/>
                    </w:r>
                    <w:r>
                      <w:rPr>
                        <w:b/>
                        <w:bCs/>
                      </w:rPr>
                      <w:t>页</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bottomMargin">
                <wp:align>top</wp:align>
              </wp:positionV>
              <wp:extent cx="2431415" cy="298450"/>
              <wp:effectExtent l="0" t="0" r="0" b="0"/>
              <wp:wrapNone/>
              <wp:docPr id="14" name="文本框 14"/>
              <wp:cNvGraphicFramePr/>
              <a:graphic xmlns:a="http://schemas.openxmlformats.org/drawingml/2006/main">
                <a:graphicData uri="http://schemas.microsoft.com/office/word/2010/wordprocessingShape">
                  <wps:wsp>
                    <wps:cNvSpPr txBox="1"/>
                    <wps:spPr>
                      <a:xfrm>
                        <a:off x="1168400" y="9895840"/>
                        <a:ext cx="2431415"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CA635">
                          <w:pPr>
                            <w:rPr>
                              <w:rFonts w:hint="eastAsia" w:ascii="仿宋" w:hAnsi="仿宋" w:eastAsia="仿宋" w:cs="仿宋"/>
                              <w:b/>
                              <w:bCs/>
                              <w:color w:val="auto"/>
                              <w:sz w:val="21"/>
                              <w:szCs w:val="21"/>
                              <w:u w:val="none"/>
                              <w:lang w:val="en-US" w:eastAsia="zh-CN"/>
                            </w:rPr>
                          </w:pPr>
                          <w:r>
                            <w:rPr>
                              <w:rFonts w:hint="eastAsia" w:ascii="仿宋" w:hAnsi="仿宋" w:eastAsia="仿宋" w:cs="仿宋"/>
                              <w:b/>
                              <w:bCs/>
                              <w:color w:val="auto"/>
                              <w:sz w:val="21"/>
                              <w:szCs w:val="21"/>
                              <w:u w:val="none"/>
                              <w:lang w:val="en-US" w:eastAsia="zh-CN"/>
                            </w:rPr>
                            <w:t>湖南浩元会计师事务所（普通合伙）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15pt;margin-top:769.9pt;height:23.5pt;width:191.45pt;mso-position-horizontal-relative:page;mso-position-vertical-relative:page;z-index:251662336;mso-width-relative:page;mso-height-relative:page;" filled="f" stroked="f" coordsize="21600,21600" o:gfxdata="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yvZrWAAAABAEAAA8AAAAAAAAAAQAgAAAA&#10;IgAAAGRycy9kb3ducmV2LnhtbFBLAQIUABQAAAAIAIdO4kDDk0rrRgIAAHQEAAAOAAAAAAAAAAEA&#10;IAAAACUBAABkcnMvZTJvRG9jLnhtbFBLBQYAAAAABgAGAFkBAADdBQAAAAA=&#10;">
              <v:fill on="f" focussize="0,0"/>
              <v:stroke on="f" weight="0.5pt"/>
              <v:imagedata o:title=""/>
              <o:lock v:ext="edit" aspectratio="f"/>
              <v:textbox>
                <w:txbxContent>
                  <w:p w14:paraId="237CA635">
                    <w:pPr>
                      <w:rPr>
                        <w:rFonts w:hint="eastAsia" w:ascii="仿宋" w:hAnsi="仿宋" w:eastAsia="仿宋" w:cs="仿宋"/>
                        <w:b/>
                        <w:bCs/>
                        <w:color w:val="auto"/>
                        <w:sz w:val="21"/>
                        <w:szCs w:val="21"/>
                        <w:u w:val="none"/>
                        <w:lang w:val="en-US" w:eastAsia="zh-CN"/>
                      </w:rPr>
                    </w:pPr>
                    <w:r>
                      <w:rPr>
                        <w:rFonts w:hint="eastAsia" w:ascii="仿宋" w:hAnsi="仿宋" w:eastAsia="仿宋" w:cs="仿宋"/>
                        <w:b/>
                        <w:bCs/>
                        <w:color w:val="auto"/>
                        <w:sz w:val="21"/>
                        <w:szCs w:val="21"/>
                        <w:u w:val="none"/>
                        <w:lang w:val="en-US" w:eastAsia="zh-CN"/>
                      </w:rPr>
                      <w:t>湖南浩元会计师事务所（普通合伙）</w:t>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top</wp:align>
              </wp:positionV>
              <wp:extent cx="5313045" cy="0"/>
              <wp:effectExtent l="0" t="6350" r="0" b="6350"/>
              <wp:wrapNone/>
              <wp:docPr id="15" name="直接连接符 15"/>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15pt;margin-top:770.4pt;height:0pt;width:418.35pt;mso-position-horizontal-relative:page;mso-position-vertical-relative:page;z-index:251661312;mso-width-relative:margin;mso-height-relative:page;mso-width-percent:1000;" filled="f" stroked="t" coordsize="21600,21600" o:gfxdata="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7&#10;jyGczwAAAAIBAAAPAAAAAAAAAAEAIAAAACIAAABkcnMvZG93bnJldi54bWxQSwECFAAUAAAACACH&#10;TuJAsDn2AfQBAADAAwAADgAAAAAAAAABACAAAAAeAQAAZHJzL2Uyb0RvYy54bWxQSwUGAAAAAAYA&#10;BgBZAQAAhAUAAAAA&#10;">
              <v:fill on="f" focussize="0,0"/>
              <v:stroke weight="1pt" color="#000000 [3213]" miterlimit="8" joinstyle="miter"/>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12759">
    <w:pPr>
      <w:pStyle w:val="9"/>
      <w:rPr>
        <w:rFonts w:hint="default" w:ascii="仿宋" w:hAnsi="仿宋" w:eastAsia="仿宋" w:cs="仿宋"/>
        <w:sz w:val="21"/>
        <w:szCs w:val="21"/>
        <w:u w:val="single"/>
        <w:lang w:val="en-US" w:eastAsia="zh-CN"/>
      </w:rPr>
    </w:pPr>
    <w:r>
      <w:rPr>
        <w:rFonts w:hint="eastAsia" w:ascii="仿宋" w:hAnsi="仿宋" w:eastAsia="仿宋" w:cs="仿宋"/>
        <w:b/>
        <w:bCs/>
        <w:sz w:val="21"/>
        <w:szCs w:val="21"/>
        <w:u w:val="single"/>
        <w:lang w:val="en-US" w:eastAsia="zh-CN"/>
      </w:rPr>
      <w:t>2024年雁峰区科学技术协会整体支出绩效评价报告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0EFD67"/>
    <w:multiLevelType w:val="singleLevel"/>
    <w:tmpl w:val="950EFD67"/>
    <w:lvl w:ilvl="0" w:tentative="0">
      <w:start w:val="2"/>
      <w:numFmt w:val="chineseCounting"/>
      <w:suff w:val="nothing"/>
      <w:lvlText w:val="（%1）"/>
      <w:lvlJc w:val="left"/>
      <w:rPr>
        <w:rFonts w:hint="eastAsia"/>
        <w:b/>
        <w:bCs/>
      </w:rPr>
    </w:lvl>
  </w:abstractNum>
  <w:abstractNum w:abstractNumId="1">
    <w:nsid w:val="993ED9D6"/>
    <w:multiLevelType w:val="singleLevel"/>
    <w:tmpl w:val="993ED9D6"/>
    <w:lvl w:ilvl="0" w:tentative="0">
      <w:start w:val="1"/>
      <w:numFmt w:val="decimal"/>
      <w:suff w:val="nothing"/>
      <w:lvlText w:val="（%1）"/>
      <w:lvlJc w:val="left"/>
    </w:lvl>
  </w:abstractNum>
  <w:abstractNum w:abstractNumId="2">
    <w:nsid w:val="AFCFB45B"/>
    <w:multiLevelType w:val="singleLevel"/>
    <w:tmpl w:val="AFCFB45B"/>
    <w:lvl w:ilvl="0" w:tentative="0">
      <w:start w:val="2"/>
      <w:numFmt w:val="chineseCounting"/>
      <w:suff w:val="nothing"/>
      <w:lvlText w:val="%1、"/>
      <w:lvlJc w:val="left"/>
      <w:rPr>
        <w:rFonts w:hint="eastAsia"/>
      </w:rPr>
    </w:lvl>
  </w:abstractNum>
  <w:abstractNum w:abstractNumId="3">
    <w:nsid w:val="C86B9F76"/>
    <w:multiLevelType w:val="singleLevel"/>
    <w:tmpl w:val="C86B9F76"/>
    <w:lvl w:ilvl="0" w:tentative="0">
      <w:start w:val="6"/>
      <w:numFmt w:val="chineseCounting"/>
      <w:suff w:val="nothing"/>
      <w:lvlText w:val="%1、"/>
      <w:lvlJc w:val="left"/>
      <w:rPr>
        <w:rFonts w:hint="eastAsia"/>
      </w:rPr>
    </w:lvl>
  </w:abstractNum>
  <w:abstractNum w:abstractNumId="4">
    <w:nsid w:val="D84C4568"/>
    <w:multiLevelType w:val="singleLevel"/>
    <w:tmpl w:val="D84C4568"/>
    <w:lvl w:ilvl="0" w:tentative="0">
      <w:start w:val="1"/>
      <w:numFmt w:val="chineseCounting"/>
      <w:suff w:val="nothing"/>
      <w:lvlText w:val="（%1）"/>
      <w:lvlJc w:val="left"/>
      <w:rPr>
        <w:rFonts w:hint="eastAsia"/>
      </w:rPr>
    </w:lvl>
  </w:abstractNum>
  <w:abstractNum w:abstractNumId="5">
    <w:nsid w:val="EBF7B6E1"/>
    <w:multiLevelType w:val="singleLevel"/>
    <w:tmpl w:val="EBF7B6E1"/>
    <w:lvl w:ilvl="0" w:tentative="0">
      <w:start w:val="1"/>
      <w:numFmt w:val="chineseCounting"/>
      <w:suff w:val="nothing"/>
      <w:lvlText w:val="（%1）"/>
      <w:lvlJc w:val="left"/>
      <w:rPr>
        <w:rFonts w:hint="eastAsia"/>
      </w:rPr>
    </w:lvl>
  </w:abstractNum>
  <w:abstractNum w:abstractNumId="6">
    <w:nsid w:val="22845DC4"/>
    <w:multiLevelType w:val="singleLevel"/>
    <w:tmpl w:val="22845DC4"/>
    <w:lvl w:ilvl="0" w:tentative="0">
      <w:start w:val="4"/>
      <w:numFmt w:val="chineseCounting"/>
      <w:suff w:val="nothing"/>
      <w:lvlText w:val="（%1）"/>
      <w:lvlJc w:val="left"/>
      <w:rPr>
        <w:rFonts w:hint="eastAsia"/>
      </w:rPr>
    </w:lvl>
  </w:abstractNum>
  <w:abstractNum w:abstractNumId="7">
    <w:nsid w:val="5E7FED8E"/>
    <w:multiLevelType w:val="singleLevel"/>
    <w:tmpl w:val="5E7FED8E"/>
    <w:lvl w:ilvl="0" w:tentative="0">
      <w:start w:val="3"/>
      <w:numFmt w:val="decimal"/>
      <w:lvlText w:val="%1."/>
      <w:lvlJc w:val="left"/>
      <w:pPr>
        <w:tabs>
          <w:tab w:val="left" w:pos="312"/>
        </w:tabs>
      </w:pPr>
    </w:lvl>
  </w:abstractNum>
  <w:num w:numId="1">
    <w:abstractNumId w:val="2"/>
  </w:num>
  <w:num w:numId="2">
    <w:abstractNumId w:val="4"/>
  </w:num>
  <w:num w:numId="3">
    <w:abstractNumId w:val="6"/>
  </w:num>
  <w:num w:numId="4">
    <w:abstractNumId w:val="5"/>
  </w:num>
  <w:num w:numId="5">
    <w:abstractNumId w:val="1"/>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1ZWVjYTFmYWM4NGIxZThlMmI0MzQ1Mzg3NWI3ZjkifQ=="/>
  </w:docVars>
  <w:rsids>
    <w:rsidRoot w:val="00172A27"/>
    <w:rsid w:val="00053C27"/>
    <w:rsid w:val="001B237B"/>
    <w:rsid w:val="003440E5"/>
    <w:rsid w:val="00347465"/>
    <w:rsid w:val="003675EE"/>
    <w:rsid w:val="00392EA7"/>
    <w:rsid w:val="00396CDA"/>
    <w:rsid w:val="0046375D"/>
    <w:rsid w:val="004E616D"/>
    <w:rsid w:val="00543B5B"/>
    <w:rsid w:val="00AC7437"/>
    <w:rsid w:val="00CE50BF"/>
    <w:rsid w:val="00ED1E2A"/>
    <w:rsid w:val="00F114F5"/>
    <w:rsid w:val="00F96DAA"/>
    <w:rsid w:val="00FE0086"/>
    <w:rsid w:val="010D6479"/>
    <w:rsid w:val="011655D4"/>
    <w:rsid w:val="01211959"/>
    <w:rsid w:val="014F34AC"/>
    <w:rsid w:val="01967D5E"/>
    <w:rsid w:val="019755DD"/>
    <w:rsid w:val="019D115B"/>
    <w:rsid w:val="019F1377"/>
    <w:rsid w:val="01CB7507"/>
    <w:rsid w:val="01D846CD"/>
    <w:rsid w:val="021E5540"/>
    <w:rsid w:val="023A109F"/>
    <w:rsid w:val="023F2351"/>
    <w:rsid w:val="024C492F"/>
    <w:rsid w:val="025739FF"/>
    <w:rsid w:val="0263637C"/>
    <w:rsid w:val="02811C50"/>
    <w:rsid w:val="028D5673"/>
    <w:rsid w:val="029D18A6"/>
    <w:rsid w:val="02A1111E"/>
    <w:rsid w:val="02AE478C"/>
    <w:rsid w:val="02B50726"/>
    <w:rsid w:val="02B726F0"/>
    <w:rsid w:val="02BA21E0"/>
    <w:rsid w:val="02C443E7"/>
    <w:rsid w:val="02F94384"/>
    <w:rsid w:val="03103BAE"/>
    <w:rsid w:val="031713E0"/>
    <w:rsid w:val="031D6EFB"/>
    <w:rsid w:val="03267F2A"/>
    <w:rsid w:val="03295034"/>
    <w:rsid w:val="03303491"/>
    <w:rsid w:val="034A1211"/>
    <w:rsid w:val="03754F19"/>
    <w:rsid w:val="03764359"/>
    <w:rsid w:val="03773C2D"/>
    <w:rsid w:val="0391431A"/>
    <w:rsid w:val="03A3304A"/>
    <w:rsid w:val="03A47774"/>
    <w:rsid w:val="03A5079A"/>
    <w:rsid w:val="03C3438E"/>
    <w:rsid w:val="03C47923"/>
    <w:rsid w:val="03CE545F"/>
    <w:rsid w:val="03D25723"/>
    <w:rsid w:val="03E64831"/>
    <w:rsid w:val="04160862"/>
    <w:rsid w:val="04220309"/>
    <w:rsid w:val="04245B63"/>
    <w:rsid w:val="042E3A1F"/>
    <w:rsid w:val="043229AE"/>
    <w:rsid w:val="043E5100"/>
    <w:rsid w:val="04421B33"/>
    <w:rsid w:val="04460AFF"/>
    <w:rsid w:val="047C774D"/>
    <w:rsid w:val="047F1C73"/>
    <w:rsid w:val="04986613"/>
    <w:rsid w:val="04B62533"/>
    <w:rsid w:val="04B70785"/>
    <w:rsid w:val="04C133B2"/>
    <w:rsid w:val="04C6380B"/>
    <w:rsid w:val="04CD774D"/>
    <w:rsid w:val="05183F1A"/>
    <w:rsid w:val="05353DA0"/>
    <w:rsid w:val="053B68BC"/>
    <w:rsid w:val="0571031E"/>
    <w:rsid w:val="057714C1"/>
    <w:rsid w:val="05791A70"/>
    <w:rsid w:val="058C131C"/>
    <w:rsid w:val="058C1C12"/>
    <w:rsid w:val="059E7B97"/>
    <w:rsid w:val="05A11BAC"/>
    <w:rsid w:val="05A50F26"/>
    <w:rsid w:val="05BA0D70"/>
    <w:rsid w:val="05DB66F5"/>
    <w:rsid w:val="05E0766C"/>
    <w:rsid w:val="05F45A09"/>
    <w:rsid w:val="05FA2A1A"/>
    <w:rsid w:val="05FF0279"/>
    <w:rsid w:val="06093E43"/>
    <w:rsid w:val="06106186"/>
    <w:rsid w:val="061B656D"/>
    <w:rsid w:val="06222576"/>
    <w:rsid w:val="062865D7"/>
    <w:rsid w:val="06322AAB"/>
    <w:rsid w:val="06341813"/>
    <w:rsid w:val="06345BBB"/>
    <w:rsid w:val="064514DA"/>
    <w:rsid w:val="064A35D0"/>
    <w:rsid w:val="065D6663"/>
    <w:rsid w:val="0660046B"/>
    <w:rsid w:val="067369FB"/>
    <w:rsid w:val="06875F36"/>
    <w:rsid w:val="068D0A84"/>
    <w:rsid w:val="069112CA"/>
    <w:rsid w:val="06930D7E"/>
    <w:rsid w:val="06C57799"/>
    <w:rsid w:val="06C92D5A"/>
    <w:rsid w:val="06CC0578"/>
    <w:rsid w:val="06D86978"/>
    <w:rsid w:val="06DF5D71"/>
    <w:rsid w:val="070337A4"/>
    <w:rsid w:val="07097643"/>
    <w:rsid w:val="07143785"/>
    <w:rsid w:val="071E67C4"/>
    <w:rsid w:val="072639A0"/>
    <w:rsid w:val="073F4A62"/>
    <w:rsid w:val="074D53D1"/>
    <w:rsid w:val="0756191C"/>
    <w:rsid w:val="076A180B"/>
    <w:rsid w:val="076C47A9"/>
    <w:rsid w:val="078D3874"/>
    <w:rsid w:val="079468F0"/>
    <w:rsid w:val="079B120C"/>
    <w:rsid w:val="07A7684E"/>
    <w:rsid w:val="07AC013B"/>
    <w:rsid w:val="07BA10F5"/>
    <w:rsid w:val="07BB67DE"/>
    <w:rsid w:val="07D442F0"/>
    <w:rsid w:val="07E00C9C"/>
    <w:rsid w:val="07E22674"/>
    <w:rsid w:val="07ED2710"/>
    <w:rsid w:val="07F9321E"/>
    <w:rsid w:val="07FF1CDD"/>
    <w:rsid w:val="083E11BD"/>
    <w:rsid w:val="084542FA"/>
    <w:rsid w:val="085B544F"/>
    <w:rsid w:val="085E70A3"/>
    <w:rsid w:val="086A6018"/>
    <w:rsid w:val="08C8551C"/>
    <w:rsid w:val="091E489D"/>
    <w:rsid w:val="09322AD0"/>
    <w:rsid w:val="0949606C"/>
    <w:rsid w:val="096B15C8"/>
    <w:rsid w:val="097F0956"/>
    <w:rsid w:val="098026A7"/>
    <w:rsid w:val="098244A7"/>
    <w:rsid w:val="099A08B5"/>
    <w:rsid w:val="09A5179F"/>
    <w:rsid w:val="09B90AFC"/>
    <w:rsid w:val="09BF1E8A"/>
    <w:rsid w:val="09D70DA6"/>
    <w:rsid w:val="0A0F3905"/>
    <w:rsid w:val="0A355EA0"/>
    <w:rsid w:val="0A3D472E"/>
    <w:rsid w:val="0A5F7F8F"/>
    <w:rsid w:val="0A653918"/>
    <w:rsid w:val="0A8777EC"/>
    <w:rsid w:val="0A891C20"/>
    <w:rsid w:val="0AA364AD"/>
    <w:rsid w:val="0AAC0F25"/>
    <w:rsid w:val="0ABB08A3"/>
    <w:rsid w:val="0ADF27E4"/>
    <w:rsid w:val="0B1A34E5"/>
    <w:rsid w:val="0B42710B"/>
    <w:rsid w:val="0B553428"/>
    <w:rsid w:val="0B6131F9"/>
    <w:rsid w:val="0B7E1DF4"/>
    <w:rsid w:val="0BC419DA"/>
    <w:rsid w:val="0BD452F2"/>
    <w:rsid w:val="0BE45812"/>
    <w:rsid w:val="0BE71C3D"/>
    <w:rsid w:val="0C254F7A"/>
    <w:rsid w:val="0C5556CA"/>
    <w:rsid w:val="0C5965C6"/>
    <w:rsid w:val="0C925AC4"/>
    <w:rsid w:val="0CA350DD"/>
    <w:rsid w:val="0CAC044E"/>
    <w:rsid w:val="0CAF0502"/>
    <w:rsid w:val="0CB841CC"/>
    <w:rsid w:val="0CBC3E25"/>
    <w:rsid w:val="0CBF0132"/>
    <w:rsid w:val="0CC06645"/>
    <w:rsid w:val="0CC852E6"/>
    <w:rsid w:val="0CCF6888"/>
    <w:rsid w:val="0CDB0A03"/>
    <w:rsid w:val="0CE25880"/>
    <w:rsid w:val="0CE5798A"/>
    <w:rsid w:val="0CF462EF"/>
    <w:rsid w:val="0D0201EA"/>
    <w:rsid w:val="0D02609B"/>
    <w:rsid w:val="0D0332A3"/>
    <w:rsid w:val="0D81478E"/>
    <w:rsid w:val="0D862FC8"/>
    <w:rsid w:val="0D8A2FED"/>
    <w:rsid w:val="0D940C01"/>
    <w:rsid w:val="0D9E6986"/>
    <w:rsid w:val="0DA4187D"/>
    <w:rsid w:val="0DAB4CA3"/>
    <w:rsid w:val="0DBB7938"/>
    <w:rsid w:val="0DC01F09"/>
    <w:rsid w:val="0DC24E06"/>
    <w:rsid w:val="0DCA29A0"/>
    <w:rsid w:val="0DD208F0"/>
    <w:rsid w:val="0DDC7AB4"/>
    <w:rsid w:val="0DE73F9D"/>
    <w:rsid w:val="0E0E0ABB"/>
    <w:rsid w:val="0E156855"/>
    <w:rsid w:val="0E180AFA"/>
    <w:rsid w:val="0E434CA2"/>
    <w:rsid w:val="0E90419B"/>
    <w:rsid w:val="0EAA7A46"/>
    <w:rsid w:val="0EB151DA"/>
    <w:rsid w:val="0EBA1FBA"/>
    <w:rsid w:val="0EBD5965"/>
    <w:rsid w:val="0EC40B28"/>
    <w:rsid w:val="0EE30765"/>
    <w:rsid w:val="0EE875CA"/>
    <w:rsid w:val="0EEF3211"/>
    <w:rsid w:val="0F033BBE"/>
    <w:rsid w:val="0F0B71C2"/>
    <w:rsid w:val="0F16254C"/>
    <w:rsid w:val="0F2904D1"/>
    <w:rsid w:val="0F2E527C"/>
    <w:rsid w:val="0F333973"/>
    <w:rsid w:val="0F36499C"/>
    <w:rsid w:val="0F6C03BE"/>
    <w:rsid w:val="0F775D3E"/>
    <w:rsid w:val="0F7811AE"/>
    <w:rsid w:val="0F8B17F6"/>
    <w:rsid w:val="0FA270B4"/>
    <w:rsid w:val="0FAB006A"/>
    <w:rsid w:val="0FB10A42"/>
    <w:rsid w:val="0FDA17CC"/>
    <w:rsid w:val="0FE53F92"/>
    <w:rsid w:val="0FE90290"/>
    <w:rsid w:val="0FFC7697"/>
    <w:rsid w:val="100F5919"/>
    <w:rsid w:val="101E7BF6"/>
    <w:rsid w:val="10246EEB"/>
    <w:rsid w:val="10362DC0"/>
    <w:rsid w:val="103750DB"/>
    <w:rsid w:val="103A6D61"/>
    <w:rsid w:val="105B5D71"/>
    <w:rsid w:val="106612B1"/>
    <w:rsid w:val="107069BA"/>
    <w:rsid w:val="10762B40"/>
    <w:rsid w:val="1099323E"/>
    <w:rsid w:val="109B53FF"/>
    <w:rsid w:val="10AA3894"/>
    <w:rsid w:val="10AD4E1F"/>
    <w:rsid w:val="10C8771B"/>
    <w:rsid w:val="10E2584A"/>
    <w:rsid w:val="10F770B9"/>
    <w:rsid w:val="10F9096F"/>
    <w:rsid w:val="11045EE1"/>
    <w:rsid w:val="110C12EC"/>
    <w:rsid w:val="11122158"/>
    <w:rsid w:val="11275806"/>
    <w:rsid w:val="1152799A"/>
    <w:rsid w:val="11553800"/>
    <w:rsid w:val="115820C3"/>
    <w:rsid w:val="116339D1"/>
    <w:rsid w:val="116972AB"/>
    <w:rsid w:val="1170063A"/>
    <w:rsid w:val="11910B2A"/>
    <w:rsid w:val="11B60016"/>
    <w:rsid w:val="11BD1BAD"/>
    <w:rsid w:val="11C22644"/>
    <w:rsid w:val="11C73FD2"/>
    <w:rsid w:val="11C90F52"/>
    <w:rsid w:val="11D53180"/>
    <w:rsid w:val="11DB182B"/>
    <w:rsid w:val="11EA5F58"/>
    <w:rsid w:val="11F84BB9"/>
    <w:rsid w:val="12144AEB"/>
    <w:rsid w:val="121B783C"/>
    <w:rsid w:val="12266F4A"/>
    <w:rsid w:val="122E4051"/>
    <w:rsid w:val="1246013E"/>
    <w:rsid w:val="125A4E46"/>
    <w:rsid w:val="125B775D"/>
    <w:rsid w:val="12656690"/>
    <w:rsid w:val="126F08F1"/>
    <w:rsid w:val="12712954"/>
    <w:rsid w:val="12843C71"/>
    <w:rsid w:val="12872C68"/>
    <w:rsid w:val="1288550F"/>
    <w:rsid w:val="129C457B"/>
    <w:rsid w:val="12A01767"/>
    <w:rsid w:val="12A41E2E"/>
    <w:rsid w:val="12C5502F"/>
    <w:rsid w:val="12CE0BB5"/>
    <w:rsid w:val="12D47F8E"/>
    <w:rsid w:val="12EF1689"/>
    <w:rsid w:val="12F80CC7"/>
    <w:rsid w:val="13001549"/>
    <w:rsid w:val="130A1D43"/>
    <w:rsid w:val="1311486C"/>
    <w:rsid w:val="13134ACB"/>
    <w:rsid w:val="13257202"/>
    <w:rsid w:val="132C67E2"/>
    <w:rsid w:val="133308DE"/>
    <w:rsid w:val="13367661"/>
    <w:rsid w:val="133B6A25"/>
    <w:rsid w:val="133E24DD"/>
    <w:rsid w:val="133E63BF"/>
    <w:rsid w:val="135E5661"/>
    <w:rsid w:val="13853604"/>
    <w:rsid w:val="139F4E30"/>
    <w:rsid w:val="139F5206"/>
    <w:rsid w:val="13AC7923"/>
    <w:rsid w:val="140275A9"/>
    <w:rsid w:val="140C37B9"/>
    <w:rsid w:val="14182A2A"/>
    <w:rsid w:val="141F1EA3"/>
    <w:rsid w:val="142E6F34"/>
    <w:rsid w:val="143F0CC5"/>
    <w:rsid w:val="145558C5"/>
    <w:rsid w:val="145E6E6F"/>
    <w:rsid w:val="147D4F92"/>
    <w:rsid w:val="14897C91"/>
    <w:rsid w:val="148A2C9A"/>
    <w:rsid w:val="14AB450A"/>
    <w:rsid w:val="14BA1BA8"/>
    <w:rsid w:val="14BC1DE8"/>
    <w:rsid w:val="14BF2D3F"/>
    <w:rsid w:val="14C21E3B"/>
    <w:rsid w:val="14D7452C"/>
    <w:rsid w:val="14E530ED"/>
    <w:rsid w:val="14ED5843"/>
    <w:rsid w:val="15032920"/>
    <w:rsid w:val="151439D2"/>
    <w:rsid w:val="151A411A"/>
    <w:rsid w:val="151B65FC"/>
    <w:rsid w:val="152A4FA3"/>
    <w:rsid w:val="152E409F"/>
    <w:rsid w:val="153328BD"/>
    <w:rsid w:val="153E5E21"/>
    <w:rsid w:val="153F568C"/>
    <w:rsid w:val="15542020"/>
    <w:rsid w:val="15712BD2"/>
    <w:rsid w:val="1582093B"/>
    <w:rsid w:val="158703BA"/>
    <w:rsid w:val="15894CE1"/>
    <w:rsid w:val="158E5532"/>
    <w:rsid w:val="158F3058"/>
    <w:rsid w:val="159D39C7"/>
    <w:rsid w:val="15CB1E48"/>
    <w:rsid w:val="15F66544"/>
    <w:rsid w:val="160C46A9"/>
    <w:rsid w:val="16296B24"/>
    <w:rsid w:val="162E461F"/>
    <w:rsid w:val="16314110"/>
    <w:rsid w:val="163C4C29"/>
    <w:rsid w:val="16465E0D"/>
    <w:rsid w:val="164E6A70"/>
    <w:rsid w:val="165764A9"/>
    <w:rsid w:val="165A3F0C"/>
    <w:rsid w:val="165D428C"/>
    <w:rsid w:val="16827510"/>
    <w:rsid w:val="16931292"/>
    <w:rsid w:val="169C0F78"/>
    <w:rsid w:val="16BB3429"/>
    <w:rsid w:val="16D725CF"/>
    <w:rsid w:val="16E573D4"/>
    <w:rsid w:val="16EF70D4"/>
    <w:rsid w:val="16F13FCB"/>
    <w:rsid w:val="16F97785"/>
    <w:rsid w:val="1700420E"/>
    <w:rsid w:val="170D5CC4"/>
    <w:rsid w:val="17215F32"/>
    <w:rsid w:val="172D2B29"/>
    <w:rsid w:val="175761FF"/>
    <w:rsid w:val="175A569D"/>
    <w:rsid w:val="177C42CE"/>
    <w:rsid w:val="17956A47"/>
    <w:rsid w:val="17B62B1E"/>
    <w:rsid w:val="17C52AFB"/>
    <w:rsid w:val="17CC0594"/>
    <w:rsid w:val="17EC02EE"/>
    <w:rsid w:val="17FB2C27"/>
    <w:rsid w:val="18145A0D"/>
    <w:rsid w:val="18185587"/>
    <w:rsid w:val="1862727E"/>
    <w:rsid w:val="18930AC2"/>
    <w:rsid w:val="18B232E6"/>
    <w:rsid w:val="18B31317"/>
    <w:rsid w:val="18CA2B7F"/>
    <w:rsid w:val="18D05E62"/>
    <w:rsid w:val="18D33CA4"/>
    <w:rsid w:val="19000E9A"/>
    <w:rsid w:val="19103042"/>
    <w:rsid w:val="19173A91"/>
    <w:rsid w:val="192166BD"/>
    <w:rsid w:val="192E3215"/>
    <w:rsid w:val="193F3921"/>
    <w:rsid w:val="196A3BC0"/>
    <w:rsid w:val="196B6713"/>
    <w:rsid w:val="196C5B8A"/>
    <w:rsid w:val="1973304D"/>
    <w:rsid w:val="19831DCC"/>
    <w:rsid w:val="198A065A"/>
    <w:rsid w:val="199B6790"/>
    <w:rsid w:val="19A364CF"/>
    <w:rsid w:val="19B4308D"/>
    <w:rsid w:val="19C31523"/>
    <w:rsid w:val="19C33487"/>
    <w:rsid w:val="19DA2BE1"/>
    <w:rsid w:val="19E05346"/>
    <w:rsid w:val="19FD105D"/>
    <w:rsid w:val="1A02204B"/>
    <w:rsid w:val="1A0C111B"/>
    <w:rsid w:val="1A1136AE"/>
    <w:rsid w:val="1A1520AE"/>
    <w:rsid w:val="1A275223"/>
    <w:rsid w:val="1A2771D6"/>
    <w:rsid w:val="1A331C30"/>
    <w:rsid w:val="1A336C1E"/>
    <w:rsid w:val="1A367F46"/>
    <w:rsid w:val="1A4E5A90"/>
    <w:rsid w:val="1A570B02"/>
    <w:rsid w:val="1A5C123E"/>
    <w:rsid w:val="1A607DD7"/>
    <w:rsid w:val="1A6D284D"/>
    <w:rsid w:val="1A8667BD"/>
    <w:rsid w:val="1A8B200C"/>
    <w:rsid w:val="1A956CF1"/>
    <w:rsid w:val="1A9E31DD"/>
    <w:rsid w:val="1A9E44A3"/>
    <w:rsid w:val="1AA141FF"/>
    <w:rsid w:val="1AA17AB6"/>
    <w:rsid w:val="1AA42D85"/>
    <w:rsid w:val="1AAC69B5"/>
    <w:rsid w:val="1AAE7B07"/>
    <w:rsid w:val="1AAF7C6D"/>
    <w:rsid w:val="1AC436A6"/>
    <w:rsid w:val="1ACC581E"/>
    <w:rsid w:val="1AD3193F"/>
    <w:rsid w:val="1AD627EF"/>
    <w:rsid w:val="1AE479A2"/>
    <w:rsid w:val="1AF5570C"/>
    <w:rsid w:val="1AFA6A9C"/>
    <w:rsid w:val="1AFD2812"/>
    <w:rsid w:val="1B131612"/>
    <w:rsid w:val="1B707488"/>
    <w:rsid w:val="1B7A0AA9"/>
    <w:rsid w:val="1B8F4A8D"/>
    <w:rsid w:val="1BAA299A"/>
    <w:rsid w:val="1BAD2058"/>
    <w:rsid w:val="1BB65A6F"/>
    <w:rsid w:val="1BE83F4F"/>
    <w:rsid w:val="1C0302FC"/>
    <w:rsid w:val="1C142509"/>
    <w:rsid w:val="1C1F6B10"/>
    <w:rsid w:val="1C221F2A"/>
    <w:rsid w:val="1C2344FA"/>
    <w:rsid w:val="1C283E37"/>
    <w:rsid w:val="1C286643"/>
    <w:rsid w:val="1C69492B"/>
    <w:rsid w:val="1C7B644A"/>
    <w:rsid w:val="1C7F10E3"/>
    <w:rsid w:val="1C837694"/>
    <w:rsid w:val="1C927A29"/>
    <w:rsid w:val="1C9F39A1"/>
    <w:rsid w:val="1C9F475A"/>
    <w:rsid w:val="1CAC44F0"/>
    <w:rsid w:val="1CCD27DE"/>
    <w:rsid w:val="1CD25DDB"/>
    <w:rsid w:val="1CDD0B4D"/>
    <w:rsid w:val="1CE855C9"/>
    <w:rsid w:val="1CE974F2"/>
    <w:rsid w:val="1D061B33"/>
    <w:rsid w:val="1D0924B1"/>
    <w:rsid w:val="1D3A5FA0"/>
    <w:rsid w:val="1D444728"/>
    <w:rsid w:val="1D4A3A19"/>
    <w:rsid w:val="1D4A5B59"/>
    <w:rsid w:val="1D50131F"/>
    <w:rsid w:val="1D6645D6"/>
    <w:rsid w:val="1D7023BC"/>
    <w:rsid w:val="1D845CE8"/>
    <w:rsid w:val="1D89551A"/>
    <w:rsid w:val="1D8B67FB"/>
    <w:rsid w:val="1DA23326"/>
    <w:rsid w:val="1DAB37E2"/>
    <w:rsid w:val="1DBB1717"/>
    <w:rsid w:val="1DCB2F5B"/>
    <w:rsid w:val="1E0565AE"/>
    <w:rsid w:val="1E1124CF"/>
    <w:rsid w:val="1E1C5753"/>
    <w:rsid w:val="1E1E31CB"/>
    <w:rsid w:val="1E221057"/>
    <w:rsid w:val="1E23318F"/>
    <w:rsid w:val="1E3F1E9B"/>
    <w:rsid w:val="1E450758"/>
    <w:rsid w:val="1E4918BD"/>
    <w:rsid w:val="1E5D5BA1"/>
    <w:rsid w:val="1E606CD7"/>
    <w:rsid w:val="1E635A1F"/>
    <w:rsid w:val="1E783EF3"/>
    <w:rsid w:val="1E82375A"/>
    <w:rsid w:val="1E8528CF"/>
    <w:rsid w:val="1E8A0C48"/>
    <w:rsid w:val="1E903CEC"/>
    <w:rsid w:val="1E91399D"/>
    <w:rsid w:val="1E957931"/>
    <w:rsid w:val="1ECE699F"/>
    <w:rsid w:val="1ECE79DD"/>
    <w:rsid w:val="1EE77A61"/>
    <w:rsid w:val="1EFD2393"/>
    <w:rsid w:val="1F110314"/>
    <w:rsid w:val="1F2C36C6"/>
    <w:rsid w:val="1F2E64B0"/>
    <w:rsid w:val="1F3360E0"/>
    <w:rsid w:val="1F38206B"/>
    <w:rsid w:val="1F3B1407"/>
    <w:rsid w:val="1F5C21FD"/>
    <w:rsid w:val="1F6F3700"/>
    <w:rsid w:val="1F78274B"/>
    <w:rsid w:val="1F7D3F22"/>
    <w:rsid w:val="1F937D4E"/>
    <w:rsid w:val="1FC72E8E"/>
    <w:rsid w:val="1FD03E69"/>
    <w:rsid w:val="1FD06EA3"/>
    <w:rsid w:val="1FEE56C8"/>
    <w:rsid w:val="1FF74D8F"/>
    <w:rsid w:val="2011123A"/>
    <w:rsid w:val="20142AD8"/>
    <w:rsid w:val="202B4E35"/>
    <w:rsid w:val="2043516B"/>
    <w:rsid w:val="204F1D62"/>
    <w:rsid w:val="204F50E3"/>
    <w:rsid w:val="20740615"/>
    <w:rsid w:val="208C3A33"/>
    <w:rsid w:val="20B028B9"/>
    <w:rsid w:val="20B82C45"/>
    <w:rsid w:val="20B83463"/>
    <w:rsid w:val="20CC30EE"/>
    <w:rsid w:val="20D47DCE"/>
    <w:rsid w:val="20D51E07"/>
    <w:rsid w:val="20D9164A"/>
    <w:rsid w:val="20DA5073"/>
    <w:rsid w:val="20E22BD6"/>
    <w:rsid w:val="20F82C6C"/>
    <w:rsid w:val="20FA0A99"/>
    <w:rsid w:val="2107361C"/>
    <w:rsid w:val="210E6EDF"/>
    <w:rsid w:val="211C60E8"/>
    <w:rsid w:val="212925B3"/>
    <w:rsid w:val="212A1E87"/>
    <w:rsid w:val="212E1977"/>
    <w:rsid w:val="213673FE"/>
    <w:rsid w:val="214E5B76"/>
    <w:rsid w:val="215B0293"/>
    <w:rsid w:val="21676E41"/>
    <w:rsid w:val="216D0BA0"/>
    <w:rsid w:val="217537B9"/>
    <w:rsid w:val="2188552B"/>
    <w:rsid w:val="219E4D4F"/>
    <w:rsid w:val="21A13B19"/>
    <w:rsid w:val="21AF0D0A"/>
    <w:rsid w:val="21CC6CC6"/>
    <w:rsid w:val="21D0786F"/>
    <w:rsid w:val="21EC1864"/>
    <w:rsid w:val="21EF3EC7"/>
    <w:rsid w:val="21FF50C2"/>
    <w:rsid w:val="220041D9"/>
    <w:rsid w:val="220B3CA8"/>
    <w:rsid w:val="22123047"/>
    <w:rsid w:val="22361059"/>
    <w:rsid w:val="2238523E"/>
    <w:rsid w:val="22435553"/>
    <w:rsid w:val="227D2BB6"/>
    <w:rsid w:val="22A53EBB"/>
    <w:rsid w:val="22B57049"/>
    <w:rsid w:val="230633CA"/>
    <w:rsid w:val="230F0CBA"/>
    <w:rsid w:val="23163D80"/>
    <w:rsid w:val="231D7E1D"/>
    <w:rsid w:val="232667AF"/>
    <w:rsid w:val="23494ECF"/>
    <w:rsid w:val="234E4979"/>
    <w:rsid w:val="23542AC1"/>
    <w:rsid w:val="236203FB"/>
    <w:rsid w:val="23645B24"/>
    <w:rsid w:val="237613B4"/>
    <w:rsid w:val="238910E7"/>
    <w:rsid w:val="239A1546"/>
    <w:rsid w:val="23D039F6"/>
    <w:rsid w:val="23D20CE0"/>
    <w:rsid w:val="23DB4530"/>
    <w:rsid w:val="23EB7FF4"/>
    <w:rsid w:val="23F43032"/>
    <w:rsid w:val="23FA133C"/>
    <w:rsid w:val="240B5FA0"/>
    <w:rsid w:val="24100849"/>
    <w:rsid w:val="24116CB2"/>
    <w:rsid w:val="24122984"/>
    <w:rsid w:val="242F6132"/>
    <w:rsid w:val="24336E73"/>
    <w:rsid w:val="243B6690"/>
    <w:rsid w:val="244C4E24"/>
    <w:rsid w:val="24635A19"/>
    <w:rsid w:val="2480073C"/>
    <w:rsid w:val="24850BE6"/>
    <w:rsid w:val="24B16B47"/>
    <w:rsid w:val="24D25EE9"/>
    <w:rsid w:val="24D32F62"/>
    <w:rsid w:val="24D61CD0"/>
    <w:rsid w:val="24DC16EA"/>
    <w:rsid w:val="250467D9"/>
    <w:rsid w:val="250A44A9"/>
    <w:rsid w:val="250A5253"/>
    <w:rsid w:val="251D3FC0"/>
    <w:rsid w:val="25254322"/>
    <w:rsid w:val="25261647"/>
    <w:rsid w:val="253B0B07"/>
    <w:rsid w:val="253D2630"/>
    <w:rsid w:val="25467197"/>
    <w:rsid w:val="254774AC"/>
    <w:rsid w:val="2563762C"/>
    <w:rsid w:val="257007B0"/>
    <w:rsid w:val="257D2ECD"/>
    <w:rsid w:val="25821466"/>
    <w:rsid w:val="25A6572B"/>
    <w:rsid w:val="25AE3087"/>
    <w:rsid w:val="25BC6855"/>
    <w:rsid w:val="25C52C92"/>
    <w:rsid w:val="25EC2454"/>
    <w:rsid w:val="25EE5B79"/>
    <w:rsid w:val="261E6BA2"/>
    <w:rsid w:val="26385E8A"/>
    <w:rsid w:val="26607A60"/>
    <w:rsid w:val="266D4CF0"/>
    <w:rsid w:val="26773DC1"/>
    <w:rsid w:val="268931AA"/>
    <w:rsid w:val="269F41B3"/>
    <w:rsid w:val="26C443E1"/>
    <w:rsid w:val="26CD1C32"/>
    <w:rsid w:val="26D0702D"/>
    <w:rsid w:val="26DD00C8"/>
    <w:rsid w:val="26DF742E"/>
    <w:rsid w:val="270A253F"/>
    <w:rsid w:val="270C4FC5"/>
    <w:rsid w:val="27127645"/>
    <w:rsid w:val="272301A4"/>
    <w:rsid w:val="27244E5A"/>
    <w:rsid w:val="273121F9"/>
    <w:rsid w:val="27354EC1"/>
    <w:rsid w:val="273B34AE"/>
    <w:rsid w:val="2755492F"/>
    <w:rsid w:val="276F5D75"/>
    <w:rsid w:val="276F6846"/>
    <w:rsid w:val="278D3D61"/>
    <w:rsid w:val="2791112C"/>
    <w:rsid w:val="279679E3"/>
    <w:rsid w:val="27BD1CA7"/>
    <w:rsid w:val="27C313CD"/>
    <w:rsid w:val="27DB6949"/>
    <w:rsid w:val="27DD762A"/>
    <w:rsid w:val="27ED7B74"/>
    <w:rsid w:val="27FB46DA"/>
    <w:rsid w:val="283D6944"/>
    <w:rsid w:val="28427C92"/>
    <w:rsid w:val="284F17D4"/>
    <w:rsid w:val="28575047"/>
    <w:rsid w:val="288307FB"/>
    <w:rsid w:val="288376B0"/>
    <w:rsid w:val="288E20B9"/>
    <w:rsid w:val="28E61013"/>
    <w:rsid w:val="28F12CF2"/>
    <w:rsid w:val="28F827CB"/>
    <w:rsid w:val="28F90ABD"/>
    <w:rsid w:val="29143B49"/>
    <w:rsid w:val="292B0388"/>
    <w:rsid w:val="292E2EDE"/>
    <w:rsid w:val="293F5790"/>
    <w:rsid w:val="29512576"/>
    <w:rsid w:val="29514455"/>
    <w:rsid w:val="296070AC"/>
    <w:rsid w:val="29696464"/>
    <w:rsid w:val="297445E7"/>
    <w:rsid w:val="297F67EF"/>
    <w:rsid w:val="298C36DF"/>
    <w:rsid w:val="299010C2"/>
    <w:rsid w:val="29997556"/>
    <w:rsid w:val="29CC761E"/>
    <w:rsid w:val="29DE0E87"/>
    <w:rsid w:val="29E05449"/>
    <w:rsid w:val="29EE3795"/>
    <w:rsid w:val="29F13DA9"/>
    <w:rsid w:val="2A056A4F"/>
    <w:rsid w:val="2A502FEB"/>
    <w:rsid w:val="2A596352"/>
    <w:rsid w:val="2AB71864"/>
    <w:rsid w:val="2ABA427C"/>
    <w:rsid w:val="2AD551AF"/>
    <w:rsid w:val="2AD9612A"/>
    <w:rsid w:val="2AE24705"/>
    <w:rsid w:val="2AF23A16"/>
    <w:rsid w:val="2AF91248"/>
    <w:rsid w:val="2B081734"/>
    <w:rsid w:val="2B09317D"/>
    <w:rsid w:val="2B116592"/>
    <w:rsid w:val="2B181536"/>
    <w:rsid w:val="2B2C6BA2"/>
    <w:rsid w:val="2B3D4992"/>
    <w:rsid w:val="2B3D7387"/>
    <w:rsid w:val="2B5B15BB"/>
    <w:rsid w:val="2B764647"/>
    <w:rsid w:val="2B830CED"/>
    <w:rsid w:val="2B842DE8"/>
    <w:rsid w:val="2B8815F9"/>
    <w:rsid w:val="2B8F1669"/>
    <w:rsid w:val="2B960AC3"/>
    <w:rsid w:val="2B9C3BC7"/>
    <w:rsid w:val="2BA75E7D"/>
    <w:rsid w:val="2BAE2033"/>
    <w:rsid w:val="2BBD4024"/>
    <w:rsid w:val="2BCA6741"/>
    <w:rsid w:val="2BDD1F05"/>
    <w:rsid w:val="2BDF043E"/>
    <w:rsid w:val="2C091017"/>
    <w:rsid w:val="2C181352"/>
    <w:rsid w:val="2C210A56"/>
    <w:rsid w:val="2C22657D"/>
    <w:rsid w:val="2C2E0D4E"/>
    <w:rsid w:val="2C2E1BA9"/>
    <w:rsid w:val="2C31056E"/>
    <w:rsid w:val="2C493B09"/>
    <w:rsid w:val="2C5A7AC4"/>
    <w:rsid w:val="2C66290D"/>
    <w:rsid w:val="2C703257"/>
    <w:rsid w:val="2C710EE2"/>
    <w:rsid w:val="2C797E8C"/>
    <w:rsid w:val="2C895EB5"/>
    <w:rsid w:val="2C981092"/>
    <w:rsid w:val="2C9D3A89"/>
    <w:rsid w:val="2CB2345D"/>
    <w:rsid w:val="2CB92402"/>
    <w:rsid w:val="2CEC5E40"/>
    <w:rsid w:val="2D0B6A5D"/>
    <w:rsid w:val="2D123224"/>
    <w:rsid w:val="2D2D1B91"/>
    <w:rsid w:val="2D4C0AA8"/>
    <w:rsid w:val="2D560DCD"/>
    <w:rsid w:val="2D8A7EAC"/>
    <w:rsid w:val="2DA326E8"/>
    <w:rsid w:val="2DBB27E5"/>
    <w:rsid w:val="2DC1265E"/>
    <w:rsid w:val="2DCC46A5"/>
    <w:rsid w:val="2DEA3ADD"/>
    <w:rsid w:val="2DEC6E42"/>
    <w:rsid w:val="2E060D0E"/>
    <w:rsid w:val="2E0C4DEE"/>
    <w:rsid w:val="2E1562CD"/>
    <w:rsid w:val="2E230AA6"/>
    <w:rsid w:val="2E262354"/>
    <w:rsid w:val="2E2843FB"/>
    <w:rsid w:val="2E294772"/>
    <w:rsid w:val="2E2E799A"/>
    <w:rsid w:val="2E336C50"/>
    <w:rsid w:val="2E400F3C"/>
    <w:rsid w:val="2E5B0E2E"/>
    <w:rsid w:val="2E6279C6"/>
    <w:rsid w:val="2E635A59"/>
    <w:rsid w:val="2EAA5F11"/>
    <w:rsid w:val="2EB72AA3"/>
    <w:rsid w:val="2ECB4CA9"/>
    <w:rsid w:val="2EE45D6B"/>
    <w:rsid w:val="2EFE507F"/>
    <w:rsid w:val="2F1C5505"/>
    <w:rsid w:val="2F3B0811"/>
    <w:rsid w:val="2F457EE9"/>
    <w:rsid w:val="2F594288"/>
    <w:rsid w:val="2F6110DD"/>
    <w:rsid w:val="2F6856D6"/>
    <w:rsid w:val="2F987F32"/>
    <w:rsid w:val="2FAD5F0B"/>
    <w:rsid w:val="2FB120F1"/>
    <w:rsid w:val="2FBE78D3"/>
    <w:rsid w:val="2FC736C3"/>
    <w:rsid w:val="2FDB0F1C"/>
    <w:rsid w:val="2FE74BAE"/>
    <w:rsid w:val="2FF540FA"/>
    <w:rsid w:val="2FF54C06"/>
    <w:rsid w:val="2FFE2E5D"/>
    <w:rsid w:val="30003A4C"/>
    <w:rsid w:val="30030473"/>
    <w:rsid w:val="30146793"/>
    <w:rsid w:val="30147BBD"/>
    <w:rsid w:val="301B7CA8"/>
    <w:rsid w:val="30466CDD"/>
    <w:rsid w:val="305731A1"/>
    <w:rsid w:val="306F0A59"/>
    <w:rsid w:val="3082680F"/>
    <w:rsid w:val="309243C0"/>
    <w:rsid w:val="309E140D"/>
    <w:rsid w:val="30A457B2"/>
    <w:rsid w:val="30AD45FE"/>
    <w:rsid w:val="30B52A83"/>
    <w:rsid w:val="30C9346B"/>
    <w:rsid w:val="30C95EA8"/>
    <w:rsid w:val="30E7256B"/>
    <w:rsid w:val="31012C04"/>
    <w:rsid w:val="310E70CF"/>
    <w:rsid w:val="31327262"/>
    <w:rsid w:val="31375948"/>
    <w:rsid w:val="313F4FFA"/>
    <w:rsid w:val="314760EE"/>
    <w:rsid w:val="315076E8"/>
    <w:rsid w:val="315A745C"/>
    <w:rsid w:val="31634B42"/>
    <w:rsid w:val="319A665C"/>
    <w:rsid w:val="31A72A29"/>
    <w:rsid w:val="31AD2471"/>
    <w:rsid w:val="31AD7BE9"/>
    <w:rsid w:val="31D50D66"/>
    <w:rsid w:val="31DA4405"/>
    <w:rsid w:val="31DB16A7"/>
    <w:rsid w:val="31F2450F"/>
    <w:rsid w:val="32087FC3"/>
    <w:rsid w:val="32186458"/>
    <w:rsid w:val="321E77E6"/>
    <w:rsid w:val="321F3CD8"/>
    <w:rsid w:val="32236288"/>
    <w:rsid w:val="322D1335"/>
    <w:rsid w:val="3260443B"/>
    <w:rsid w:val="32672F3B"/>
    <w:rsid w:val="32676A97"/>
    <w:rsid w:val="327A1535"/>
    <w:rsid w:val="327F76D8"/>
    <w:rsid w:val="32851613"/>
    <w:rsid w:val="3288246C"/>
    <w:rsid w:val="32926B0B"/>
    <w:rsid w:val="32A63A63"/>
    <w:rsid w:val="32A95302"/>
    <w:rsid w:val="32AF0265"/>
    <w:rsid w:val="32BE5501"/>
    <w:rsid w:val="32D47F84"/>
    <w:rsid w:val="32D87995"/>
    <w:rsid w:val="32D92CDB"/>
    <w:rsid w:val="32DB1C5F"/>
    <w:rsid w:val="32EA681C"/>
    <w:rsid w:val="32EC5C70"/>
    <w:rsid w:val="32EE1841"/>
    <w:rsid w:val="32FF4F22"/>
    <w:rsid w:val="33014A95"/>
    <w:rsid w:val="33022C64"/>
    <w:rsid w:val="33095DA0"/>
    <w:rsid w:val="331A61FF"/>
    <w:rsid w:val="332B3F69"/>
    <w:rsid w:val="332C69B5"/>
    <w:rsid w:val="3341340F"/>
    <w:rsid w:val="33460345"/>
    <w:rsid w:val="33514C1C"/>
    <w:rsid w:val="33580FD6"/>
    <w:rsid w:val="335C57D6"/>
    <w:rsid w:val="33812D41"/>
    <w:rsid w:val="33941B0E"/>
    <w:rsid w:val="33B51A84"/>
    <w:rsid w:val="33B55D30"/>
    <w:rsid w:val="33C61EE3"/>
    <w:rsid w:val="33CC5059"/>
    <w:rsid w:val="33E915F3"/>
    <w:rsid w:val="33F14E3F"/>
    <w:rsid w:val="33F43719"/>
    <w:rsid w:val="33FE6037"/>
    <w:rsid w:val="34002C60"/>
    <w:rsid w:val="343017E0"/>
    <w:rsid w:val="344057F2"/>
    <w:rsid w:val="34470F4D"/>
    <w:rsid w:val="344D7F0F"/>
    <w:rsid w:val="3458039D"/>
    <w:rsid w:val="34593FB8"/>
    <w:rsid w:val="34757B91"/>
    <w:rsid w:val="34790259"/>
    <w:rsid w:val="347D07F4"/>
    <w:rsid w:val="347E1FD2"/>
    <w:rsid w:val="34833825"/>
    <w:rsid w:val="348558FB"/>
    <w:rsid w:val="34AE2A73"/>
    <w:rsid w:val="34BD32E6"/>
    <w:rsid w:val="34C40D15"/>
    <w:rsid w:val="34CD748C"/>
    <w:rsid w:val="34DB5183"/>
    <w:rsid w:val="34DF55B6"/>
    <w:rsid w:val="34E24AFB"/>
    <w:rsid w:val="350902DA"/>
    <w:rsid w:val="35132F06"/>
    <w:rsid w:val="35144DC0"/>
    <w:rsid w:val="3518051D"/>
    <w:rsid w:val="352132DA"/>
    <w:rsid w:val="35707279"/>
    <w:rsid w:val="3578720D"/>
    <w:rsid w:val="357D4824"/>
    <w:rsid w:val="358160C2"/>
    <w:rsid w:val="35A27F45"/>
    <w:rsid w:val="35AD1CD3"/>
    <w:rsid w:val="35AF0108"/>
    <w:rsid w:val="35D346B8"/>
    <w:rsid w:val="35F13CF7"/>
    <w:rsid w:val="36120683"/>
    <w:rsid w:val="361909F0"/>
    <w:rsid w:val="36294A38"/>
    <w:rsid w:val="362A49AB"/>
    <w:rsid w:val="36326BC5"/>
    <w:rsid w:val="36402219"/>
    <w:rsid w:val="36407D2B"/>
    <w:rsid w:val="3649562D"/>
    <w:rsid w:val="36631BE4"/>
    <w:rsid w:val="36747A1D"/>
    <w:rsid w:val="36792EB9"/>
    <w:rsid w:val="367D0F7F"/>
    <w:rsid w:val="368A5F83"/>
    <w:rsid w:val="368D6C58"/>
    <w:rsid w:val="36D64360"/>
    <w:rsid w:val="36E515F1"/>
    <w:rsid w:val="36E82F71"/>
    <w:rsid w:val="36E903C3"/>
    <w:rsid w:val="370C7B03"/>
    <w:rsid w:val="37214898"/>
    <w:rsid w:val="37255FFD"/>
    <w:rsid w:val="37323B03"/>
    <w:rsid w:val="374019EB"/>
    <w:rsid w:val="3747333B"/>
    <w:rsid w:val="374A4436"/>
    <w:rsid w:val="374A6F7B"/>
    <w:rsid w:val="374C6AA7"/>
    <w:rsid w:val="375430B6"/>
    <w:rsid w:val="379540A7"/>
    <w:rsid w:val="37A662B4"/>
    <w:rsid w:val="37AC319E"/>
    <w:rsid w:val="37C96CE5"/>
    <w:rsid w:val="37CA566B"/>
    <w:rsid w:val="37D2672A"/>
    <w:rsid w:val="37D3697D"/>
    <w:rsid w:val="37E623B5"/>
    <w:rsid w:val="37E82428"/>
    <w:rsid w:val="37E87724"/>
    <w:rsid w:val="37FA50C2"/>
    <w:rsid w:val="380803DD"/>
    <w:rsid w:val="380D40C9"/>
    <w:rsid w:val="380E46BF"/>
    <w:rsid w:val="38170F5F"/>
    <w:rsid w:val="38313807"/>
    <w:rsid w:val="383832E4"/>
    <w:rsid w:val="38412DA1"/>
    <w:rsid w:val="384A512D"/>
    <w:rsid w:val="3853724F"/>
    <w:rsid w:val="386341A5"/>
    <w:rsid w:val="387A2D4D"/>
    <w:rsid w:val="389A08FE"/>
    <w:rsid w:val="38A241A6"/>
    <w:rsid w:val="38A528A2"/>
    <w:rsid w:val="38B14F10"/>
    <w:rsid w:val="38D4441C"/>
    <w:rsid w:val="38E52E0C"/>
    <w:rsid w:val="38FA30DF"/>
    <w:rsid w:val="39046EC4"/>
    <w:rsid w:val="390908A8"/>
    <w:rsid w:val="391060DB"/>
    <w:rsid w:val="391B25BA"/>
    <w:rsid w:val="393B2A2C"/>
    <w:rsid w:val="39462F2A"/>
    <w:rsid w:val="394F0285"/>
    <w:rsid w:val="39564958"/>
    <w:rsid w:val="395A201B"/>
    <w:rsid w:val="395D6E46"/>
    <w:rsid w:val="396C150B"/>
    <w:rsid w:val="39730417"/>
    <w:rsid w:val="399D7242"/>
    <w:rsid w:val="39A15CD6"/>
    <w:rsid w:val="39B17496"/>
    <w:rsid w:val="39B506F2"/>
    <w:rsid w:val="39C66799"/>
    <w:rsid w:val="3A234D7B"/>
    <w:rsid w:val="3A3A1AE8"/>
    <w:rsid w:val="3A4A73CA"/>
    <w:rsid w:val="3A667F7C"/>
    <w:rsid w:val="3A726921"/>
    <w:rsid w:val="3A7D53E1"/>
    <w:rsid w:val="3A8E29D3"/>
    <w:rsid w:val="3A903883"/>
    <w:rsid w:val="3A9E3272"/>
    <w:rsid w:val="3AA50161"/>
    <w:rsid w:val="3AC0143A"/>
    <w:rsid w:val="3AD249E7"/>
    <w:rsid w:val="3AE11DE1"/>
    <w:rsid w:val="3AE16E49"/>
    <w:rsid w:val="3AFA0DF0"/>
    <w:rsid w:val="3B0F5F1E"/>
    <w:rsid w:val="3B217306"/>
    <w:rsid w:val="3B293484"/>
    <w:rsid w:val="3B433CCB"/>
    <w:rsid w:val="3B4A3779"/>
    <w:rsid w:val="3B5953EB"/>
    <w:rsid w:val="3B7874E6"/>
    <w:rsid w:val="3B7B4311"/>
    <w:rsid w:val="3B92543E"/>
    <w:rsid w:val="3B997AE8"/>
    <w:rsid w:val="3B9D79CE"/>
    <w:rsid w:val="3BAB20EB"/>
    <w:rsid w:val="3BAC1821"/>
    <w:rsid w:val="3BAC5E63"/>
    <w:rsid w:val="3BAC628D"/>
    <w:rsid w:val="3BC60A9D"/>
    <w:rsid w:val="3BD81646"/>
    <w:rsid w:val="3BE81FCD"/>
    <w:rsid w:val="3BEE28FF"/>
    <w:rsid w:val="3BFC64A2"/>
    <w:rsid w:val="3C0B0DDB"/>
    <w:rsid w:val="3C4877ED"/>
    <w:rsid w:val="3C547B47"/>
    <w:rsid w:val="3C5A58BF"/>
    <w:rsid w:val="3C5B37E7"/>
    <w:rsid w:val="3C6127A9"/>
    <w:rsid w:val="3C636171"/>
    <w:rsid w:val="3C664263"/>
    <w:rsid w:val="3C706B34"/>
    <w:rsid w:val="3C8674DF"/>
    <w:rsid w:val="3C911248"/>
    <w:rsid w:val="3CA479E0"/>
    <w:rsid w:val="3CD147A4"/>
    <w:rsid w:val="3CD66855"/>
    <w:rsid w:val="3CDA6FAE"/>
    <w:rsid w:val="3CDF60CE"/>
    <w:rsid w:val="3CF93E6F"/>
    <w:rsid w:val="3D0329CE"/>
    <w:rsid w:val="3D3A30E3"/>
    <w:rsid w:val="3D424389"/>
    <w:rsid w:val="3D504798"/>
    <w:rsid w:val="3D5E3B4D"/>
    <w:rsid w:val="3D63018E"/>
    <w:rsid w:val="3D6407A3"/>
    <w:rsid w:val="3DAE5EC2"/>
    <w:rsid w:val="3DB95AEB"/>
    <w:rsid w:val="3DBC024A"/>
    <w:rsid w:val="3DCF659A"/>
    <w:rsid w:val="3DD96D0B"/>
    <w:rsid w:val="3DEC0798"/>
    <w:rsid w:val="3DEC564C"/>
    <w:rsid w:val="3DEE5BAB"/>
    <w:rsid w:val="3DF15ED1"/>
    <w:rsid w:val="3DFD4AF1"/>
    <w:rsid w:val="3E276F6E"/>
    <w:rsid w:val="3E4B4094"/>
    <w:rsid w:val="3E636451"/>
    <w:rsid w:val="3E6F5651"/>
    <w:rsid w:val="3E8D3D29"/>
    <w:rsid w:val="3E95498C"/>
    <w:rsid w:val="3EBA2645"/>
    <w:rsid w:val="3ED63527"/>
    <w:rsid w:val="3ED67B55"/>
    <w:rsid w:val="3EE70C7C"/>
    <w:rsid w:val="3EEF6C51"/>
    <w:rsid w:val="3F057D64"/>
    <w:rsid w:val="3F075CC4"/>
    <w:rsid w:val="3F21712E"/>
    <w:rsid w:val="3F275F2C"/>
    <w:rsid w:val="3F285DF0"/>
    <w:rsid w:val="3F2C29E1"/>
    <w:rsid w:val="3F384C10"/>
    <w:rsid w:val="3F5A28C3"/>
    <w:rsid w:val="3FA4757D"/>
    <w:rsid w:val="3FAA3C10"/>
    <w:rsid w:val="3FB43DF9"/>
    <w:rsid w:val="3FD3204B"/>
    <w:rsid w:val="3FF51B86"/>
    <w:rsid w:val="3FFD6C8D"/>
    <w:rsid w:val="40193A36"/>
    <w:rsid w:val="40204729"/>
    <w:rsid w:val="404011A2"/>
    <w:rsid w:val="40402FA6"/>
    <w:rsid w:val="40584539"/>
    <w:rsid w:val="405D1A2A"/>
    <w:rsid w:val="40612D9E"/>
    <w:rsid w:val="40782251"/>
    <w:rsid w:val="40A23968"/>
    <w:rsid w:val="40BA4B7E"/>
    <w:rsid w:val="40C55EA8"/>
    <w:rsid w:val="40C61775"/>
    <w:rsid w:val="40CF687B"/>
    <w:rsid w:val="40DB409D"/>
    <w:rsid w:val="40E972DF"/>
    <w:rsid w:val="40ED136E"/>
    <w:rsid w:val="40F24F08"/>
    <w:rsid w:val="411E6EBB"/>
    <w:rsid w:val="41250249"/>
    <w:rsid w:val="412D5718"/>
    <w:rsid w:val="41480E16"/>
    <w:rsid w:val="414B08D8"/>
    <w:rsid w:val="414C2E08"/>
    <w:rsid w:val="414F3F68"/>
    <w:rsid w:val="41582082"/>
    <w:rsid w:val="41872CB2"/>
    <w:rsid w:val="41874A60"/>
    <w:rsid w:val="41BA6D64"/>
    <w:rsid w:val="41BE544A"/>
    <w:rsid w:val="41C4132E"/>
    <w:rsid w:val="41D35EF7"/>
    <w:rsid w:val="41DA7286"/>
    <w:rsid w:val="42063A3A"/>
    <w:rsid w:val="4214405D"/>
    <w:rsid w:val="42171D70"/>
    <w:rsid w:val="42183589"/>
    <w:rsid w:val="42341E97"/>
    <w:rsid w:val="42376E3B"/>
    <w:rsid w:val="42613503"/>
    <w:rsid w:val="427721CF"/>
    <w:rsid w:val="428627B5"/>
    <w:rsid w:val="429A0F55"/>
    <w:rsid w:val="42A31D6D"/>
    <w:rsid w:val="42AC6B19"/>
    <w:rsid w:val="42B20202"/>
    <w:rsid w:val="42BB7663"/>
    <w:rsid w:val="42C700D1"/>
    <w:rsid w:val="42F779C3"/>
    <w:rsid w:val="430D368B"/>
    <w:rsid w:val="431E02ED"/>
    <w:rsid w:val="433E55F2"/>
    <w:rsid w:val="4355293C"/>
    <w:rsid w:val="43827BD5"/>
    <w:rsid w:val="438356FB"/>
    <w:rsid w:val="438374A9"/>
    <w:rsid w:val="43994DD7"/>
    <w:rsid w:val="439B2D87"/>
    <w:rsid w:val="43AC3ED1"/>
    <w:rsid w:val="43BE41CB"/>
    <w:rsid w:val="43F202D8"/>
    <w:rsid w:val="43F45BD0"/>
    <w:rsid w:val="43FB478E"/>
    <w:rsid w:val="43FC6D22"/>
    <w:rsid w:val="440873F8"/>
    <w:rsid w:val="4411001F"/>
    <w:rsid w:val="44142073"/>
    <w:rsid w:val="44301B45"/>
    <w:rsid w:val="443C78D0"/>
    <w:rsid w:val="443F3F3E"/>
    <w:rsid w:val="44555450"/>
    <w:rsid w:val="445D7297"/>
    <w:rsid w:val="446A1915"/>
    <w:rsid w:val="449C1238"/>
    <w:rsid w:val="449F0024"/>
    <w:rsid w:val="44A1052F"/>
    <w:rsid w:val="44B10EA1"/>
    <w:rsid w:val="44B53FC2"/>
    <w:rsid w:val="44B546FA"/>
    <w:rsid w:val="44BF2CE3"/>
    <w:rsid w:val="44D83825"/>
    <w:rsid w:val="44E14D9A"/>
    <w:rsid w:val="44E16B7D"/>
    <w:rsid w:val="44EC452F"/>
    <w:rsid w:val="44FC597B"/>
    <w:rsid w:val="451707F1"/>
    <w:rsid w:val="451A1577"/>
    <w:rsid w:val="452901CE"/>
    <w:rsid w:val="453E08E3"/>
    <w:rsid w:val="456078ED"/>
    <w:rsid w:val="456F753C"/>
    <w:rsid w:val="45AA3413"/>
    <w:rsid w:val="45C30031"/>
    <w:rsid w:val="45C53E45"/>
    <w:rsid w:val="45D43FEC"/>
    <w:rsid w:val="45D60368"/>
    <w:rsid w:val="46001285"/>
    <w:rsid w:val="46050649"/>
    <w:rsid w:val="462211FB"/>
    <w:rsid w:val="462417D4"/>
    <w:rsid w:val="463A4797"/>
    <w:rsid w:val="463C5F52"/>
    <w:rsid w:val="46431172"/>
    <w:rsid w:val="464521E7"/>
    <w:rsid w:val="46455732"/>
    <w:rsid w:val="46495120"/>
    <w:rsid w:val="466B19C4"/>
    <w:rsid w:val="467D4684"/>
    <w:rsid w:val="46AB281B"/>
    <w:rsid w:val="46B67B95"/>
    <w:rsid w:val="46C97C75"/>
    <w:rsid w:val="46D00C57"/>
    <w:rsid w:val="46D6477E"/>
    <w:rsid w:val="46E94D27"/>
    <w:rsid w:val="46EF27ED"/>
    <w:rsid w:val="46EF355C"/>
    <w:rsid w:val="471274C2"/>
    <w:rsid w:val="47233BB3"/>
    <w:rsid w:val="472657A6"/>
    <w:rsid w:val="473F3908"/>
    <w:rsid w:val="47406A95"/>
    <w:rsid w:val="474C71FC"/>
    <w:rsid w:val="474D6260"/>
    <w:rsid w:val="4754581B"/>
    <w:rsid w:val="47625A6E"/>
    <w:rsid w:val="4779309D"/>
    <w:rsid w:val="477F442B"/>
    <w:rsid w:val="478A7058"/>
    <w:rsid w:val="47925F0D"/>
    <w:rsid w:val="47946129"/>
    <w:rsid w:val="47963FF7"/>
    <w:rsid w:val="47A3636C"/>
    <w:rsid w:val="47A85096"/>
    <w:rsid w:val="47AD0D2F"/>
    <w:rsid w:val="47AF44AD"/>
    <w:rsid w:val="47AF4D11"/>
    <w:rsid w:val="47C75C4C"/>
    <w:rsid w:val="47CD0DEC"/>
    <w:rsid w:val="47CD5197"/>
    <w:rsid w:val="47D112E0"/>
    <w:rsid w:val="47F00E85"/>
    <w:rsid w:val="48041AAC"/>
    <w:rsid w:val="480D3A23"/>
    <w:rsid w:val="483A0C1F"/>
    <w:rsid w:val="4846741F"/>
    <w:rsid w:val="484D0086"/>
    <w:rsid w:val="484E4529"/>
    <w:rsid w:val="485C55E7"/>
    <w:rsid w:val="485C7379"/>
    <w:rsid w:val="48954542"/>
    <w:rsid w:val="48AB372A"/>
    <w:rsid w:val="48B06F92"/>
    <w:rsid w:val="48DA7B6B"/>
    <w:rsid w:val="49175151"/>
    <w:rsid w:val="492872E4"/>
    <w:rsid w:val="493A64EB"/>
    <w:rsid w:val="4941669C"/>
    <w:rsid w:val="494B6C4D"/>
    <w:rsid w:val="4958156F"/>
    <w:rsid w:val="496C2214"/>
    <w:rsid w:val="496D5E51"/>
    <w:rsid w:val="496D7ED3"/>
    <w:rsid w:val="49861160"/>
    <w:rsid w:val="49883A05"/>
    <w:rsid w:val="49933A5A"/>
    <w:rsid w:val="49B74940"/>
    <w:rsid w:val="49C03205"/>
    <w:rsid w:val="49C2084A"/>
    <w:rsid w:val="49C660D4"/>
    <w:rsid w:val="49D16BE6"/>
    <w:rsid w:val="49FD12F9"/>
    <w:rsid w:val="49FE5F91"/>
    <w:rsid w:val="4A026F25"/>
    <w:rsid w:val="4A0E4BFD"/>
    <w:rsid w:val="4A1A5506"/>
    <w:rsid w:val="4A1C041F"/>
    <w:rsid w:val="4A372155"/>
    <w:rsid w:val="4A3749D0"/>
    <w:rsid w:val="4A3D7280"/>
    <w:rsid w:val="4A553B36"/>
    <w:rsid w:val="4A6726BA"/>
    <w:rsid w:val="4A783AE0"/>
    <w:rsid w:val="4A8A6B0D"/>
    <w:rsid w:val="4A8F7AF1"/>
    <w:rsid w:val="4AA448D5"/>
    <w:rsid w:val="4ACC7988"/>
    <w:rsid w:val="4AD877C8"/>
    <w:rsid w:val="4AE271AB"/>
    <w:rsid w:val="4AEA67B3"/>
    <w:rsid w:val="4B2E0642"/>
    <w:rsid w:val="4B4900AE"/>
    <w:rsid w:val="4B6021EA"/>
    <w:rsid w:val="4B6B0F4E"/>
    <w:rsid w:val="4B6F679E"/>
    <w:rsid w:val="4B83273C"/>
    <w:rsid w:val="4BB5666E"/>
    <w:rsid w:val="4BEB6533"/>
    <w:rsid w:val="4C0263CE"/>
    <w:rsid w:val="4C2555A1"/>
    <w:rsid w:val="4C266086"/>
    <w:rsid w:val="4C3618DB"/>
    <w:rsid w:val="4C4F0AB3"/>
    <w:rsid w:val="4C531C47"/>
    <w:rsid w:val="4C586FC6"/>
    <w:rsid w:val="4C5D0796"/>
    <w:rsid w:val="4C6360FE"/>
    <w:rsid w:val="4C72455F"/>
    <w:rsid w:val="4C793B3F"/>
    <w:rsid w:val="4C8E75EA"/>
    <w:rsid w:val="4C9C194B"/>
    <w:rsid w:val="4CC15AE1"/>
    <w:rsid w:val="4CC35BEB"/>
    <w:rsid w:val="4CCF60BD"/>
    <w:rsid w:val="4CD02929"/>
    <w:rsid w:val="4CD370C7"/>
    <w:rsid w:val="4CDE5035"/>
    <w:rsid w:val="4CE41265"/>
    <w:rsid w:val="4D103667"/>
    <w:rsid w:val="4D185106"/>
    <w:rsid w:val="4D1A59F9"/>
    <w:rsid w:val="4D363E53"/>
    <w:rsid w:val="4D3701CB"/>
    <w:rsid w:val="4D386DDA"/>
    <w:rsid w:val="4D4B7AFC"/>
    <w:rsid w:val="4D715F84"/>
    <w:rsid w:val="4D9229C5"/>
    <w:rsid w:val="4D953FDE"/>
    <w:rsid w:val="4D9C7AE5"/>
    <w:rsid w:val="4D9E1AAF"/>
    <w:rsid w:val="4DA501AA"/>
    <w:rsid w:val="4DAA3EA7"/>
    <w:rsid w:val="4DB4344C"/>
    <w:rsid w:val="4DB51455"/>
    <w:rsid w:val="4DC62FE4"/>
    <w:rsid w:val="4DED4BFE"/>
    <w:rsid w:val="4DEE61D1"/>
    <w:rsid w:val="4E0005F3"/>
    <w:rsid w:val="4E0E6509"/>
    <w:rsid w:val="4E186966"/>
    <w:rsid w:val="4E3F2CAA"/>
    <w:rsid w:val="4E4854B2"/>
    <w:rsid w:val="4E5263F6"/>
    <w:rsid w:val="4E6951D8"/>
    <w:rsid w:val="4E78439B"/>
    <w:rsid w:val="4E7B1363"/>
    <w:rsid w:val="4E8A3DE2"/>
    <w:rsid w:val="4ED65CB0"/>
    <w:rsid w:val="4EE84443"/>
    <w:rsid w:val="4F0352F3"/>
    <w:rsid w:val="4F135B85"/>
    <w:rsid w:val="4F2D30F6"/>
    <w:rsid w:val="4F3F2683"/>
    <w:rsid w:val="4F58517B"/>
    <w:rsid w:val="4F5E5D57"/>
    <w:rsid w:val="4F5F526E"/>
    <w:rsid w:val="4F664600"/>
    <w:rsid w:val="4F6C109F"/>
    <w:rsid w:val="4F7A20A8"/>
    <w:rsid w:val="4F846A83"/>
    <w:rsid w:val="4F8847C5"/>
    <w:rsid w:val="4F90367A"/>
    <w:rsid w:val="4F98252E"/>
    <w:rsid w:val="4F993C1F"/>
    <w:rsid w:val="4F9A241D"/>
    <w:rsid w:val="4FA52839"/>
    <w:rsid w:val="4FA60096"/>
    <w:rsid w:val="4FA831D2"/>
    <w:rsid w:val="4FB6798D"/>
    <w:rsid w:val="4FBC575D"/>
    <w:rsid w:val="4FC1120E"/>
    <w:rsid w:val="4FCF5F48"/>
    <w:rsid w:val="4FD77F76"/>
    <w:rsid w:val="4FDC68BF"/>
    <w:rsid w:val="50165391"/>
    <w:rsid w:val="501A73E7"/>
    <w:rsid w:val="502D711A"/>
    <w:rsid w:val="503469BD"/>
    <w:rsid w:val="503844DC"/>
    <w:rsid w:val="504E0E81"/>
    <w:rsid w:val="5057648D"/>
    <w:rsid w:val="505B18D4"/>
    <w:rsid w:val="50621059"/>
    <w:rsid w:val="508A5DF4"/>
    <w:rsid w:val="50940F47"/>
    <w:rsid w:val="50970A38"/>
    <w:rsid w:val="509C1BAA"/>
    <w:rsid w:val="50A8054F"/>
    <w:rsid w:val="50A820D4"/>
    <w:rsid w:val="50AD422D"/>
    <w:rsid w:val="50AD4A4F"/>
    <w:rsid w:val="50D37CC2"/>
    <w:rsid w:val="50D57015"/>
    <w:rsid w:val="50E84DEF"/>
    <w:rsid w:val="50F56EA0"/>
    <w:rsid w:val="5107796B"/>
    <w:rsid w:val="5108607B"/>
    <w:rsid w:val="51171918"/>
    <w:rsid w:val="511B41EA"/>
    <w:rsid w:val="512C73D2"/>
    <w:rsid w:val="512C7ED2"/>
    <w:rsid w:val="51450494"/>
    <w:rsid w:val="5148134E"/>
    <w:rsid w:val="51510BE7"/>
    <w:rsid w:val="5164091A"/>
    <w:rsid w:val="51677F27"/>
    <w:rsid w:val="518F170F"/>
    <w:rsid w:val="51A056CA"/>
    <w:rsid w:val="51A451BA"/>
    <w:rsid w:val="51B80BAA"/>
    <w:rsid w:val="51BF28E4"/>
    <w:rsid w:val="51C1288B"/>
    <w:rsid w:val="51DC2283"/>
    <w:rsid w:val="51E657D3"/>
    <w:rsid w:val="51EA1F0C"/>
    <w:rsid w:val="51FB798D"/>
    <w:rsid w:val="51FC4FF6"/>
    <w:rsid w:val="520B6FE7"/>
    <w:rsid w:val="522B58DB"/>
    <w:rsid w:val="52477F24"/>
    <w:rsid w:val="524B7D2C"/>
    <w:rsid w:val="52501DAB"/>
    <w:rsid w:val="5256651E"/>
    <w:rsid w:val="526B23B2"/>
    <w:rsid w:val="52730B44"/>
    <w:rsid w:val="52733A71"/>
    <w:rsid w:val="5277467D"/>
    <w:rsid w:val="529C0587"/>
    <w:rsid w:val="52A5743C"/>
    <w:rsid w:val="52AE4870"/>
    <w:rsid w:val="52BD5936"/>
    <w:rsid w:val="52C378C2"/>
    <w:rsid w:val="52C7501B"/>
    <w:rsid w:val="52C8137C"/>
    <w:rsid w:val="52C86D86"/>
    <w:rsid w:val="52D27B05"/>
    <w:rsid w:val="52E53CDC"/>
    <w:rsid w:val="52E73435"/>
    <w:rsid w:val="52EF6909"/>
    <w:rsid w:val="52F56F98"/>
    <w:rsid w:val="531E2D4A"/>
    <w:rsid w:val="533802B0"/>
    <w:rsid w:val="5349426B"/>
    <w:rsid w:val="53570DD0"/>
    <w:rsid w:val="535C7948"/>
    <w:rsid w:val="536C61AC"/>
    <w:rsid w:val="53764934"/>
    <w:rsid w:val="537979E1"/>
    <w:rsid w:val="53861A20"/>
    <w:rsid w:val="538816E0"/>
    <w:rsid w:val="53BD18F1"/>
    <w:rsid w:val="53D8114B"/>
    <w:rsid w:val="53E04DBD"/>
    <w:rsid w:val="53EF674A"/>
    <w:rsid w:val="53F669EB"/>
    <w:rsid w:val="54041F40"/>
    <w:rsid w:val="5420228D"/>
    <w:rsid w:val="54322F51"/>
    <w:rsid w:val="543D1818"/>
    <w:rsid w:val="544B3EE9"/>
    <w:rsid w:val="546538BA"/>
    <w:rsid w:val="5468108F"/>
    <w:rsid w:val="54756AF5"/>
    <w:rsid w:val="5483555B"/>
    <w:rsid w:val="548A4B3B"/>
    <w:rsid w:val="548B71EB"/>
    <w:rsid w:val="549A6186"/>
    <w:rsid w:val="549F69EF"/>
    <w:rsid w:val="54E0475B"/>
    <w:rsid w:val="54EA6C0E"/>
    <w:rsid w:val="54F81DF6"/>
    <w:rsid w:val="5503044A"/>
    <w:rsid w:val="55201C9C"/>
    <w:rsid w:val="5523208A"/>
    <w:rsid w:val="552F56E3"/>
    <w:rsid w:val="5549554B"/>
    <w:rsid w:val="554D1A31"/>
    <w:rsid w:val="55782BA3"/>
    <w:rsid w:val="5592206E"/>
    <w:rsid w:val="55A27C63"/>
    <w:rsid w:val="55BB0D24"/>
    <w:rsid w:val="55C776C9"/>
    <w:rsid w:val="55DB2EFA"/>
    <w:rsid w:val="55DD6540"/>
    <w:rsid w:val="55EB238D"/>
    <w:rsid w:val="55F87E98"/>
    <w:rsid w:val="561B1CE0"/>
    <w:rsid w:val="562B4FD7"/>
    <w:rsid w:val="563A7E9B"/>
    <w:rsid w:val="56725887"/>
    <w:rsid w:val="568B419B"/>
    <w:rsid w:val="569752EE"/>
    <w:rsid w:val="569F23F4"/>
    <w:rsid w:val="56AA5F28"/>
    <w:rsid w:val="56B506F1"/>
    <w:rsid w:val="56B7303F"/>
    <w:rsid w:val="56B934B6"/>
    <w:rsid w:val="56D02B61"/>
    <w:rsid w:val="56D71B8E"/>
    <w:rsid w:val="56DF6C95"/>
    <w:rsid w:val="57165E73"/>
    <w:rsid w:val="57305C46"/>
    <w:rsid w:val="57394A4D"/>
    <w:rsid w:val="57547004"/>
    <w:rsid w:val="575C2093"/>
    <w:rsid w:val="57631EDC"/>
    <w:rsid w:val="576F0018"/>
    <w:rsid w:val="5774562F"/>
    <w:rsid w:val="579857A6"/>
    <w:rsid w:val="579F74A6"/>
    <w:rsid w:val="57A36349"/>
    <w:rsid w:val="57AC4DC9"/>
    <w:rsid w:val="57B44CCE"/>
    <w:rsid w:val="57C71C02"/>
    <w:rsid w:val="57E74DAE"/>
    <w:rsid w:val="58187D01"/>
    <w:rsid w:val="584315C4"/>
    <w:rsid w:val="586E207E"/>
    <w:rsid w:val="586E3461"/>
    <w:rsid w:val="586E7274"/>
    <w:rsid w:val="588A02D8"/>
    <w:rsid w:val="589D0BB5"/>
    <w:rsid w:val="58C12EE1"/>
    <w:rsid w:val="58DA784C"/>
    <w:rsid w:val="58DE5456"/>
    <w:rsid w:val="591744C4"/>
    <w:rsid w:val="594204CF"/>
    <w:rsid w:val="594A2AEB"/>
    <w:rsid w:val="5951357A"/>
    <w:rsid w:val="59544BDF"/>
    <w:rsid w:val="597B2CA5"/>
    <w:rsid w:val="59854011"/>
    <w:rsid w:val="599223FD"/>
    <w:rsid w:val="59941601"/>
    <w:rsid w:val="59965D30"/>
    <w:rsid w:val="59A117BD"/>
    <w:rsid w:val="59B03041"/>
    <w:rsid w:val="59BA45FA"/>
    <w:rsid w:val="59C33F06"/>
    <w:rsid w:val="59C962AE"/>
    <w:rsid w:val="59D10B16"/>
    <w:rsid w:val="59D625D1"/>
    <w:rsid w:val="5A0738B3"/>
    <w:rsid w:val="5A126AC9"/>
    <w:rsid w:val="5A20479B"/>
    <w:rsid w:val="5A47527D"/>
    <w:rsid w:val="5A594B8D"/>
    <w:rsid w:val="5A7B0A82"/>
    <w:rsid w:val="5A8E36CC"/>
    <w:rsid w:val="5AAC3332"/>
    <w:rsid w:val="5ABF5916"/>
    <w:rsid w:val="5AC3781F"/>
    <w:rsid w:val="5AD71A00"/>
    <w:rsid w:val="5B1B1714"/>
    <w:rsid w:val="5B242EC8"/>
    <w:rsid w:val="5B280C0A"/>
    <w:rsid w:val="5B3E6680"/>
    <w:rsid w:val="5B413A7A"/>
    <w:rsid w:val="5B4325A2"/>
    <w:rsid w:val="5B4672E2"/>
    <w:rsid w:val="5B4E481E"/>
    <w:rsid w:val="5B601CC1"/>
    <w:rsid w:val="5B813346"/>
    <w:rsid w:val="5B871DD5"/>
    <w:rsid w:val="5BA265DE"/>
    <w:rsid w:val="5BA46CE2"/>
    <w:rsid w:val="5BCE7981"/>
    <w:rsid w:val="5BD41136"/>
    <w:rsid w:val="5BD54692"/>
    <w:rsid w:val="5BD92F2A"/>
    <w:rsid w:val="5BE32D83"/>
    <w:rsid w:val="5BEA4FCD"/>
    <w:rsid w:val="5BEC1C38"/>
    <w:rsid w:val="5BF84A80"/>
    <w:rsid w:val="5BFA4B6A"/>
    <w:rsid w:val="5C003935"/>
    <w:rsid w:val="5C043425"/>
    <w:rsid w:val="5C124BEB"/>
    <w:rsid w:val="5C1F498A"/>
    <w:rsid w:val="5C25339C"/>
    <w:rsid w:val="5C4B3416"/>
    <w:rsid w:val="5C4D0F4D"/>
    <w:rsid w:val="5C4F21C6"/>
    <w:rsid w:val="5C504241"/>
    <w:rsid w:val="5C6550CC"/>
    <w:rsid w:val="5C7731D7"/>
    <w:rsid w:val="5C826B51"/>
    <w:rsid w:val="5CA61CCA"/>
    <w:rsid w:val="5CA61FE4"/>
    <w:rsid w:val="5CA67A5D"/>
    <w:rsid w:val="5CAA564F"/>
    <w:rsid w:val="5CAC7619"/>
    <w:rsid w:val="5CB526EE"/>
    <w:rsid w:val="5CC67A06"/>
    <w:rsid w:val="5CD718AB"/>
    <w:rsid w:val="5CDD125B"/>
    <w:rsid w:val="5D131446"/>
    <w:rsid w:val="5D1551BE"/>
    <w:rsid w:val="5D213E13"/>
    <w:rsid w:val="5D301FF8"/>
    <w:rsid w:val="5D3D7B55"/>
    <w:rsid w:val="5D4D4B67"/>
    <w:rsid w:val="5D692B4A"/>
    <w:rsid w:val="5D760DFE"/>
    <w:rsid w:val="5D972077"/>
    <w:rsid w:val="5DA87DE0"/>
    <w:rsid w:val="5DAB1143"/>
    <w:rsid w:val="5DB17D02"/>
    <w:rsid w:val="5DC0337C"/>
    <w:rsid w:val="5DCF2503"/>
    <w:rsid w:val="5DD619A0"/>
    <w:rsid w:val="5DD97B2E"/>
    <w:rsid w:val="5DE33377"/>
    <w:rsid w:val="5DE52DE2"/>
    <w:rsid w:val="5E183CFF"/>
    <w:rsid w:val="5E1E394A"/>
    <w:rsid w:val="5E2B7EEF"/>
    <w:rsid w:val="5E2C0A11"/>
    <w:rsid w:val="5E416216"/>
    <w:rsid w:val="5E4C10B3"/>
    <w:rsid w:val="5E50072C"/>
    <w:rsid w:val="5E52616B"/>
    <w:rsid w:val="5E67417C"/>
    <w:rsid w:val="5E6B1C04"/>
    <w:rsid w:val="5E6C3504"/>
    <w:rsid w:val="5E8048B9"/>
    <w:rsid w:val="5E912F6A"/>
    <w:rsid w:val="5E914D18"/>
    <w:rsid w:val="5E9345EC"/>
    <w:rsid w:val="5E946DA5"/>
    <w:rsid w:val="5E961741"/>
    <w:rsid w:val="5E9B254F"/>
    <w:rsid w:val="5EA05BE0"/>
    <w:rsid w:val="5EAE7678"/>
    <w:rsid w:val="5EBA601D"/>
    <w:rsid w:val="5EE673AD"/>
    <w:rsid w:val="5EF05EE3"/>
    <w:rsid w:val="5F0B4ACB"/>
    <w:rsid w:val="5F100333"/>
    <w:rsid w:val="5F5F0972"/>
    <w:rsid w:val="5F6441ED"/>
    <w:rsid w:val="5F6661A5"/>
    <w:rsid w:val="5F6A6AC8"/>
    <w:rsid w:val="5F6F6A29"/>
    <w:rsid w:val="5F84250C"/>
    <w:rsid w:val="5F866EC2"/>
    <w:rsid w:val="5F920EC8"/>
    <w:rsid w:val="5F9A5E4E"/>
    <w:rsid w:val="5F9E1348"/>
    <w:rsid w:val="5FA12D39"/>
    <w:rsid w:val="5FAA42E4"/>
    <w:rsid w:val="5FB66D02"/>
    <w:rsid w:val="5FC058B5"/>
    <w:rsid w:val="5FC41398"/>
    <w:rsid w:val="5FE311ED"/>
    <w:rsid w:val="5FE42E7C"/>
    <w:rsid w:val="5FF87C5D"/>
    <w:rsid w:val="600315B6"/>
    <w:rsid w:val="600E3B45"/>
    <w:rsid w:val="60273055"/>
    <w:rsid w:val="603242D9"/>
    <w:rsid w:val="60522285"/>
    <w:rsid w:val="605C5A30"/>
    <w:rsid w:val="60AE7E03"/>
    <w:rsid w:val="60B149D0"/>
    <w:rsid w:val="60B70030"/>
    <w:rsid w:val="60C90799"/>
    <w:rsid w:val="60D443A1"/>
    <w:rsid w:val="60DC2CC3"/>
    <w:rsid w:val="60E21853"/>
    <w:rsid w:val="61366D54"/>
    <w:rsid w:val="613720DD"/>
    <w:rsid w:val="614E6EF1"/>
    <w:rsid w:val="615755BD"/>
    <w:rsid w:val="615D2A65"/>
    <w:rsid w:val="61613BEB"/>
    <w:rsid w:val="61693D2A"/>
    <w:rsid w:val="61796574"/>
    <w:rsid w:val="61880654"/>
    <w:rsid w:val="6189617B"/>
    <w:rsid w:val="619E4563"/>
    <w:rsid w:val="619F63A8"/>
    <w:rsid w:val="61CD6067"/>
    <w:rsid w:val="61E06BEB"/>
    <w:rsid w:val="61FB44F2"/>
    <w:rsid w:val="625941A1"/>
    <w:rsid w:val="625C0D21"/>
    <w:rsid w:val="62671448"/>
    <w:rsid w:val="62726C0F"/>
    <w:rsid w:val="62875A90"/>
    <w:rsid w:val="629762BF"/>
    <w:rsid w:val="62B13E15"/>
    <w:rsid w:val="62B56ACB"/>
    <w:rsid w:val="62C30852"/>
    <w:rsid w:val="62E61DA2"/>
    <w:rsid w:val="62FA0C93"/>
    <w:rsid w:val="62FD472A"/>
    <w:rsid w:val="63065CD5"/>
    <w:rsid w:val="631421D2"/>
    <w:rsid w:val="633012F7"/>
    <w:rsid w:val="6333416A"/>
    <w:rsid w:val="63414F5F"/>
    <w:rsid w:val="636C0637"/>
    <w:rsid w:val="63AB062A"/>
    <w:rsid w:val="63C65464"/>
    <w:rsid w:val="63D60D6D"/>
    <w:rsid w:val="63DA0F0F"/>
    <w:rsid w:val="63DC4C88"/>
    <w:rsid w:val="64083EBA"/>
    <w:rsid w:val="640A6B8A"/>
    <w:rsid w:val="64243F39"/>
    <w:rsid w:val="643423CE"/>
    <w:rsid w:val="64430863"/>
    <w:rsid w:val="64441708"/>
    <w:rsid w:val="644B2E9F"/>
    <w:rsid w:val="6469042C"/>
    <w:rsid w:val="647D7FBC"/>
    <w:rsid w:val="64805613"/>
    <w:rsid w:val="648A0240"/>
    <w:rsid w:val="64B11C70"/>
    <w:rsid w:val="64BD5DA3"/>
    <w:rsid w:val="64C67161"/>
    <w:rsid w:val="64E42046"/>
    <w:rsid w:val="64EA5182"/>
    <w:rsid w:val="64EC297E"/>
    <w:rsid w:val="64F102BF"/>
    <w:rsid w:val="64FE364A"/>
    <w:rsid w:val="650D2C1F"/>
    <w:rsid w:val="65337EC4"/>
    <w:rsid w:val="654B7228"/>
    <w:rsid w:val="654D7C2E"/>
    <w:rsid w:val="65505F7C"/>
    <w:rsid w:val="6593581A"/>
    <w:rsid w:val="65C200D8"/>
    <w:rsid w:val="65C41297"/>
    <w:rsid w:val="65D969F1"/>
    <w:rsid w:val="65F468C3"/>
    <w:rsid w:val="66081D64"/>
    <w:rsid w:val="660B53B0"/>
    <w:rsid w:val="661669E2"/>
    <w:rsid w:val="661B76D3"/>
    <w:rsid w:val="662B74D0"/>
    <w:rsid w:val="662D3578"/>
    <w:rsid w:val="663F14FE"/>
    <w:rsid w:val="663F7253"/>
    <w:rsid w:val="66415147"/>
    <w:rsid w:val="664D7777"/>
    <w:rsid w:val="66763171"/>
    <w:rsid w:val="667D51BE"/>
    <w:rsid w:val="667E6793"/>
    <w:rsid w:val="66860EDB"/>
    <w:rsid w:val="669C0748"/>
    <w:rsid w:val="66A51361"/>
    <w:rsid w:val="66A80E51"/>
    <w:rsid w:val="66A8260B"/>
    <w:rsid w:val="66AB3962"/>
    <w:rsid w:val="66C12C09"/>
    <w:rsid w:val="66C15989"/>
    <w:rsid w:val="66C739CD"/>
    <w:rsid w:val="66C814F3"/>
    <w:rsid w:val="66DE6A20"/>
    <w:rsid w:val="66E6060C"/>
    <w:rsid w:val="66EB050D"/>
    <w:rsid w:val="67055E1B"/>
    <w:rsid w:val="672277D6"/>
    <w:rsid w:val="67290209"/>
    <w:rsid w:val="672F50CE"/>
    <w:rsid w:val="67355406"/>
    <w:rsid w:val="6739040E"/>
    <w:rsid w:val="675D60DF"/>
    <w:rsid w:val="676129D2"/>
    <w:rsid w:val="67644C59"/>
    <w:rsid w:val="677B490E"/>
    <w:rsid w:val="677B7C35"/>
    <w:rsid w:val="678673E4"/>
    <w:rsid w:val="678A6C8A"/>
    <w:rsid w:val="67955879"/>
    <w:rsid w:val="67B5271A"/>
    <w:rsid w:val="67B57CC9"/>
    <w:rsid w:val="67C021CA"/>
    <w:rsid w:val="67E916C6"/>
    <w:rsid w:val="67E934CF"/>
    <w:rsid w:val="67FE19E3"/>
    <w:rsid w:val="68071BA7"/>
    <w:rsid w:val="68125890"/>
    <w:rsid w:val="682E5386"/>
    <w:rsid w:val="683B4874"/>
    <w:rsid w:val="683F7593"/>
    <w:rsid w:val="684352D5"/>
    <w:rsid w:val="684A6664"/>
    <w:rsid w:val="684F3C7A"/>
    <w:rsid w:val="68766CEC"/>
    <w:rsid w:val="68A67612"/>
    <w:rsid w:val="68AE414D"/>
    <w:rsid w:val="68C6767F"/>
    <w:rsid w:val="68EB171F"/>
    <w:rsid w:val="68F12C01"/>
    <w:rsid w:val="68FA6539"/>
    <w:rsid w:val="69045669"/>
    <w:rsid w:val="69061428"/>
    <w:rsid w:val="690F3409"/>
    <w:rsid w:val="6927078B"/>
    <w:rsid w:val="69286279"/>
    <w:rsid w:val="693F5EA4"/>
    <w:rsid w:val="69460607"/>
    <w:rsid w:val="694858F0"/>
    <w:rsid w:val="69550BFB"/>
    <w:rsid w:val="696A6B29"/>
    <w:rsid w:val="69715E72"/>
    <w:rsid w:val="69750E21"/>
    <w:rsid w:val="6985687C"/>
    <w:rsid w:val="699851AD"/>
    <w:rsid w:val="69A048BD"/>
    <w:rsid w:val="69A71034"/>
    <w:rsid w:val="69A83492"/>
    <w:rsid w:val="69A9560C"/>
    <w:rsid w:val="69C27B02"/>
    <w:rsid w:val="69E623BC"/>
    <w:rsid w:val="69ED6F02"/>
    <w:rsid w:val="69EE7223"/>
    <w:rsid w:val="69FD14B4"/>
    <w:rsid w:val="6A056DDC"/>
    <w:rsid w:val="6A0E1913"/>
    <w:rsid w:val="6A1C0949"/>
    <w:rsid w:val="6A2E3F76"/>
    <w:rsid w:val="6A2E73C3"/>
    <w:rsid w:val="6A472B4C"/>
    <w:rsid w:val="6A63210D"/>
    <w:rsid w:val="6A8120E5"/>
    <w:rsid w:val="6A987C6F"/>
    <w:rsid w:val="6AAA1DFE"/>
    <w:rsid w:val="6AAF79FF"/>
    <w:rsid w:val="6AC00E5F"/>
    <w:rsid w:val="6AC33F7B"/>
    <w:rsid w:val="6AC60616"/>
    <w:rsid w:val="6AC87871"/>
    <w:rsid w:val="6AD26369"/>
    <w:rsid w:val="6AEB19C5"/>
    <w:rsid w:val="6AF40B09"/>
    <w:rsid w:val="6B193F82"/>
    <w:rsid w:val="6B3453A9"/>
    <w:rsid w:val="6B450D39"/>
    <w:rsid w:val="6B4A1FF9"/>
    <w:rsid w:val="6B592AF9"/>
    <w:rsid w:val="6B633598"/>
    <w:rsid w:val="6B7E44A8"/>
    <w:rsid w:val="6B802B7B"/>
    <w:rsid w:val="6B851761"/>
    <w:rsid w:val="6B9D2F4E"/>
    <w:rsid w:val="6BA22313"/>
    <w:rsid w:val="6BB32772"/>
    <w:rsid w:val="6BB641D1"/>
    <w:rsid w:val="6BDD77EF"/>
    <w:rsid w:val="6BE75F78"/>
    <w:rsid w:val="6BFB26B9"/>
    <w:rsid w:val="6C003F58"/>
    <w:rsid w:val="6C0510AF"/>
    <w:rsid w:val="6C0A12A0"/>
    <w:rsid w:val="6C1E27FB"/>
    <w:rsid w:val="6C2125B9"/>
    <w:rsid w:val="6C45127D"/>
    <w:rsid w:val="6C465394"/>
    <w:rsid w:val="6C477A48"/>
    <w:rsid w:val="6C4D6279"/>
    <w:rsid w:val="6C6B4DFB"/>
    <w:rsid w:val="6C80161C"/>
    <w:rsid w:val="6C8346BA"/>
    <w:rsid w:val="6C8C7A1A"/>
    <w:rsid w:val="6C8E07EB"/>
    <w:rsid w:val="6C922387"/>
    <w:rsid w:val="6CAA1C24"/>
    <w:rsid w:val="6CC5763D"/>
    <w:rsid w:val="6CD7449F"/>
    <w:rsid w:val="6CF43A7A"/>
    <w:rsid w:val="6CF803B7"/>
    <w:rsid w:val="6D281E21"/>
    <w:rsid w:val="6D295F60"/>
    <w:rsid w:val="6D347596"/>
    <w:rsid w:val="6D596E90"/>
    <w:rsid w:val="6D68758C"/>
    <w:rsid w:val="6D82064E"/>
    <w:rsid w:val="6DA07862"/>
    <w:rsid w:val="6DAB5AB0"/>
    <w:rsid w:val="6DAE7C8E"/>
    <w:rsid w:val="6DD864C0"/>
    <w:rsid w:val="6DE33684"/>
    <w:rsid w:val="6DE60B88"/>
    <w:rsid w:val="6DF33D76"/>
    <w:rsid w:val="6DF40A60"/>
    <w:rsid w:val="6DFD3487"/>
    <w:rsid w:val="6DFF1AAA"/>
    <w:rsid w:val="6E015BBB"/>
    <w:rsid w:val="6E061D25"/>
    <w:rsid w:val="6E0F7A08"/>
    <w:rsid w:val="6E2B7977"/>
    <w:rsid w:val="6E2E4063"/>
    <w:rsid w:val="6E3C285F"/>
    <w:rsid w:val="6E5E6D9D"/>
    <w:rsid w:val="6E772037"/>
    <w:rsid w:val="6E786804"/>
    <w:rsid w:val="6E846A90"/>
    <w:rsid w:val="6E9D5013"/>
    <w:rsid w:val="6ECB4CD8"/>
    <w:rsid w:val="6ECE1BA8"/>
    <w:rsid w:val="6ECF5D6D"/>
    <w:rsid w:val="6EDC418C"/>
    <w:rsid w:val="6EE67590"/>
    <w:rsid w:val="6EEA69AD"/>
    <w:rsid w:val="6EEE6498"/>
    <w:rsid w:val="6EFD1D73"/>
    <w:rsid w:val="6EFD5AB2"/>
    <w:rsid w:val="6F053C43"/>
    <w:rsid w:val="6F075837"/>
    <w:rsid w:val="6F1B6067"/>
    <w:rsid w:val="6F2620DC"/>
    <w:rsid w:val="6F28453E"/>
    <w:rsid w:val="6F4656AB"/>
    <w:rsid w:val="6F49551F"/>
    <w:rsid w:val="6F54601A"/>
    <w:rsid w:val="6F597080"/>
    <w:rsid w:val="6F626E48"/>
    <w:rsid w:val="6F812184"/>
    <w:rsid w:val="6F845B2B"/>
    <w:rsid w:val="6F970471"/>
    <w:rsid w:val="6F974654"/>
    <w:rsid w:val="6FC51A41"/>
    <w:rsid w:val="6FC532F8"/>
    <w:rsid w:val="6FE32EFA"/>
    <w:rsid w:val="6FEC1DAE"/>
    <w:rsid w:val="6FF8441E"/>
    <w:rsid w:val="70300C7F"/>
    <w:rsid w:val="70385739"/>
    <w:rsid w:val="704020FA"/>
    <w:rsid w:val="70457711"/>
    <w:rsid w:val="704A5564"/>
    <w:rsid w:val="70751679"/>
    <w:rsid w:val="708B47AA"/>
    <w:rsid w:val="70981E9C"/>
    <w:rsid w:val="709F2104"/>
    <w:rsid w:val="70A47E6A"/>
    <w:rsid w:val="70C36F04"/>
    <w:rsid w:val="70C740E1"/>
    <w:rsid w:val="70D319E7"/>
    <w:rsid w:val="70D75F53"/>
    <w:rsid w:val="70D80585"/>
    <w:rsid w:val="70EC468E"/>
    <w:rsid w:val="70EE7DA8"/>
    <w:rsid w:val="71082AAC"/>
    <w:rsid w:val="71202DBA"/>
    <w:rsid w:val="71902BFF"/>
    <w:rsid w:val="71A74762"/>
    <w:rsid w:val="71BA28B0"/>
    <w:rsid w:val="71D76943"/>
    <w:rsid w:val="72035AD5"/>
    <w:rsid w:val="72127AC6"/>
    <w:rsid w:val="72135D18"/>
    <w:rsid w:val="72145B17"/>
    <w:rsid w:val="72190E55"/>
    <w:rsid w:val="724759C2"/>
    <w:rsid w:val="72516841"/>
    <w:rsid w:val="726A16B0"/>
    <w:rsid w:val="726F7761"/>
    <w:rsid w:val="72780225"/>
    <w:rsid w:val="727C5F33"/>
    <w:rsid w:val="727F77F5"/>
    <w:rsid w:val="72816D82"/>
    <w:rsid w:val="729C3F60"/>
    <w:rsid w:val="72B70089"/>
    <w:rsid w:val="72B73C27"/>
    <w:rsid w:val="72C7009D"/>
    <w:rsid w:val="72FD42D3"/>
    <w:rsid w:val="72FF004B"/>
    <w:rsid w:val="731F249B"/>
    <w:rsid w:val="73253671"/>
    <w:rsid w:val="73306456"/>
    <w:rsid w:val="73317A27"/>
    <w:rsid w:val="73357E69"/>
    <w:rsid w:val="733817AF"/>
    <w:rsid w:val="735B6DB7"/>
    <w:rsid w:val="735C2691"/>
    <w:rsid w:val="737353DE"/>
    <w:rsid w:val="73767F05"/>
    <w:rsid w:val="7379604F"/>
    <w:rsid w:val="73886292"/>
    <w:rsid w:val="73935567"/>
    <w:rsid w:val="73A62438"/>
    <w:rsid w:val="73BA21C4"/>
    <w:rsid w:val="73BA3CC2"/>
    <w:rsid w:val="73BE02D8"/>
    <w:rsid w:val="73D50144"/>
    <w:rsid w:val="73F602AE"/>
    <w:rsid w:val="740D1EA9"/>
    <w:rsid w:val="741E5489"/>
    <w:rsid w:val="742F7A23"/>
    <w:rsid w:val="74325266"/>
    <w:rsid w:val="7452064E"/>
    <w:rsid w:val="745443C6"/>
    <w:rsid w:val="74685677"/>
    <w:rsid w:val="74895730"/>
    <w:rsid w:val="74943E9C"/>
    <w:rsid w:val="749A50E1"/>
    <w:rsid w:val="749B1FF5"/>
    <w:rsid w:val="74A0551B"/>
    <w:rsid w:val="74A30713"/>
    <w:rsid w:val="74B6122E"/>
    <w:rsid w:val="74CA6436"/>
    <w:rsid w:val="74EE481B"/>
    <w:rsid w:val="750F7705"/>
    <w:rsid w:val="75241FEA"/>
    <w:rsid w:val="75275B9B"/>
    <w:rsid w:val="752D0D38"/>
    <w:rsid w:val="753560F9"/>
    <w:rsid w:val="758A424E"/>
    <w:rsid w:val="758E3C4E"/>
    <w:rsid w:val="75947170"/>
    <w:rsid w:val="75B52BD6"/>
    <w:rsid w:val="75B72D40"/>
    <w:rsid w:val="75BB6DDA"/>
    <w:rsid w:val="75BC0475"/>
    <w:rsid w:val="75E85141"/>
    <w:rsid w:val="760A3051"/>
    <w:rsid w:val="761262E7"/>
    <w:rsid w:val="76155DFB"/>
    <w:rsid w:val="76230272"/>
    <w:rsid w:val="76263B40"/>
    <w:rsid w:val="76360227"/>
    <w:rsid w:val="76371C9A"/>
    <w:rsid w:val="763E40F3"/>
    <w:rsid w:val="76581B86"/>
    <w:rsid w:val="765A1DB4"/>
    <w:rsid w:val="765A68B9"/>
    <w:rsid w:val="7662023E"/>
    <w:rsid w:val="7684793E"/>
    <w:rsid w:val="76A235BC"/>
    <w:rsid w:val="76C02622"/>
    <w:rsid w:val="76F62536"/>
    <w:rsid w:val="76F63F8E"/>
    <w:rsid w:val="7705394C"/>
    <w:rsid w:val="77541DD9"/>
    <w:rsid w:val="775B3563"/>
    <w:rsid w:val="77737259"/>
    <w:rsid w:val="77750B1E"/>
    <w:rsid w:val="77785FC0"/>
    <w:rsid w:val="777C69F4"/>
    <w:rsid w:val="779D6D1F"/>
    <w:rsid w:val="77B37656"/>
    <w:rsid w:val="77C3377A"/>
    <w:rsid w:val="77C35AEB"/>
    <w:rsid w:val="77C655DB"/>
    <w:rsid w:val="77C74EAF"/>
    <w:rsid w:val="77DE46D3"/>
    <w:rsid w:val="77E617D9"/>
    <w:rsid w:val="77EB6DF0"/>
    <w:rsid w:val="77F43EF6"/>
    <w:rsid w:val="78024049"/>
    <w:rsid w:val="780802FA"/>
    <w:rsid w:val="78177082"/>
    <w:rsid w:val="78212811"/>
    <w:rsid w:val="78632E2A"/>
    <w:rsid w:val="787057C4"/>
    <w:rsid w:val="78727E4E"/>
    <w:rsid w:val="7873289B"/>
    <w:rsid w:val="787B63C5"/>
    <w:rsid w:val="78880AE2"/>
    <w:rsid w:val="78886D34"/>
    <w:rsid w:val="78A23952"/>
    <w:rsid w:val="78AE072B"/>
    <w:rsid w:val="78AE0DB3"/>
    <w:rsid w:val="78B638A1"/>
    <w:rsid w:val="78C7160B"/>
    <w:rsid w:val="78CE6947"/>
    <w:rsid w:val="791D122B"/>
    <w:rsid w:val="79294073"/>
    <w:rsid w:val="792B34EF"/>
    <w:rsid w:val="792B7DEB"/>
    <w:rsid w:val="793B3DA7"/>
    <w:rsid w:val="79420C91"/>
    <w:rsid w:val="797445F1"/>
    <w:rsid w:val="79821A9D"/>
    <w:rsid w:val="79A75DED"/>
    <w:rsid w:val="79BB0B66"/>
    <w:rsid w:val="79D02741"/>
    <w:rsid w:val="79F20909"/>
    <w:rsid w:val="7A0648A7"/>
    <w:rsid w:val="7A096D9E"/>
    <w:rsid w:val="7A0E5017"/>
    <w:rsid w:val="7A116EA2"/>
    <w:rsid w:val="7A1350B3"/>
    <w:rsid w:val="7A2041A1"/>
    <w:rsid w:val="7A2E7B6A"/>
    <w:rsid w:val="7A3D378A"/>
    <w:rsid w:val="7A4A42A1"/>
    <w:rsid w:val="7A4D2AE1"/>
    <w:rsid w:val="7A886B78"/>
    <w:rsid w:val="7A8D0632"/>
    <w:rsid w:val="7A940CEF"/>
    <w:rsid w:val="7AB908C6"/>
    <w:rsid w:val="7AC06311"/>
    <w:rsid w:val="7AEF6BF7"/>
    <w:rsid w:val="7AF97A75"/>
    <w:rsid w:val="7B5353D8"/>
    <w:rsid w:val="7B53600E"/>
    <w:rsid w:val="7B660B9C"/>
    <w:rsid w:val="7B7E43E3"/>
    <w:rsid w:val="7B864A64"/>
    <w:rsid w:val="7B973491"/>
    <w:rsid w:val="7BB87930"/>
    <w:rsid w:val="7BD15117"/>
    <w:rsid w:val="7BD27A5D"/>
    <w:rsid w:val="7BDF0A19"/>
    <w:rsid w:val="7BE1477E"/>
    <w:rsid w:val="7BED5740"/>
    <w:rsid w:val="7C010D1F"/>
    <w:rsid w:val="7C085991"/>
    <w:rsid w:val="7C445F6B"/>
    <w:rsid w:val="7C465062"/>
    <w:rsid w:val="7C4A67DB"/>
    <w:rsid w:val="7C4F3EB5"/>
    <w:rsid w:val="7C550AA2"/>
    <w:rsid w:val="7C5D397B"/>
    <w:rsid w:val="7C6B1D2B"/>
    <w:rsid w:val="7C75137E"/>
    <w:rsid w:val="7C923CDE"/>
    <w:rsid w:val="7C9C1750"/>
    <w:rsid w:val="7C9F18C8"/>
    <w:rsid w:val="7CA0289E"/>
    <w:rsid w:val="7D1564DB"/>
    <w:rsid w:val="7D1A3036"/>
    <w:rsid w:val="7D212011"/>
    <w:rsid w:val="7D2A660C"/>
    <w:rsid w:val="7D366731"/>
    <w:rsid w:val="7D3D1E9B"/>
    <w:rsid w:val="7D5353F5"/>
    <w:rsid w:val="7D552799"/>
    <w:rsid w:val="7D6F7660"/>
    <w:rsid w:val="7D7B1F42"/>
    <w:rsid w:val="7D8B6E4D"/>
    <w:rsid w:val="7D8E1243"/>
    <w:rsid w:val="7D935F5F"/>
    <w:rsid w:val="7DA95783"/>
    <w:rsid w:val="7DAA70EE"/>
    <w:rsid w:val="7DD32800"/>
    <w:rsid w:val="7DD52BE0"/>
    <w:rsid w:val="7DE467BB"/>
    <w:rsid w:val="7DFA7D8C"/>
    <w:rsid w:val="7E012B5A"/>
    <w:rsid w:val="7E09289C"/>
    <w:rsid w:val="7E133C92"/>
    <w:rsid w:val="7E150010"/>
    <w:rsid w:val="7E176C01"/>
    <w:rsid w:val="7E1A4D7A"/>
    <w:rsid w:val="7E2D63B4"/>
    <w:rsid w:val="7E35461F"/>
    <w:rsid w:val="7E361EBB"/>
    <w:rsid w:val="7E525835"/>
    <w:rsid w:val="7E5E47BF"/>
    <w:rsid w:val="7E5F4018"/>
    <w:rsid w:val="7E6943E0"/>
    <w:rsid w:val="7E7E10FB"/>
    <w:rsid w:val="7E843835"/>
    <w:rsid w:val="7E8C712F"/>
    <w:rsid w:val="7E993502"/>
    <w:rsid w:val="7EA87DB4"/>
    <w:rsid w:val="7ECA3E11"/>
    <w:rsid w:val="7ED405DD"/>
    <w:rsid w:val="7ED62316"/>
    <w:rsid w:val="7EE36A72"/>
    <w:rsid w:val="7EF4608E"/>
    <w:rsid w:val="7EFE1AFE"/>
    <w:rsid w:val="7F0A3FFF"/>
    <w:rsid w:val="7F196938"/>
    <w:rsid w:val="7F2210EE"/>
    <w:rsid w:val="7F46773E"/>
    <w:rsid w:val="7F4B6252"/>
    <w:rsid w:val="7F547970"/>
    <w:rsid w:val="7F5E2CF2"/>
    <w:rsid w:val="7F7B4EFD"/>
    <w:rsid w:val="7FAE0E2E"/>
    <w:rsid w:val="7FBA59C5"/>
    <w:rsid w:val="7FCC4CBB"/>
    <w:rsid w:val="7FE14118"/>
    <w:rsid w:val="7FEE1B73"/>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jc w:val="left"/>
    </w:pPr>
    <w:rPr>
      <w:rFonts w:asciiTheme="minorHAnsi" w:hAnsiTheme="minorHAnsi" w:eastAsiaTheme="minorEastAsia" w:cstheme="minorBidi"/>
      <w:kern w:val="0"/>
      <w:sz w:val="24"/>
      <w:szCs w:val="24"/>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5">
    <w:name w:val="Body Text"/>
    <w:basedOn w:val="1"/>
    <w:next w:val="6"/>
    <w:autoRedefine/>
    <w:qFormat/>
    <w:uiPriority w:val="1"/>
    <w:rPr>
      <w:sz w:val="28"/>
      <w:szCs w:val="28"/>
    </w:rPr>
  </w:style>
  <w:style w:type="paragraph" w:styleId="6">
    <w:name w:val="toc 5"/>
    <w:basedOn w:val="1"/>
    <w:next w:val="1"/>
    <w:qFormat/>
    <w:uiPriority w:val="0"/>
    <w:pPr>
      <w:ind w:left="1680" w:leftChars="800"/>
    </w:pPr>
    <w:rPr>
      <w:rFonts w:ascii="Times New Roman" w:hAnsi="Times New Roman" w:eastAsia="宋体" w:cs="Times New Roman"/>
      <w:szCs w:val="24"/>
    </w:rPr>
  </w:style>
  <w:style w:type="paragraph" w:styleId="7">
    <w:name w:val="Body Text Indent"/>
    <w:basedOn w:val="1"/>
    <w:qFormat/>
    <w:uiPriority w:val="0"/>
    <w:pPr>
      <w:ind w:firstLine="720" w:firstLineChars="257"/>
    </w:pPr>
    <w:rPr>
      <w:rFonts w:ascii="Calibri" w:hAnsi="Calibri" w:cs="Times New Roman"/>
      <w:kern w:val="0"/>
      <w:sz w:val="20"/>
    </w:rPr>
  </w:style>
  <w:style w:type="paragraph" w:styleId="8">
    <w:name w:val="footer"/>
    <w:basedOn w:val="1"/>
    <w:unhideWhenUsed/>
    <w:qFormat/>
    <w:uiPriority w:val="99"/>
    <w:pPr>
      <w:tabs>
        <w:tab w:val="center" w:pos="4153"/>
        <w:tab w:val="right" w:pos="8306"/>
      </w:tabs>
      <w:snapToGrid w:val="0"/>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autoRedefine/>
    <w:qFormat/>
    <w:uiPriority w:val="0"/>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2"/>
    <w:basedOn w:val="7"/>
    <w:qFormat/>
    <w:uiPriority w:val="0"/>
    <w:pPr>
      <w:ind w:firstLine="420" w:firstLineChars="200"/>
    </w:p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paragraph" w:customStyle="1" w:styleId="18">
    <w:name w:val="Table Text"/>
    <w:basedOn w:val="1"/>
    <w:autoRedefine/>
    <w:semiHidden/>
    <w:qFormat/>
    <w:uiPriority w:val="0"/>
    <w:rPr>
      <w:rFonts w:ascii="宋体" w:hAnsi="宋体" w:eastAsia="宋体" w:cs="宋体"/>
      <w:sz w:val="18"/>
      <w:szCs w:val="18"/>
      <w:lang w:val="en-US" w:eastAsia="en-US" w:bidi="ar-SA"/>
    </w:rPr>
  </w:style>
  <w:style w:type="character" w:customStyle="1" w:styleId="19">
    <w:name w:val="font41"/>
    <w:basedOn w:val="16"/>
    <w:autoRedefine/>
    <w:qFormat/>
    <w:uiPriority w:val="0"/>
    <w:rPr>
      <w:rFonts w:hint="eastAsia" w:ascii="宋体" w:hAnsi="宋体" w:eastAsia="宋体" w:cs="宋体"/>
      <w:color w:val="000000"/>
      <w:sz w:val="18"/>
      <w:szCs w:val="18"/>
      <w:u w:val="none"/>
    </w:rPr>
  </w:style>
  <w:style w:type="character" w:customStyle="1" w:styleId="20">
    <w:name w:val="font51"/>
    <w:basedOn w:val="16"/>
    <w:autoRedefine/>
    <w:qFormat/>
    <w:uiPriority w:val="0"/>
    <w:rPr>
      <w:rFonts w:hint="eastAsia" w:ascii="宋体" w:hAnsi="宋体" w:eastAsia="宋体" w:cs="宋体"/>
      <w:color w:val="000000"/>
      <w:sz w:val="18"/>
      <w:szCs w:val="18"/>
      <w:u w:val="none"/>
    </w:rPr>
  </w:style>
  <w:style w:type="character" w:customStyle="1" w:styleId="21">
    <w:name w:val="font11"/>
    <w:basedOn w:val="16"/>
    <w:qFormat/>
    <w:uiPriority w:val="0"/>
    <w:rPr>
      <w:rFonts w:hint="eastAsia" w:ascii="宋体" w:hAnsi="宋体" w:eastAsia="宋体" w:cs="宋体"/>
      <w:color w:val="000000"/>
      <w:sz w:val="22"/>
      <w:szCs w:val="22"/>
      <w:u w:val="none"/>
    </w:rPr>
  </w:style>
  <w:style w:type="character" w:customStyle="1" w:styleId="22">
    <w:name w:val="font21"/>
    <w:basedOn w:val="16"/>
    <w:qFormat/>
    <w:uiPriority w:val="0"/>
    <w:rPr>
      <w:rFonts w:hint="eastAsia" w:ascii="宋体" w:hAnsi="宋体" w:eastAsia="宋体" w:cs="宋体"/>
      <w:color w:val="000000"/>
      <w:sz w:val="21"/>
      <w:szCs w:val="21"/>
      <w:u w:val="none"/>
    </w:rPr>
  </w:style>
  <w:style w:type="character" w:customStyle="1" w:styleId="23">
    <w:name w:val="font01"/>
    <w:basedOn w:val="16"/>
    <w:qFormat/>
    <w:uiPriority w:val="0"/>
    <w:rPr>
      <w:rFonts w:hint="eastAsia" w:ascii="宋体" w:hAnsi="宋体" w:eastAsia="宋体" w:cs="宋体"/>
      <w:color w:val="000000"/>
      <w:sz w:val="22"/>
      <w:szCs w:val="22"/>
      <w:u w:val="none"/>
    </w:rPr>
  </w:style>
  <w:style w:type="character" w:customStyle="1" w:styleId="24">
    <w:name w:val="font31"/>
    <w:basedOn w:val="16"/>
    <w:qFormat/>
    <w:uiPriority w:val="0"/>
    <w:rPr>
      <w:rFonts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emf"/><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1.emf"/><Relationship Id="rId33" Type="http://schemas.openxmlformats.org/officeDocument/2006/relationships/image" Target="media/image20.jpeg"/><Relationship Id="rId32" Type="http://schemas.openxmlformats.org/officeDocument/2006/relationships/chart" Target="charts/chart7.xml"/><Relationship Id="rId31" Type="http://schemas.openxmlformats.org/officeDocument/2006/relationships/image" Target="media/image19.emf"/><Relationship Id="rId30" Type="http://schemas.openxmlformats.org/officeDocument/2006/relationships/image" Target="media/image18.png"/><Relationship Id="rId3" Type="http://schemas.openxmlformats.org/officeDocument/2006/relationships/header" Target="header1.xml"/><Relationship Id="rId29" Type="http://schemas.openxmlformats.org/officeDocument/2006/relationships/image" Target="media/image17.png"/><Relationship Id="rId28" Type="http://schemas.openxmlformats.org/officeDocument/2006/relationships/chart" Target="charts/chart6.xml"/><Relationship Id="rId27" Type="http://schemas.openxmlformats.org/officeDocument/2006/relationships/image" Target="media/image16.emf"/><Relationship Id="rId26" Type="http://schemas.openxmlformats.org/officeDocument/2006/relationships/chart" Target="charts/chart5.xml"/><Relationship Id="rId25" Type="http://schemas.openxmlformats.org/officeDocument/2006/relationships/image" Target="media/image15.emf"/><Relationship Id="rId24" Type="http://schemas.openxmlformats.org/officeDocument/2006/relationships/chart" Target="charts/chart4.xml"/><Relationship Id="rId23" Type="http://schemas.openxmlformats.org/officeDocument/2006/relationships/image" Target="media/image14.emf"/><Relationship Id="rId22" Type="http://schemas.openxmlformats.org/officeDocument/2006/relationships/image" Target="media/image13.emf"/><Relationship Id="rId21" Type="http://schemas.openxmlformats.org/officeDocument/2006/relationships/image" Target="media/image12.emf"/><Relationship Id="rId20" Type="http://schemas.openxmlformats.org/officeDocument/2006/relationships/image" Target="media/image11.emf"/><Relationship Id="rId2" Type="http://schemas.openxmlformats.org/officeDocument/2006/relationships/settings" Target="settings.xml"/><Relationship Id="rId19" Type="http://schemas.openxmlformats.org/officeDocument/2006/relationships/image" Target="media/image10.emf"/><Relationship Id="rId18" Type="http://schemas.openxmlformats.org/officeDocument/2006/relationships/chart" Target="charts/chart3.xml"/><Relationship Id="rId17" Type="http://schemas.openxmlformats.org/officeDocument/2006/relationships/image" Target="media/image9.emf"/><Relationship Id="rId16" Type="http://schemas.openxmlformats.org/officeDocument/2006/relationships/image" Target="media/image8.emf"/><Relationship Id="rId15" Type="http://schemas.openxmlformats.org/officeDocument/2006/relationships/image" Target="media/image7.emf"/><Relationship Id="rId14" Type="http://schemas.openxmlformats.org/officeDocument/2006/relationships/chart" Target="charts/chart2.xml"/><Relationship Id="rId13" Type="http://schemas.openxmlformats.org/officeDocument/2006/relationships/image" Target="media/image6.emf"/><Relationship Id="rId12" Type="http://schemas.openxmlformats.org/officeDocument/2006/relationships/image" Target="media/image5.emf"/><Relationship Id="rId11" Type="http://schemas.openxmlformats.org/officeDocument/2006/relationships/chart" Target="charts/chart1.xml"/><Relationship Id="rId10" Type="http://schemas.openxmlformats.org/officeDocument/2006/relationships/image" Target="media/image4.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C&#32452;&#24213;&#31295;\6&#21495;&#31185;&#21327;\2024&#31185;&#21327;&#24213;&#31295;.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C&#32452;&#24213;&#31295;\6&#21495;&#31185;&#21327;\2024&#31185;&#21327;&#24213;&#31295;.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C&#32452;&#24213;&#31295;\6&#21495;&#31185;&#21327;\2024&#31185;&#21327;&#24213;&#31295;.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C&#32452;&#24213;&#31295;\6&#21495;&#31185;&#21327;\2024&#31185;&#21327;&#24213;&#31295;.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C&#32452;&#24213;&#31295;\6&#21495;&#31185;&#21327;\2024&#31185;&#21327;&#24213;&#31295;.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C&#32452;&#24213;&#31295;\6&#21495;&#31185;&#21327;\2024&#31185;&#21327;&#24213;&#31295;.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C&#32452;&#24213;&#31295;\6&#21495;&#31185;&#21327;\2024&#31185;&#21327;&#24213;&#3129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财政直接支付与授权支付对比图（金额：元）</a:t>
            </a:r>
          </a:p>
        </c:rich>
      </c:tx>
      <c:layout/>
      <c:overlay val="0"/>
      <c:spPr>
        <a:noFill/>
        <a:ln>
          <a:noFill/>
        </a:ln>
        <a:effectLst/>
      </c:spPr>
    </c:title>
    <c:autoTitleDeleted val="0"/>
    <c:plotArea>
      <c:layout/>
      <c:pieChart>
        <c:varyColors val="1"/>
        <c:ser>
          <c:idx val="0"/>
          <c:order val="0"/>
          <c:tx>
            <c:strRef>
              <c:f>'E:\2025.2.1-2025.4.30\7.7.7绩效报告筹备阶段及业务阶段\1正式资料及要求实施阶段\000004.8区绩效评价进场业务及小结\1绩效评价业务2025.4业务汇总\C组底稿\6号区科协\[24单位指标执行情况表.xlsx]汇总'!$I$48</c:f>
              <c:strCache>
                <c:ptCount val="1"/>
                <c:pt idx="0">
                  <c:v>金额（元）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
              <c:layout/>
              <c:dLblPos val="bestFit"/>
              <c:showLegendKey val="0"/>
              <c:showVal val="1"/>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DataLabelsRange val="1"/>
                <c15:showLeaderLines val="1"/>
                <c15:leaderLines>
                  <c:spPr>
                    <a:ln w="9525" cap="flat" cmpd="sng" algn="ctr">
                      <a:solidFill>
                        <a:schemeClr val="tx1">
                          <a:lumMod val="35000"/>
                          <a:lumOff val="65000"/>
                        </a:schemeClr>
                      </a:solidFill>
                      <a:round/>
                    </a:ln>
                    <a:effectLst/>
                  </c:spPr>
                </c15:leaderLines>
              </c:ext>
            </c:extLst>
          </c:dLbls>
          <c:cat>
            <c:strRef>
              <c:f>'E:\2025.2.1-2025.4.30\7.7.7绩效报告筹备阶段及业务阶段\1正式资料及要求实施阶段\000004.8区绩效评价进场业务及小结\1绩效评价业务2025.4业务汇总\C组底稿\6号区科协\[24单位指标执行情况表.xlsx]汇总'!$H$49:$H$50</c:f>
              <c:strCache>
                <c:ptCount val="2"/>
                <c:pt idx="0">
                  <c:v>雁峰区财政局零余额账户</c:v>
                </c:pt>
                <c:pt idx="1">
                  <c:v>雁峰区科学协会</c:v>
                </c:pt>
              </c:strCache>
            </c:strRef>
          </c:cat>
          <c:val>
            <c:numRef>
              <c:f>'E:\2025.2.1-2025.4.30\7.7.7绩效报告筹备阶段及业务阶段\1正式资料及要求实施阶段\000004.8区绩效评价进场业务及小结\1绩效评价业务2025.4业务汇总\C组底稿\6号区科协\[24单位指标执行情况表.xlsx]汇总'!$I$49:$I$50</c:f>
              <c:numCache>
                <c:formatCode>General</c:formatCode>
                <c:ptCount val="2"/>
                <c:pt idx="0">
                  <c:v>309012</c:v>
                </c:pt>
                <c:pt idx="1">
                  <c:v>628567.86</c:v>
                </c:pt>
              </c:numCache>
            </c:numRef>
          </c:val>
          <c:extLst>
            <c:ext xmlns:c15="http://schemas.microsoft.com/office/drawing/2012/chart" uri="{02D57815-91ED-43cb-92C2-25804820EDAC}">
              <c15:datalabelsRange>
                <c15:f>汇总!$A$44:$A$45</c15:f>
                <c15:dlblRangeCache>
                  <c:ptCount val="2"/>
                  <c:pt idx="0">
                    <c:v>雁峰区财政局零余额账户</c:v>
                  </c:pt>
                  <c:pt idx="1">
                    <c:v>雁峰区科学协会</c:v>
                  </c:pt>
                </c15:dlblRangeCache>
              </c15:datalabelsRange>
            </c:ext>
          </c:extLst>
        </c:ser>
        <c:dLbls>
          <c:showLegendKey val="0"/>
          <c:showVal val="1"/>
          <c:showCatName val="0"/>
          <c:showSerName val="0"/>
          <c:showPercent val="0"/>
          <c:showBubbleSize val="0"/>
          <c:showLeaderLines val="1"/>
        </c:dLbls>
        <c:firstSliceAng val="31"/>
      </c:pieChart>
      <c:spPr>
        <a:noFill/>
        <a:ln>
          <a:noFill/>
        </a:ln>
        <a:effectLst/>
      </c:spPr>
    </c:plotArea>
    <c:plotVisOnly val="1"/>
    <c:dispBlanksAs val="gap"/>
    <c:showDLblsOverMax val="0"/>
    <c:extLst>
      <c:ext uri="{0b15fc19-7d7d-44ad-8c2d-2c3a37ce22c3}">
        <chartProps xmlns="https://web.wps.cn/et/2018/main" chartId="{c90a59b6-6e54-4b21-9046-3b6f5ffdbb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指标下达数与指标使用数对比图（金额：元）</a:t>
            </a:r>
          </a:p>
        </c:rich>
      </c:tx>
      <c:layout/>
      <c:overlay val="0"/>
      <c:spPr>
        <a:noFill/>
        <a:ln>
          <a:noFill/>
        </a:ln>
        <a:effectLst/>
      </c:spPr>
    </c:title>
    <c:autoTitleDeleted val="0"/>
    <c:plotArea>
      <c:layout/>
      <c:barChart>
        <c:barDir val="col"/>
        <c:grouping val="clustered"/>
        <c:varyColors val="0"/>
        <c:ser>
          <c:idx val="0"/>
          <c:order val="0"/>
          <c:tx>
            <c:strRef>
              <c:f>[2024科协底稿.xlsx]汇总!$B$8</c:f>
              <c:strCache>
                <c:ptCount val="1"/>
                <c:pt idx="0">
                  <c:v>下达指标</c:v>
                </c:pt>
              </c:strCache>
            </c:strRef>
          </c:tx>
          <c:spPr>
            <a:solidFill>
              <a:schemeClr val="accent1"/>
            </a:solidFill>
            <a:ln>
              <a:noFill/>
            </a:ln>
            <a:effectLst/>
          </c:spPr>
          <c:invertIfNegative val="0"/>
          <c:dLbls>
            <c:delete val="1"/>
          </c:dLbls>
          <c:cat>
            <c:strRef>
              <c:f>[2024科协底稿.xlsx]汇总!$A$9:$A$20</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[2024科协底稿.xlsx]汇总!$B$9:$B$20</c:f>
              <c:numCache>
                <c:formatCode>_ * #,##0.00_ ;_ * \-#,##0.00_ ;_ * "-"??_ ;_ @_ </c:formatCode>
                <c:ptCount val="12"/>
                <c:pt idx="0">
                  <c:v>538444.44</c:v>
                </c:pt>
                <c:pt idx="1">
                  <c:v>22400</c:v>
                </c:pt>
                <c:pt idx="3">
                  <c:v>8000</c:v>
                </c:pt>
                <c:pt idx="5">
                  <c:v>110000</c:v>
                </c:pt>
                <c:pt idx="6">
                  <c:v>11333.6</c:v>
                </c:pt>
                <c:pt idx="7">
                  <c:v>89779</c:v>
                </c:pt>
                <c:pt idx="8">
                  <c:v>130304</c:v>
                </c:pt>
                <c:pt idx="11">
                  <c:v>47653.46</c:v>
                </c:pt>
              </c:numCache>
            </c:numRef>
          </c:val>
        </c:ser>
        <c:ser>
          <c:idx val="1"/>
          <c:order val="1"/>
          <c:tx>
            <c:strRef>
              <c:f>[2024科协底稿.xlsx]汇总!$C$8</c:f>
              <c:strCache>
                <c:ptCount val="1"/>
                <c:pt idx="0">
                  <c:v>占比1</c:v>
                </c:pt>
              </c:strCache>
            </c:strRef>
          </c:tx>
          <c:spPr>
            <a:solidFill>
              <a:schemeClr val="accent2"/>
            </a:solidFill>
            <a:ln>
              <a:noFill/>
            </a:ln>
            <a:effectLst/>
          </c:spPr>
          <c:invertIfNegative val="0"/>
          <c:dLbls>
            <c:delete val="1"/>
          </c:dLbls>
          <c:cat>
            <c:strRef>
              <c:f>[2024科协底稿.xlsx]汇总!$A$9:$A$20</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[2024科协底稿.xlsx]汇总!$C$9:$C$20</c:f>
              <c:numCache>
                <c:formatCode>0.00%</c:formatCode>
                <c:ptCount val="12"/>
                <c:pt idx="0">
                  <c:v>0.562100730284383</c:v>
                </c:pt>
                <c:pt idx="1">
                  <c:v>0.0233841329262685</c:v>
                </c:pt>
                <c:pt idx="3">
                  <c:v>0.00835147604509588</c:v>
                </c:pt>
                <c:pt idx="5">
                  <c:v>0.114832795620068</c:v>
                </c:pt>
                <c:pt idx="6">
                  <c:v>0.0118315361130873</c:v>
                </c:pt>
                <c:pt idx="7">
                  <c:v>0.0937233959815829</c:v>
                </c:pt>
                <c:pt idx="8">
                  <c:v>0.136028841822522</c:v>
                </c:pt>
                <c:pt idx="11">
                  <c:v>0.0497470912069919</c:v>
                </c:pt>
              </c:numCache>
            </c:numRef>
          </c:val>
        </c:ser>
        <c:ser>
          <c:idx val="2"/>
          <c:order val="2"/>
          <c:tx>
            <c:strRef>
              <c:f>[2024科协底稿.xlsx]汇总!$D$8</c:f>
              <c:strCache>
                <c:ptCount val="1"/>
                <c:pt idx="0">
                  <c:v>使用指标</c:v>
                </c:pt>
              </c:strCache>
            </c:strRef>
          </c:tx>
          <c:spPr>
            <a:solidFill>
              <a:schemeClr val="accent2"/>
            </a:solidFill>
            <a:ln>
              <a:noFill/>
            </a:ln>
            <a:effectLst/>
          </c:spPr>
          <c:invertIfNegative val="0"/>
          <c:dLbls>
            <c:delete val="1"/>
          </c:dLbls>
          <c:cat>
            <c:strRef>
              <c:f>[2024科协底稿.xlsx]汇总!$A$9:$A$20</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[2024科协底稿.xlsx]汇总!$D$9:$D$20</c:f>
              <c:numCache>
                <c:formatCode>_ * #,##0.00_ ;_ * \-#,##0.00_ ;_ * "-"??_ ;_ @_ </c:formatCode>
                <c:ptCount val="12"/>
                <c:pt idx="0">
                  <c:v>538152.14</c:v>
                </c:pt>
                <c:pt idx="1">
                  <c:v>22400</c:v>
                </c:pt>
                <c:pt idx="3">
                  <c:v>8000</c:v>
                </c:pt>
                <c:pt idx="5">
                  <c:v>110000</c:v>
                </c:pt>
                <c:pt idx="6">
                  <c:v>11333.6</c:v>
                </c:pt>
                <c:pt idx="7">
                  <c:v>76323.64</c:v>
                </c:pt>
                <c:pt idx="8">
                  <c:v>130304</c:v>
                </c:pt>
                <c:pt idx="11">
                  <c:v>41066.48</c:v>
                </c:pt>
              </c:numCache>
            </c:numRef>
          </c:val>
        </c:ser>
        <c:ser>
          <c:idx val="3"/>
          <c:order val="3"/>
          <c:tx>
            <c:strRef>
              <c:f>[2024科协底稿.xlsx]汇总!$E$8</c:f>
              <c:strCache>
                <c:ptCount val="1"/>
                <c:pt idx="0">
                  <c:v>占比2</c:v>
                </c:pt>
              </c:strCache>
            </c:strRef>
          </c:tx>
          <c:spPr>
            <a:solidFill>
              <a:schemeClr val="accent4"/>
            </a:solidFill>
            <a:ln>
              <a:noFill/>
            </a:ln>
            <a:effectLst/>
          </c:spPr>
          <c:invertIfNegative val="0"/>
          <c:dLbls>
            <c:delete val="1"/>
          </c:dLbls>
          <c:cat>
            <c:strRef>
              <c:f>[2024科协底稿.xlsx]汇总!$A$9:$A$20</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[2024科协底稿.xlsx]汇总!$E$9:$E$20</c:f>
              <c:numCache>
                <c:formatCode>0.00%</c:formatCode>
                <c:ptCount val="12"/>
                <c:pt idx="0">
                  <c:v>0.573980055416293</c:v>
                </c:pt>
                <c:pt idx="1">
                  <c:v>0.0238912981769894</c:v>
                </c:pt>
                <c:pt idx="3">
                  <c:v>0.00853260649178194</c:v>
                </c:pt>
                <c:pt idx="5">
                  <c:v>0.117323339262002</c:v>
                </c:pt>
                <c:pt idx="6">
                  <c:v>0.0120881436169075</c:v>
                </c:pt>
                <c:pt idx="7">
                  <c:v>0.0814049482675534</c:v>
                </c:pt>
                <c:pt idx="8">
                  <c:v>0.138979094538144</c:v>
                </c:pt>
                <c:pt idx="11">
                  <c:v>0.0438005142303291</c:v>
                </c:pt>
              </c:numCache>
            </c:numRef>
          </c:val>
        </c:ser>
        <c:dLbls>
          <c:showLegendKey val="0"/>
          <c:showVal val="0"/>
          <c:showCatName val="0"/>
          <c:showSerName val="0"/>
          <c:showPercent val="0"/>
          <c:showBubbleSize val="0"/>
        </c:dLbls>
        <c:gapWidth val="32"/>
        <c:overlap val="52"/>
        <c:axId val="585317252"/>
        <c:axId val="543159228"/>
      </c:barChart>
      <c:catAx>
        <c:axId val="5853172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3159228"/>
        <c:crosses val="autoZero"/>
        <c:auto val="1"/>
        <c:lblAlgn val="ctr"/>
        <c:lblOffset val="100"/>
        <c:noMultiLvlLbl val="0"/>
      </c:catAx>
      <c:valAx>
        <c:axId val="543159228"/>
        <c:scaling>
          <c:orientation val="minMax"/>
        </c:scaling>
        <c:delete val="0"/>
        <c:axPos val="l"/>
        <c:majorGridlines>
          <c:spPr>
            <a:ln w="9525" cap="flat" cmpd="sng" algn="ctr">
              <a:solidFill>
                <a:schemeClr val="lt1">
                  <a:lumMod val="90200"/>
                </a:schemeClr>
              </a:solidFill>
              <a:round/>
            </a:ln>
            <a:effectLst/>
          </c:spPr>
        </c:majorGridlines>
        <c:numFmt formatCode="_ * #,##0.00_ ;_ * \-#,##0.00_ ;_ * &quot;-&quot;??_ ;_ @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5317252"/>
        <c:crosses val="autoZero"/>
        <c:crossBetween val="between"/>
      </c:valAx>
      <c:spPr>
        <a:noFill/>
        <a:ln>
          <a:noFill/>
        </a:ln>
        <a:effectLst/>
      </c:spPr>
    </c:plotArea>
    <c:legend>
      <c:legendPos val="b"/>
      <c:legendEntry>
        <c:idx val="1"/>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8a596e7-2093-4fbc-8170-3980b944399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全年预算数、原账套数、决算数、重分类数对比图</a:t>
            </a:r>
          </a:p>
        </c:rich>
      </c:tx>
      <c:layout/>
      <c:overlay val="0"/>
      <c:spPr>
        <a:noFill/>
        <a:ln>
          <a:noFill/>
        </a:ln>
        <a:effectLst/>
      </c:spPr>
    </c:title>
    <c:autoTitleDeleted val="0"/>
    <c:plotArea>
      <c:layout/>
      <c:barChart>
        <c:barDir val="col"/>
        <c:grouping val="stacked"/>
        <c:varyColors val="0"/>
        <c:ser>
          <c:idx val="0"/>
          <c:order val="0"/>
          <c:tx>
            <c:strRef>
              <c:f>[2024科协底稿.xlsx]汇总!$B$169</c:f>
              <c:strCache>
                <c:ptCount val="1"/>
                <c:pt idx="0">
                  <c:v>人员经费</c:v>
                </c:pt>
              </c:strCache>
            </c:strRef>
          </c:tx>
          <c:spPr>
            <a:solidFill>
              <a:schemeClr val="accent1"/>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[2024科协底稿.xlsx]汇总!$C$168:$F$168</c:f>
              <c:strCache>
                <c:ptCount val="4"/>
                <c:pt idx="0">
                  <c:v>全年预算数</c:v>
                </c:pt>
                <c:pt idx="1" c:formatCode="_ * #,##0.00_ ;_ * \-#,##0.00_ ;_ * &quot;-&quot;??_ ;_ @_ ">
                  <c:v>原账套数</c:v>
                </c:pt>
                <c:pt idx="2">
                  <c:v>决算数</c:v>
                </c:pt>
                <c:pt idx="3">
                  <c:v>重分类数</c:v>
                </c:pt>
              </c:strCache>
            </c:strRef>
          </c:cat>
          <c:val>
            <c:numRef>
              <c:f>[2024科协底稿.xlsx]汇总!$C$169:$F$169</c:f>
              <c:numCache>
                <c:formatCode>0.00%</c:formatCode>
                <c:ptCount val="4"/>
                <c:pt idx="0">
                  <c:v>0.698745983197933</c:v>
                </c:pt>
                <c:pt idx="1">
                  <c:v>0.680597949277622</c:v>
                </c:pt>
                <c:pt idx="2">
                  <c:v>0.698737129443032</c:v>
                </c:pt>
                <c:pt idx="3">
                  <c:v>0.834938412606261</c:v>
                </c:pt>
              </c:numCache>
            </c:numRef>
          </c:val>
        </c:ser>
        <c:ser>
          <c:idx val="1"/>
          <c:order val="1"/>
          <c:tx>
            <c:strRef>
              <c:f>[2024科协底稿.xlsx]汇总!$B$170</c:f>
              <c:strCache>
                <c:ptCount val="1"/>
                <c:pt idx="0">
                  <c:v>公用经费</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[2024科协底稿.xlsx]汇总!$C$168:$F$168</c:f>
              <c:strCache>
                <c:ptCount val="4"/>
                <c:pt idx="0">
                  <c:v>全年预算数</c:v>
                </c:pt>
                <c:pt idx="1" c:formatCode="_ * #,##0.00_ ;_ * \-#,##0.00_ ;_ * &quot;-&quot;??_ ;_ @_ ">
                  <c:v>原账套数</c:v>
                </c:pt>
                <c:pt idx="2">
                  <c:v>决算数</c:v>
                </c:pt>
                <c:pt idx="3">
                  <c:v>重分类数</c:v>
                </c:pt>
              </c:strCache>
            </c:strRef>
          </c:cat>
          <c:val>
            <c:numRef>
              <c:f>[2024科协底稿.xlsx]汇总!$C$170:$F$170</c:f>
              <c:numCache>
                <c:formatCode>0.00%</c:formatCode>
                <c:ptCount val="4"/>
                <c:pt idx="0">
                  <c:v>0.0193852183390478</c:v>
                </c:pt>
                <c:pt idx="1">
                  <c:v>0.043191200800751</c:v>
                </c:pt>
                <c:pt idx="2">
                  <c:v>0.0193849727104846</c:v>
                </c:pt>
                <c:pt idx="3">
                  <c:v>0.0562755368913321</c:v>
                </c:pt>
              </c:numCache>
            </c:numRef>
          </c:val>
        </c:ser>
        <c:ser>
          <c:idx val="2"/>
          <c:order val="2"/>
          <c:tx>
            <c:strRef>
              <c:f>[2024科协底稿.xlsx]汇总!$B$171</c:f>
              <c:strCache>
                <c:ptCount val="1"/>
                <c:pt idx="0">
                  <c:v>项目支出</c:v>
                </c:pt>
              </c:strCache>
            </c:strRef>
          </c:tx>
          <c:spPr>
            <a:solidFill>
              <a:schemeClr val="bg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[2024科协底稿.xlsx]汇总!$C$168:$F$168</c:f>
              <c:strCache>
                <c:ptCount val="4"/>
                <c:pt idx="0">
                  <c:v>全年预算数</c:v>
                </c:pt>
                <c:pt idx="1" c:formatCode="_ * #,##0.00_ ;_ * \-#,##0.00_ ;_ * &quot;-&quot;??_ ;_ @_ ">
                  <c:v>原账套数</c:v>
                </c:pt>
                <c:pt idx="2">
                  <c:v>决算数</c:v>
                </c:pt>
                <c:pt idx="3">
                  <c:v>重分类数</c:v>
                </c:pt>
              </c:strCache>
            </c:strRef>
          </c:cat>
          <c:val>
            <c:numRef>
              <c:f>[2024科协底稿.xlsx]汇总!$C$171:$F$171</c:f>
              <c:numCache>
                <c:formatCode>0.00%</c:formatCode>
                <c:ptCount val="4"/>
                <c:pt idx="0">
                  <c:v>0.281868798463019</c:v>
                </c:pt>
                <c:pt idx="1">
                  <c:v>0.276210849921627</c:v>
                </c:pt>
                <c:pt idx="2">
                  <c:v>0.281877897846483</c:v>
                </c:pt>
                <c:pt idx="3">
                  <c:v>0.108786050502407</c:v>
                </c:pt>
              </c:numCache>
            </c:numRef>
          </c:val>
        </c:ser>
        <c:dLbls>
          <c:showLegendKey val="0"/>
          <c:showVal val="1"/>
          <c:showCatName val="0"/>
          <c:showSerName val="0"/>
          <c:showPercent val="0"/>
          <c:showBubbleSize val="0"/>
        </c:dLbls>
        <c:gapWidth val="70"/>
        <c:overlap val="100"/>
        <c:serLines>
          <c:spPr>
            <a:ln w="12700" cap="flat" cmpd="sng" algn="ctr">
              <a:solidFill>
                <a:schemeClr val="tx1"/>
              </a:solidFill>
              <a:prstDash val="solid"/>
              <a:round/>
              <a:headEnd type="arrow"/>
            </a:ln>
            <a:effectLst/>
          </c:spPr>
        </c:serLines>
        <c:axId val="158429235"/>
        <c:axId val="443652207"/>
      </c:barChart>
      <c:catAx>
        <c:axId val="1584292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3652207"/>
        <c:crosses val="autoZero"/>
        <c:auto val="1"/>
        <c:lblAlgn val="ctr"/>
        <c:lblOffset val="100"/>
        <c:noMultiLvlLbl val="0"/>
      </c:catAx>
      <c:valAx>
        <c:axId val="443652207"/>
        <c:scaling>
          <c:orientation val="minMax"/>
        </c:scaling>
        <c:delete val="1"/>
        <c:axPos val="l"/>
        <c:numFmt formatCode="0.0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84292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908cc0eb-41b2-4231-904f-fcc851557ec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人员经费重分类数图（金额：元）</a:t>
            </a:r>
          </a:p>
        </c:rich>
      </c:tx>
      <c:layout/>
      <c:overlay val="0"/>
      <c:spPr>
        <a:noFill/>
        <a:ln>
          <a:noFill/>
        </a:ln>
        <a:effectLst/>
      </c:spPr>
    </c:title>
    <c:autoTitleDeleted val="0"/>
    <c:plotArea>
      <c:layout/>
      <c:barChart>
        <c:barDir val="col"/>
        <c:grouping val="clustered"/>
        <c:varyColors val="0"/>
        <c:ser>
          <c:idx val="0"/>
          <c:order val="0"/>
          <c:tx>
            <c:strRef>
              <c:f>[2024科协底稿.xlsx]人员经费!$D$135</c:f>
              <c:strCache>
                <c:ptCount val="1"/>
                <c:pt idx="0">
                  <c:v>重分类数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[2024科协底稿.xlsx]人员经费!$C$136:$C$142</c:f>
              <c:strCache>
                <c:ptCount val="7"/>
                <c:pt idx="0" c:formatCode="_ * #,##0.00_ ;_ * \-#,##0.00_ ;_ * &quot;-&quot;??_ ;_ @_ ">
                  <c:v>基本支出-人员经费-基本工资 </c:v>
                </c:pt>
                <c:pt idx="1" c:formatCode="_ * #,##0.00_ ;_ * \-#,##0.00_ ;_ * &quot;-&quot;??_ ;_ @_ ">
                  <c:v>基本支出-人员经费-机关事业单位养老医疗保险缴费</c:v>
                </c:pt>
                <c:pt idx="2" c:formatCode="_ * #,##0.00_ ;_ * \-#,##0.00_ ;_ * &quot;-&quot;??_ ;_ @_ ">
                  <c:v>基本支出-人员经费-住房公积金</c:v>
                </c:pt>
                <c:pt idx="3" c:formatCode="_ * #,##0.00_ ;_ * \-#,##0.00_ ;_ * &quot;-&quot;??_ ;_ @_ ">
                  <c:v>基本支出-人员经费-奖金</c:v>
                </c:pt>
                <c:pt idx="4" c:formatCode="_ * #,##0.00_ ;_ * \-#,##0.00_ ;_ * &quot;-&quot;??_ ;_ @_ ">
                  <c:v>基本支出-人员经费-津贴补贴</c:v>
                </c:pt>
                <c:pt idx="5" c:formatCode="_ * #,##0.00_ ;_ * \-#,##0.00_ ;_ * &quot;-&quot;??_ ;_ @_ ">
                  <c:v>基本支出-人员经费-对家庭和个人的补助</c:v>
                </c:pt>
                <c:pt idx="6" c:formatCode="_ * #,##0.00_ ;_ * \-#,##0.00_ ;_ * &quot;-&quot;??_ ;_ @_ ">
                  <c:v>基本支出-人员经费-其他保障</c:v>
                </c:pt>
              </c:strCache>
            </c:strRef>
          </c:cat>
          <c:val>
            <c:numRef>
              <c:f>[2024科协底稿.xlsx]人员经费!$D$136:$D$142</c:f>
              <c:numCache>
                <c:formatCode>_ * #,##0.00_ ;_ * \-#,##0.00_ ;_ * "-"??_ ;_ @_ </c:formatCode>
                <c:ptCount val="7"/>
                <c:pt idx="0">
                  <c:v>325602</c:v>
                </c:pt>
                <c:pt idx="1">
                  <c:v>242250.92</c:v>
                </c:pt>
                <c:pt idx="2">
                  <c:v>141710</c:v>
                </c:pt>
                <c:pt idx="3">
                  <c:v>34585</c:v>
                </c:pt>
                <c:pt idx="4">
                  <c:v>19584.52</c:v>
                </c:pt>
                <c:pt idx="5">
                  <c:v>16620</c:v>
                </c:pt>
                <c:pt idx="6">
                  <c:v>2469</c:v>
                </c:pt>
              </c:numCache>
            </c:numRef>
          </c:val>
        </c:ser>
        <c:dLbls>
          <c:showLegendKey val="0"/>
          <c:showVal val="1"/>
          <c:showCatName val="0"/>
          <c:showSerName val="0"/>
          <c:showPercent val="0"/>
          <c:showBubbleSize val="0"/>
        </c:dLbls>
        <c:gapWidth val="86"/>
        <c:overlap val="-32"/>
        <c:axId val="907435237"/>
        <c:axId val="668353089"/>
      </c:barChart>
      <c:catAx>
        <c:axId val="9074352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8353089"/>
        <c:crosses val="autoZero"/>
        <c:auto val="1"/>
        <c:lblAlgn val="ctr"/>
        <c:lblOffset val="100"/>
        <c:noMultiLvlLbl val="0"/>
      </c:catAx>
      <c:valAx>
        <c:axId val="668353089"/>
        <c:scaling>
          <c:orientation val="minMax"/>
        </c:scaling>
        <c:delete val="0"/>
        <c:axPos val="l"/>
        <c:majorGridlines>
          <c:spPr>
            <a:ln w="9525" cap="flat" cmpd="sng" algn="ctr">
              <a:solidFill>
                <a:schemeClr val="lt1">
                  <a:lumMod val="90200"/>
                </a:schemeClr>
              </a:solidFill>
              <a:round/>
            </a:ln>
            <a:effectLst/>
          </c:spPr>
        </c:majorGridlines>
        <c:numFmt formatCode="_ * #,##0.00_ ;_ * \-#,##0.00_ ;_ * &quot;-&quot;??_ ;_ @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743523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d5eedbdb-adfd-4f0d-a7fa-c57bf51d5a1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公用经费重分类数图（金额：元）</a:t>
            </a:r>
          </a:p>
        </c:rich>
      </c:tx>
      <c:layout/>
      <c:overlay val="0"/>
      <c:spPr>
        <a:noFill/>
        <a:ln>
          <a:noFill/>
        </a:ln>
        <a:effectLst/>
      </c:spPr>
    </c:title>
    <c:autoTitleDeleted val="0"/>
    <c:plotArea>
      <c:layout/>
      <c:barChart>
        <c:barDir val="col"/>
        <c:grouping val="clustered"/>
        <c:varyColors val="0"/>
        <c:ser>
          <c:idx val="0"/>
          <c:order val="0"/>
          <c:tx>
            <c:strRef>
              <c:f>[2024科协底稿.xlsx]公用经费!$D$47</c:f>
              <c:strCache>
                <c:ptCount val="1"/>
                <c:pt idx="0">
                  <c:v>重分类数</c:v>
                </c:pt>
              </c:strCache>
            </c:strRef>
          </c:tx>
          <c:spPr>
            <a:solidFill>
              <a:schemeClr val="accent1"/>
            </a:solidFill>
            <a:ln>
              <a:noFill/>
            </a:ln>
            <a:effectLst/>
          </c:spPr>
          <c:invertIfNegative val="0"/>
          <c:dLbls>
            <c:delete val="1"/>
          </c:dLbls>
          <c:cat>
            <c:strRef>
              <c:f>[2024科协底稿.xlsx]公用经费!$C$48:$C$51</c:f>
              <c:strCache>
                <c:ptCount val="4"/>
                <c:pt idx="0" c:formatCode="_ * #,##0.00_ ;_ * \-#,##0.00_ ;_ * &quot;-&quot;??_ ;_ @_ ">
                  <c:v>基本支出-公用经费-办公经费</c:v>
                </c:pt>
                <c:pt idx="1" c:formatCode="_ * #,##0.00_ ;_ * \-#,##0.00_ ;_ * &quot;-&quot;??_ ;_ @_ ">
                  <c:v>基本支出-公用经费-工会经费</c:v>
                </c:pt>
                <c:pt idx="2" c:formatCode="_ * #,##0.00_ ;_ * \-#,##0.00_ ;_ * &quot;-&quot;??_ ;_ @_ ">
                  <c:v>基本支出-公用经费-食堂餐费</c:v>
                </c:pt>
                <c:pt idx="3" c:formatCode="_ * #,##0.00_ ;_ * \-#,##0.00_ ;_ * &quot;-&quot;??_ ;_ @_ ">
                  <c:v>基本支出-公用经费-培训费</c:v>
                </c:pt>
              </c:strCache>
            </c:strRef>
          </c:cat>
          <c:val>
            <c:numRef>
              <c:f>[2024科协底稿.xlsx]公用经费!$D$48:$D$51</c:f>
              <c:numCache>
                <c:formatCode>_ * #,##0.00_ ;_ * \-#,##0.00_ ;_ * "-"??_ ;_ @_ </c:formatCode>
                <c:ptCount val="4"/>
                <c:pt idx="0">
                  <c:v>27673.09</c:v>
                </c:pt>
                <c:pt idx="1">
                  <c:v>17912.72</c:v>
                </c:pt>
                <c:pt idx="2">
                  <c:v>6616</c:v>
                </c:pt>
                <c:pt idx="3">
                  <c:v>561</c:v>
                </c:pt>
              </c:numCache>
            </c:numRef>
          </c:val>
        </c:ser>
        <c:dLbls>
          <c:showLegendKey val="0"/>
          <c:showVal val="0"/>
          <c:showCatName val="0"/>
          <c:showSerName val="0"/>
          <c:showPercent val="0"/>
          <c:showBubbleSize val="0"/>
        </c:dLbls>
        <c:gapWidth val="150"/>
        <c:overlap val="0"/>
        <c:axId val="253025793"/>
        <c:axId val="248609150"/>
      </c:barChart>
      <c:catAx>
        <c:axId val="2530257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8609150"/>
        <c:crosses val="autoZero"/>
        <c:auto val="1"/>
        <c:lblAlgn val="ctr"/>
        <c:lblOffset val="100"/>
        <c:noMultiLvlLbl val="0"/>
      </c:catAx>
      <c:valAx>
        <c:axId val="248609150"/>
        <c:scaling>
          <c:orientation val="minMax"/>
        </c:scaling>
        <c:delete val="0"/>
        <c:axPos val="l"/>
        <c:majorGridlines>
          <c:spPr>
            <a:ln w="9525" cap="flat" cmpd="sng" algn="ctr">
              <a:solidFill>
                <a:schemeClr val="lt1">
                  <a:lumMod val="90200"/>
                </a:schemeClr>
              </a:solidFill>
              <a:round/>
            </a:ln>
            <a:effectLst/>
          </c:spPr>
        </c:majorGridlines>
        <c:numFmt formatCode="_ * #,##0.00_ ;_ * \-#,##0.00_ ;_ * &quot;-&quot;??_ ;_ @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302579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766037fb-8145-4904-a3a3-99fbe9b2f7e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办公经费重分类数图（金额：元）</a:t>
            </a:r>
          </a:p>
        </c:rich>
      </c:tx>
      <c:layout/>
      <c:overlay val="0"/>
      <c:spPr>
        <a:noFill/>
        <a:ln>
          <a:noFill/>
        </a:ln>
        <a:effectLst/>
      </c:spPr>
    </c:title>
    <c:autoTitleDeleted val="0"/>
    <c:plotArea>
      <c:layout/>
      <c:barChart>
        <c:barDir val="col"/>
        <c:grouping val="clustered"/>
        <c:varyColors val="0"/>
        <c:ser>
          <c:idx val="0"/>
          <c:order val="0"/>
          <c:tx>
            <c:strRef>
              <c:f>[2024科协底稿.xlsx]公用经费!$D$69</c:f>
              <c:strCache>
                <c:ptCount val="1"/>
                <c:pt idx="0">
                  <c:v>重分类数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[2024科协底稿.xlsx]公用经费!$C$70:$C$75</c:f>
              <c:strCache>
                <c:ptCount val="6"/>
                <c:pt idx="0" c:formatCode="_ * #,##0.00_ ;_ * \-#,##0.00_ ;_ * &quot;-&quot;??_ ;_ @_ ">
                  <c:v>办公经费-报告咨询</c:v>
                </c:pt>
                <c:pt idx="1" c:formatCode="_ * #,##0.00_ ;_ * \-#,##0.00_ ;_ * &quot;-&quot;??_ ;_ @_ ">
                  <c:v>办公经费-办公用品</c:v>
                </c:pt>
                <c:pt idx="2" c:formatCode="_ * #,##0.00_ ;_ * \-#,##0.00_ ;_ * &quot;-&quot;??_ ;_ @_ ">
                  <c:v>办公经费-系统费用</c:v>
                </c:pt>
                <c:pt idx="3" c:formatCode="_ * #,##0.00_ ;_ * \-#,##0.00_ ;_ * &quot;-&quot;??_ ;_ @_ ">
                  <c:v>办公经费-报刊杂志</c:v>
                </c:pt>
                <c:pt idx="4" c:formatCode="_ * #,##0.00_ ;_ * \-#,##0.00_ ;_ * &quot;-&quot;??_ ;_ @_ ">
                  <c:v>办公经费-文件打印</c:v>
                </c:pt>
                <c:pt idx="5" c:formatCode="_ * #,##0.00_ ;_ * \-#,##0.00_ ;_ * &quot;-&quot;??_ ;_ @_ ">
                  <c:v>办公经费-电话费</c:v>
                </c:pt>
              </c:strCache>
            </c:strRef>
          </c:cat>
          <c:val>
            <c:numRef>
              <c:f>[2024科协底稿.xlsx]公用经费!$D$70:$D$75</c:f>
              <c:numCache>
                <c:formatCode>_ * #,##0.00_ ;_ * \-#,##0.00_ ;_ * "-"??_ ;_ @_ </c:formatCode>
                <c:ptCount val="6"/>
                <c:pt idx="0">
                  <c:v>15700</c:v>
                </c:pt>
                <c:pt idx="1">
                  <c:v>5094.3</c:v>
                </c:pt>
                <c:pt idx="2">
                  <c:v>3765.29</c:v>
                </c:pt>
                <c:pt idx="3">
                  <c:v>1612</c:v>
                </c:pt>
                <c:pt idx="4">
                  <c:v>1301.5</c:v>
                </c:pt>
                <c:pt idx="5">
                  <c:v>200</c:v>
                </c:pt>
              </c:numCache>
            </c:numRef>
          </c:val>
        </c:ser>
        <c:dLbls>
          <c:showLegendKey val="0"/>
          <c:showVal val="1"/>
          <c:showCatName val="0"/>
          <c:showSerName val="0"/>
          <c:showPercent val="0"/>
          <c:showBubbleSize val="0"/>
        </c:dLbls>
        <c:gapWidth val="70"/>
        <c:overlap val="0"/>
        <c:axId val="944605880"/>
        <c:axId val="163063833"/>
      </c:barChart>
      <c:catAx>
        <c:axId val="9446058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3063833"/>
        <c:crosses val="autoZero"/>
        <c:auto val="1"/>
        <c:lblAlgn val="ctr"/>
        <c:lblOffset val="100"/>
        <c:noMultiLvlLbl val="0"/>
      </c:catAx>
      <c:valAx>
        <c:axId val="163063833"/>
        <c:scaling>
          <c:orientation val="minMax"/>
        </c:scaling>
        <c:delete val="0"/>
        <c:axPos val="l"/>
        <c:majorGridlines>
          <c:spPr>
            <a:ln w="9525" cap="flat" cmpd="sng" algn="ctr">
              <a:solidFill>
                <a:schemeClr val="lt1">
                  <a:lumMod val="90200"/>
                </a:schemeClr>
              </a:solidFill>
              <a:round/>
            </a:ln>
            <a:effectLst/>
          </c:spPr>
        </c:majorGridlines>
        <c:numFmt formatCode="_ * #,##0.00_ ;_ * \-#,##0.00_ ;_ * &quot;-&quot;??_ ;_ @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4605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0bc6b145-4ee7-4025-b4af-e23505b0e92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项目支出重分类图</a:t>
            </a:r>
            <a:r>
              <a:rPr lang="en-US" altLang="zh-CN"/>
              <a:t>(</a:t>
            </a:r>
            <a:r>
              <a:rPr altLang="en-US"/>
              <a:t>金额：元</a:t>
            </a:r>
            <a:r>
              <a:rPr lang="en-US" altLang="zh-CN"/>
              <a:t>)</a:t>
            </a:r>
            <a:endParaRPr lang="en-US" altLang="zh-CN"/>
          </a:p>
        </c:rich>
      </c:tx>
      <c:layout/>
      <c:overlay val="0"/>
      <c:spPr>
        <a:noFill/>
        <a:ln>
          <a:noFill/>
        </a:ln>
        <a:effectLst/>
      </c:spPr>
    </c:title>
    <c:autoTitleDeleted val="0"/>
    <c:plotArea>
      <c:layout/>
      <c:barChart>
        <c:barDir val="col"/>
        <c:grouping val="clustered"/>
        <c:varyColors val="0"/>
        <c:ser>
          <c:idx val="0"/>
          <c:order val="0"/>
          <c:tx>
            <c:strRef>
              <c:f>[2024科协底稿.xlsx]项目支出!$D$103</c:f>
              <c:strCache>
                <c:ptCount val="1"/>
                <c:pt idx="0">
                  <c:v>重分类数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[2024科协底稿.xlsx]项目支出!$C$104:$C$111</c:f>
              <c:strCache>
                <c:ptCount val="8"/>
                <c:pt idx="0" c:formatCode="_ * #,##0.00_ ;_ * \-#,##0.00_ ;_ * &quot;-&quot;??_ ;_ @_ ">
                  <c:v>项目支出-老科协</c:v>
                </c:pt>
                <c:pt idx="1" c:formatCode="_ * #,##0.00_ ;_ * \-#,##0.00_ ;_ * &quot;-&quot;??_ ;_ @_ ">
                  <c:v>项目支出-白沙小学科普</c:v>
                </c:pt>
                <c:pt idx="2" c:formatCode="_ * #,##0.00_ ;_ * \-#,##0.00_ ;_ * &quot;-&quot;??_ ;_ @_ ">
                  <c:v>项目支出-科普传播</c:v>
                </c:pt>
                <c:pt idx="3" c:formatCode="_ * #,##0.00_ ;_ * \-#,##0.00_ ;_ * &quot;-&quot;??_ ;_ @_ ">
                  <c:v>项目支出-科普印刷</c:v>
                </c:pt>
                <c:pt idx="4" c:formatCode="_ * #,##0.00_ ;_ * \-#,##0.00_ ;_ * &quot;-&quot;??_ ;_ @_ ">
                  <c:v>项目支出-科普用品</c:v>
                </c:pt>
                <c:pt idx="5" c:formatCode="_ * #,##0.00_ ;_ * \-#,##0.00_ ;_ * &quot;-&quot;??_ ;_ @_ ">
                  <c:v>项目支出-百名院士进校</c:v>
                </c:pt>
                <c:pt idx="6" c:formatCode="_ * #,##0.00_ ;_ * \-#,##0.00_ ;_ * &quot;-&quot;??_ ;_ @_ ">
                  <c:v>项目支出-科普租车</c:v>
                </c:pt>
                <c:pt idx="7" c:formatCode="_ * #,##0.00_ ;_ * \-#,##0.00_ ;_ * &quot;-&quot;??_ ;_ @_ ">
                  <c:v>项目支出-加班餐费</c:v>
                </c:pt>
              </c:strCache>
            </c:strRef>
          </c:cat>
          <c:val>
            <c:numRef>
              <c:f>[2024科协底稿.xlsx]项目支出!$D$104:$D$111</c:f>
              <c:numCache>
                <c:formatCode>_ * #,##0.00_ ;_ * \-#,##0.00_ ;_ * "-"??_ ;_ @_ </c:formatCode>
                <c:ptCount val="8"/>
                <c:pt idx="0">
                  <c:v>50000</c:v>
                </c:pt>
                <c:pt idx="1">
                  <c:v>20000</c:v>
                </c:pt>
                <c:pt idx="2">
                  <c:v>10058.13</c:v>
                </c:pt>
                <c:pt idx="3">
                  <c:v>9301.88</c:v>
                </c:pt>
                <c:pt idx="4">
                  <c:v>6500</c:v>
                </c:pt>
                <c:pt idx="5">
                  <c:v>4420</c:v>
                </c:pt>
                <c:pt idx="6">
                  <c:v>1600</c:v>
                </c:pt>
                <c:pt idx="7">
                  <c:v>115.6</c:v>
                </c:pt>
              </c:numCache>
            </c:numRef>
          </c:val>
        </c:ser>
        <c:dLbls>
          <c:showLegendKey val="0"/>
          <c:showVal val="1"/>
          <c:showCatName val="0"/>
          <c:showSerName val="0"/>
          <c:showPercent val="0"/>
          <c:showBubbleSize val="0"/>
        </c:dLbls>
        <c:gapWidth val="32"/>
        <c:overlap val="0"/>
        <c:axId val="469404329"/>
        <c:axId val="134558417"/>
      </c:barChart>
      <c:catAx>
        <c:axId val="4694043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4558417"/>
        <c:crosses val="autoZero"/>
        <c:auto val="1"/>
        <c:lblAlgn val="ctr"/>
        <c:lblOffset val="100"/>
        <c:noMultiLvlLbl val="0"/>
      </c:catAx>
      <c:valAx>
        <c:axId val="134558417"/>
        <c:scaling>
          <c:orientation val="minMax"/>
        </c:scaling>
        <c:delete val="0"/>
        <c:axPos val="l"/>
        <c:majorGridlines>
          <c:spPr>
            <a:ln w="9525" cap="flat" cmpd="sng" algn="ctr">
              <a:solidFill>
                <a:schemeClr val="lt1">
                  <a:lumMod val="90200"/>
                </a:schemeClr>
              </a:solidFill>
              <a:round/>
            </a:ln>
            <a:effectLst/>
          </c:spPr>
        </c:majorGridlines>
        <c:numFmt formatCode="_ * #,##0.00_ ;_ * \-#,##0.00_ ;_ * &quot;-&quot;??_ ;_ @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940432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69f52434-ce8e-424e-ac72-6cdb6879d30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1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7095</Words>
  <Characters>7517</Characters>
  <Lines>0</Lines>
  <Paragraphs>0</Paragraphs>
  <TotalTime>2</TotalTime>
  <ScaleCrop>false</ScaleCrop>
  <LinksUpToDate>false</LinksUpToDate>
  <CharactersWithSpaces>7547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2023-01-11T06:30:00Z</dcterms:created>
  <dc:creator>符敏（书魁）</dc:creator>
  <cp:lastModifiedBy>邓婷</cp:lastModifiedBy>
  <cp:lastPrinted>2025-11-03T02:48:00Z</cp:lastPrinted>
  <dcterms:modified xsi:type="dcterms:W3CDTF">2026-07-24T02:22:42Z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79224C720F06428CA3CC04C92A854D1A_13</vt:lpwstr>
  </property>
  <property fmtid="{D5CDD505-2E9C-101B-9397-08002B2CF9AE}" pid="4" name="KSOTemplateDocerSaveRecord">
    <vt:lpwstr>eyJoZGlkIjoiN2Y2YTkzM2Q3ZjFmZDA3MzYxZmZlNThiZjdiNmYxNGYiLCJ1c2VySWQiOiIxMDY5MjgzMDcxIn0=</vt:lpwstr>
  </property>
</Properties>
</file>