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雁峰区安全生产监督管理局</w:t>
      </w: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2019年度部门整体支出绩效自评报告</w:t>
      </w:r>
    </w:p>
    <w:p>
      <w:pPr>
        <w:jc w:val="center"/>
        <w:rPr>
          <w:rFonts w:hint="eastAsia" w:ascii="仿宋" w:hAnsi="仿宋" w:eastAsia="仿宋" w:cs="仿宋"/>
          <w:b w:val="0"/>
          <w:bCs w:val="0"/>
          <w:sz w:val="32"/>
          <w:szCs w:val="32"/>
          <w:lang w:val="en-US" w:eastAsia="zh-CN"/>
        </w:rPr>
      </w:pPr>
    </w:p>
    <w:p>
      <w:pPr>
        <w:autoSpaceDE w:val="0"/>
        <w:autoSpaceDN w:val="0"/>
        <w:adjustRightInd w:val="0"/>
        <w:spacing w:line="520" w:lineRule="exact"/>
        <w:ind w:firstLine="800" w:firstLineChars="250"/>
        <w:jc w:val="left"/>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根据《预算法》有关“各级政府、各部门、各单位应当对预算支出情况开展绩效评价”的规定，结合实际情况，我局对2019年度部门整体支出进行了绩效自评，现报告如下：</w:t>
      </w:r>
    </w:p>
    <w:p>
      <w:pPr>
        <w:autoSpaceDE w:val="0"/>
        <w:autoSpaceDN w:val="0"/>
        <w:adjustRightInd w:val="0"/>
        <w:spacing w:line="520" w:lineRule="exact"/>
        <w:ind w:firstLine="800" w:firstLineChars="250"/>
        <w:jc w:val="left"/>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一、基本情况</w:t>
      </w:r>
      <w:bookmarkStart w:id="0" w:name="_GoBack"/>
      <w:bookmarkEnd w:id="0"/>
    </w:p>
    <w:p>
      <w:pPr>
        <w:autoSpaceDE w:val="0"/>
        <w:autoSpaceDN w:val="0"/>
        <w:adjustRightInd w:val="0"/>
        <w:spacing w:line="520" w:lineRule="exact"/>
        <w:ind w:firstLine="800" w:firstLineChars="25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rPr>
        <w:t>1、</w:t>
      </w:r>
      <w:r>
        <w:rPr>
          <w:rFonts w:hint="eastAsia" w:ascii="仿宋" w:hAnsi="仿宋" w:eastAsia="仿宋" w:cs="仿宋"/>
          <w:b w:val="0"/>
          <w:bCs w:val="0"/>
          <w:color w:val="000000"/>
          <w:kern w:val="0"/>
          <w:sz w:val="32"/>
          <w:szCs w:val="32"/>
        </w:rPr>
        <w:t>部门基本情况</w:t>
      </w:r>
    </w:p>
    <w:p>
      <w:pPr>
        <w:spacing w:line="560" w:lineRule="exact"/>
        <w:ind w:firstLine="640" w:firstLineChars="200"/>
        <w:rPr>
          <w:rFonts w:hint="eastAsia" w:ascii="仿宋" w:hAnsi="仿宋" w:eastAsia="仿宋" w:cs="仿宋"/>
          <w:b w:val="0"/>
          <w:bCs w:val="0"/>
          <w:kern w:val="11"/>
          <w:sz w:val="32"/>
          <w:szCs w:val="32"/>
        </w:rPr>
      </w:pPr>
      <w:r>
        <w:rPr>
          <w:rFonts w:hint="eastAsia" w:ascii="仿宋" w:hAnsi="仿宋" w:eastAsia="仿宋" w:cs="仿宋"/>
          <w:b w:val="0"/>
          <w:bCs w:val="0"/>
          <w:color w:val="000000"/>
          <w:kern w:val="0"/>
          <w:sz w:val="32"/>
          <w:szCs w:val="32"/>
        </w:rPr>
        <w:t>(</w:t>
      </w:r>
      <w:r>
        <w:rPr>
          <w:rFonts w:hint="eastAsia" w:ascii="仿宋" w:hAnsi="仿宋" w:eastAsia="仿宋" w:cs="仿宋"/>
          <w:b w:val="0"/>
          <w:bCs w:val="0"/>
          <w:kern w:val="11"/>
          <w:sz w:val="32"/>
          <w:szCs w:val="32"/>
        </w:rPr>
        <w:t>区安监局的主要职责是：</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负责起草安全生产综合性行政措施，研究提出全区安全生产工作的方针政策和重要措施的建议。负责拟订安全生产目标管理考核标准和控制指标分解方案，监督考核并通报安全生产控制指标执行情况。负责组织、指导、协调和监督全区安全生产行政执法工作。指导、协调全区安全生产工作，承担全区安全生产综合监督管理责任，依法行使综合监督管理职权，协调解决安全生产中的重大问题。</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承担工矿商贸生产经营单位安全生产监督管理责任，按照分级、属地原则，依法监督检查工矿商贸生产经营单位贯彻执行安全生产法律法规情况及其安全生产条件和有关设备（特种设备除外）、材料、劳动防护用品的安全生产管理工作，负责监督管理区属工矿商贸企业安全生产工作。</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负责依法组织并指导监督实施安全生产许可制度，承担权限内非煤矿矿山、危险化学品和烟花爆竹生产经营单位安全生产许可管理责任；负责危险化学品安全监督管理综合工作和烟花爆竹、非煤矿山安全生产监督管理工作。</w:t>
      </w:r>
    </w:p>
    <w:p>
      <w:pPr>
        <w:widowControl/>
        <w:spacing w:line="56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（四）承担对全区用人单位工作场所职业卫生监督检查和职业病预防有关监督管理。组织查处职业危害事故和违法违规行为。</w:t>
      </w:r>
    </w:p>
    <w:p>
      <w:pPr>
        <w:widowControl/>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（五）承担监督检查重大危险源监控、重大事故隐患排查治理工作，依法查处不具备安全生产条件的工矿商贸生产经营单位。</w:t>
      </w:r>
    </w:p>
    <w:p>
      <w:pPr>
        <w:widowControl/>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（六）负责组织区人民政府安全生产大检查和专项督查。</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（七）根据区人民政府授权，依法组织、协调一般事故调查处理和办理结案工作，监督事故查处和责任追究落实情况。</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（八）负责组织指挥和协调安全生产应急救援工作。</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（九）承担综合管理全区生产安全伤亡事故、安全生产行政执法和作业场所职业危害统计分析工作，定期分析和预测全区安全生产形势，发布全区安全生产信息。</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（十）负责监督检查职责范围内新建、改建、扩建工程项目的安全设施设计的审查和安全设施的竣工验收工作。</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（十一）组织开展全区安全生产方面的对外交流与合作。负责组织拟订全区安全生产科技规划，组织、指导和协调相关部门和单位开展安全生产科学技术研究和技术示范工作。</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十二）负责指导、协调全区安全生产检测检验工作，组织实施对工商贸生产经营单位安全生产条件和有关设备(特种设备除外)进行检测检验、安全评价、安全培训、安全咨询等社会中介组织的资质管理工作，并进行监督检查。</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十三）组织、指导全区和各街道、乡镇安全生产宣传教育工作，负责安全生产监督管理人员的安全培训、考核工作，依法组织、指导并监督特种作业人员（特种设备作业人员除外）的考核工作和工商贸生产经营单位主要经营管理者、安全生产管理人员的安全资格考核工作，监督检查工商贸生产经营单位安全培训工作。</w:t>
      </w:r>
    </w:p>
    <w:p>
      <w:pPr>
        <w:spacing w:line="560" w:lineRule="exact"/>
        <w:ind w:firstLine="480" w:firstLineChars="150"/>
        <w:rPr>
          <w:rFonts w:hint="eastAsia" w:ascii="仿宋" w:hAnsi="仿宋" w:eastAsia="仿宋" w:cs="仿宋"/>
          <w:b w:val="0"/>
          <w:bCs w:val="0"/>
          <w:sz w:val="32"/>
          <w:szCs w:val="32"/>
        </w:rPr>
      </w:pPr>
      <w:r>
        <w:rPr>
          <w:rFonts w:hint="eastAsia" w:ascii="仿宋" w:hAnsi="仿宋" w:eastAsia="仿宋" w:cs="仿宋"/>
          <w:b w:val="0"/>
          <w:bCs w:val="0"/>
          <w:sz w:val="32"/>
          <w:szCs w:val="32"/>
        </w:rPr>
        <w:t>（十四）承办区人民政府交办的其他事项。</w:t>
      </w:r>
    </w:p>
    <w:p>
      <w:pPr>
        <w:widowControl/>
        <w:shd w:val="clear" w:color="auto" w:fill="FFFFFF"/>
        <w:spacing w:line="560" w:lineRule="exact"/>
        <w:ind w:firstLine="56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区安监局内设3个机</w:t>
      </w:r>
      <w:r>
        <w:rPr>
          <w:rFonts w:hint="eastAsia" w:ascii="仿宋" w:hAnsi="仿宋" w:eastAsia="仿宋" w:cs="仿宋"/>
          <w:b w:val="0"/>
          <w:bCs w:val="0"/>
          <w:color w:val="000000"/>
          <w:kern w:val="0"/>
          <w:sz w:val="32"/>
          <w:szCs w:val="32"/>
          <w:lang w:eastAsia="zh-CN"/>
        </w:rPr>
        <w:t>：办公室、安全生产管理股、法规应急股</w:t>
      </w:r>
      <w:r>
        <w:rPr>
          <w:rFonts w:hint="eastAsia" w:ascii="仿宋" w:hAnsi="仿宋" w:eastAsia="仿宋" w:cs="仿宋"/>
          <w:b w:val="0"/>
          <w:bCs w:val="0"/>
          <w:color w:val="000000"/>
          <w:kern w:val="0"/>
          <w:sz w:val="32"/>
          <w:szCs w:val="32"/>
        </w:rPr>
        <w:t>。现有在职工作人员</w:t>
      </w:r>
      <w:r>
        <w:rPr>
          <w:rFonts w:hint="eastAsia" w:ascii="仿宋" w:hAnsi="仿宋" w:eastAsia="仿宋" w:cs="仿宋"/>
          <w:b w:val="0"/>
          <w:bCs w:val="0"/>
          <w:color w:val="000000"/>
          <w:kern w:val="0"/>
          <w:sz w:val="32"/>
          <w:szCs w:val="32"/>
          <w:lang w:val="en-US" w:eastAsia="zh-CN"/>
        </w:rPr>
        <w:t>9</w:t>
      </w:r>
      <w:r>
        <w:rPr>
          <w:rFonts w:hint="eastAsia" w:ascii="仿宋" w:hAnsi="仿宋" w:eastAsia="仿宋" w:cs="仿宋"/>
          <w:b w:val="0"/>
          <w:bCs w:val="0"/>
          <w:color w:val="000000"/>
          <w:kern w:val="0"/>
          <w:sz w:val="32"/>
          <w:szCs w:val="32"/>
        </w:rPr>
        <w:t>人。</w:t>
      </w:r>
    </w:p>
    <w:p>
      <w:pPr>
        <w:jc w:val="left"/>
        <w:rPr>
          <w:rFonts w:hint="eastAsia" w:ascii="仿宋" w:hAnsi="仿宋" w:eastAsia="仿宋" w:cs="仿宋"/>
          <w:b w:val="0"/>
          <w:bCs w:val="0"/>
          <w:sz w:val="32"/>
          <w:szCs w:val="32"/>
        </w:rPr>
      </w:pPr>
    </w:p>
    <w:p>
      <w:pPr>
        <w:widowControl/>
        <w:spacing w:line="600" w:lineRule="exac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二、机构设置及决算单位构成</w:t>
      </w:r>
    </w:p>
    <w:p>
      <w:pPr>
        <w:widowControl/>
        <w:shd w:val="clear" w:color="auto" w:fill="FFFFFF"/>
        <w:spacing w:line="560" w:lineRule="exact"/>
        <w:ind w:firstLine="56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kern w:val="0"/>
          <w:sz w:val="32"/>
          <w:szCs w:val="32"/>
        </w:rPr>
        <w:t>（一）内设机构设置。</w:t>
      </w:r>
      <w:r>
        <w:rPr>
          <w:rFonts w:hint="eastAsia" w:ascii="仿宋" w:hAnsi="仿宋" w:eastAsia="仿宋" w:cs="仿宋"/>
          <w:b w:val="0"/>
          <w:bCs w:val="0"/>
          <w:color w:val="000000"/>
          <w:kern w:val="0"/>
          <w:sz w:val="32"/>
          <w:szCs w:val="32"/>
        </w:rPr>
        <w:t>区安监局内设3个机</w:t>
      </w:r>
      <w:r>
        <w:rPr>
          <w:rFonts w:hint="eastAsia" w:ascii="仿宋" w:hAnsi="仿宋" w:eastAsia="仿宋" w:cs="仿宋"/>
          <w:b w:val="0"/>
          <w:bCs w:val="0"/>
          <w:color w:val="000000"/>
          <w:kern w:val="0"/>
          <w:sz w:val="32"/>
          <w:szCs w:val="32"/>
          <w:lang w:eastAsia="zh-CN"/>
        </w:rPr>
        <w:t>：办公室、安全生产管理股、法规应急股</w:t>
      </w:r>
      <w:r>
        <w:rPr>
          <w:rFonts w:hint="eastAsia" w:ascii="仿宋" w:hAnsi="仿宋" w:eastAsia="仿宋" w:cs="仿宋"/>
          <w:b w:val="0"/>
          <w:bCs w:val="0"/>
          <w:color w:val="000000"/>
          <w:kern w:val="0"/>
          <w:sz w:val="32"/>
          <w:szCs w:val="32"/>
        </w:rPr>
        <w:t>。现有在职工作人员</w:t>
      </w:r>
      <w:r>
        <w:rPr>
          <w:rFonts w:hint="eastAsia" w:ascii="仿宋" w:hAnsi="仿宋" w:eastAsia="仿宋" w:cs="仿宋"/>
          <w:b w:val="0"/>
          <w:bCs w:val="0"/>
          <w:color w:val="000000"/>
          <w:kern w:val="0"/>
          <w:sz w:val="32"/>
          <w:szCs w:val="32"/>
          <w:lang w:val="en-US" w:eastAsia="zh-CN"/>
        </w:rPr>
        <w:t>9</w:t>
      </w:r>
      <w:r>
        <w:rPr>
          <w:rFonts w:hint="eastAsia" w:ascii="仿宋" w:hAnsi="仿宋" w:eastAsia="仿宋" w:cs="仿宋"/>
          <w:b w:val="0"/>
          <w:bCs w:val="0"/>
          <w:color w:val="000000"/>
          <w:kern w:val="0"/>
          <w:sz w:val="32"/>
          <w:szCs w:val="32"/>
        </w:rPr>
        <w:t>人。</w:t>
      </w:r>
    </w:p>
    <w:p>
      <w:pPr>
        <w:widowControl/>
        <w:spacing w:line="600" w:lineRule="exac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（二）决算单位构成。</w:t>
      </w:r>
      <w:r>
        <w:rPr>
          <w:rFonts w:hint="eastAsia" w:ascii="仿宋" w:hAnsi="仿宋" w:eastAsia="仿宋" w:cs="仿宋"/>
          <w:b w:val="0"/>
          <w:bCs w:val="0"/>
          <w:color w:val="000000"/>
          <w:kern w:val="0"/>
          <w:sz w:val="32"/>
          <w:szCs w:val="32"/>
        </w:rPr>
        <w:t>区安监局</w:t>
      </w:r>
      <w:r>
        <w:rPr>
          <w:rFonts w:hint="eastAsia" w:ascii="仿宋" w:hAnsi="仿宋" w:eastAsia="仿宋" w:cs="仿宋"/>
          <w:b w:val="0"/>
          <w:bCs w:val="0"/>
          <w:kern w:val="0"/>
          <w:sz w:val="32"/>
          <w:szCs w:val="32"/>
        </w:rPr>
        <w:t>单位2019年部门决算汇总公开单位构成包括：</w:t>
      </w:r>
      <w:r>
        <w:rPr>
          <w:rFonts w:hint="eastAsia" w:ascii="仿宋" w:hAnsi="仿宋" w:eastAsia="仿宋" w:cs="仿宋"/>
          <w:b w:val="0"/>
          <w:bCs w:val="0"/>
          <w:color w:val="000000"/>
          <w:kern w:val="0"/>
          <w:sz w:val="32"/>
          <w:szCs w:val="32"/>
        </w:rPr>
        <w:t>区安监局</w:t>
      </w:r>
      <w:r>
        <w:rPr>
          <w:rFonts w:hint="eastAsia" w:ascii="仿宋" w:hAnsi="仿宋" w:eastAsia="仿宋" w:cs="仿宋"/>
          <w:b w:val="0"/>
          <w:bCs w:val="0"/>
          <w:kern w:val="0"/>
          <w:sz w:val="32"/>
          <w:szCs w:val="32"/>
        </w:rPr>
        <w:t>单位本级</w:t>
      </w:r>
      <w:r>
        <w:rPr>
          <w:rFonts w:hint="eastAsia" w:ascii="仿宋" w:hAnsi="仿宋" w:eastAsia="仿宋" w:cs="仿宋"/>
          <w:b w:val="0"/>
          <w:bCs w:val="0"/>
          <w:kern w:val="0"/>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b w:val="0"/>
          <w:bCs w:val="0"/>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二、部门整体支出管理及使用情况</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（一）2019年部门预算情况</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我办201</w:t>
      </w:r>
      <w:r>
        <w:rPr>
          <w:rFonts w:hint="eastAsia" w:ascii="仿宋" w:hAnsi="仿宋" w:eastAsia="仿宋" w:cs="仿宋"/>
          <w:b w:val="0"/>
          <w:bCs w:val="0"/>
          <w:kern w:val="0"/>
          <w:sz w:val="32"/>
          <w:szCs w:val="32"/>
          <w:lang w:val="en-US" w:eastAsia="zh-CN"/>
        </w:rPr>
        <w:t>9</w:t>
      </w:r>
      <w:r>
        <w:rPr>
          <w:rFonts w:hint="eastAsia" w:ascii="仿宋" w:hAnsi="仿宋" w:eastAsia="仿宋" w:cs="仿宋"/>
          <w:b w:val="0"/>
          <w:bCs w:val="0"/>
          <w:kern w:val="0"/>
          <w:sz w:val="32"/>
          <w:szCs w:val="32"/>
          <w:lang w:eastAsia="zh-CN"/>
        </w:rPr>
        <w:t>年度收入预算</w:t>
      </w:r>
      <w:r>
        <w:rPr>
          <w:rFonts w:hint="eastAsia" w:ascii="仿宋" w:hAnsi="仿宋" w:eastAsia="仿宋" w:cs="仿宋"/>
          <w:b w:val="0"/>
          <w:bCs w:val="0"/>
          <w:kern w:val="0"/>
          <w:sz w:val="32"/>
          <w:szCs w:val="32"/>
          <w:lang w:val="en-US" w:eastAsia="zh-CN"/>
        </w:rPr>
        <w:t>513.92</w:t>
      </w:r>
      <w:r>
        <w:rPr>
          <w:rFonts w:hint="eastAsia" w:ascii="仿宋" w:hAnsi="仿宋" w:eastAsia="仿宋" w:cs="仿宋"/>
          <w:b w:val="0"/>
          <w:bCs w:val="0"/>
          <w:kern w:val="0"/>
          <w:sz w:val="32"/>
          <w:szCs w:val="32"/>
          <w:lang w:eastAsia="zh-CN"/>
        </w:rPr>
        <w:t>万元（其中：一般公共预算拨款</w:t>
      </w:r>
      <w:r>
        <w:rPr>
          <w:rFonts w:hint="eastAsia" w:ascii="仿宋" w:hAnsi="仿宋" w:eastAsia="仿宋" w:cs="仿宋"/>
          <w:b w:val="0"/>
          <w:bCs w:val="0"/>
          <w:kern w:val="0"/>
          <w:sz w:val="32"/>
          <w:szCs w:val="32"/>
          <w:lang w:val="en-US" w:eastAsia="zh-CN"/>
        </w:rPr>
        <w:t>513.92</w:t>
      </w:r>
      <w:r>
        <w:rPr>
          <w:rFonts w:hint="eastAsia" w:ascii="仿宋" w:hAnsi="仿宋" w:eastAsia="仿宋" w:cs="仿宋"/>
          <w:b w:val="0"/>
          <w:bCs w:val="0"/>
          <w:kern w:val="0"/>
          <w:sz w:val="32"/>
          <w:szCs w:val="32"/>
          <w:lang w:eastAsia="zh-CN"/>
        </w:rPr>
        <w:t>万元），其中：基本支出</w:t>
      </w:r>
      <w:r>
        <w:rPr>
          <w:rFonts w:hint="eastAsia" w:ascii="仿宋" w:hAnsi="仿宋" w:eastAsia="仿宋" w:cs="仿宋"/>
          <w:b w:val="0"/>
          <w:bCs w:val="0"/>
          <w:kern w:val="0"/>
          <w:sz w:val="32"/>
          <w:szCs w:val="32"/>
          <w:lang w:val="en-US" w:eastAsia="zh-CN"/>
        </w:rPr>
        <w:t>112.92</w:t>
      </w:r>
      <w:r>
        <w:rPr>
          <w:rFonts w:hint="eastAsia" w:ascii="仿宋" w:hAnsi="仿宋" w:eastAsia="仿宋" w:cs="仿宋"/>
          <w:b w:val="0"/>
          <w:bCs w:val="0"/>
          <w:kern w:val="0"/>
          <w:sz w:val="32"/>
          <w:szCs w:val="32"/>
          <w:lang w:eastAsia="zh-CN"/>
        </w:rPr>
        <w:t>万元（工资福利支出</w:t>
      </w:r>
      <w:r>
        <w:rPr>
          <w:rFonts w:hint="eastAsia" w:ascii="仿宋" w:hAnsi="仿宋" w:eastAsia="仿宋" w:cs="仿宋"/>
          <w:b w:val="0"/>
          <w:bCs w:val="0"/>
          <w:kern w:val="0"/>
          <w:sz w:val="32"/>
          <w:szCs w:val="32"/>
          <w:lang w:val="en-US" w:eastAsia="zh-CN"/>
        </w:rPr>
        <w:t>108.92</w:t>
      </w:r>
      <w:r>
        <w:rPr>
          <w:rFonts w:hint="eastAsia" w:ascii="仿宋" w:hAnsi="仿宋" w:eastAsia="仿宋" w:cs="仿宋"/>
          <w:b w:val="0"/>
          <w:bCs w:val="0"/>
          <w:kern w:val="0"/>
          <w:sz w:val="32"/>
          <w:szCs w:val="32"/>
          <w:lang w:eastAsia="zh-CN"/>
        </w:rPr>
        <w:t>万元，商品和服务支出</w:t>
      </w:r>
      <w:r>
        <w:rPr>
          <w:rFonts w:hint="eastAsia" w:ascii="仿宋" w:hAnsi="仿宋" w:eastAsia="仿宋" w:cs="仿宋"/>
          <w:b w:val="0"/>
          <w:bCs w:val="0"/>
          <w:kern w:val="0"/>
          <w:sz w:val="32"/>
          <w:szCs w:val="32"/>
          <w:lang w:val="en-US" w:eastAsia="zh-CN"/>
        </w:rPr>
        <w:t>4</w:t>
      </w:r>
      <w:r>
        <w:rPr>
          <w:rFonts w:hint="eastAsia" w:ascii="仿宋" w:hAnsi="仿宋" w:eastAsia="仿宋" w:cs="仿宋"/>
          <w:b w:val="0"/>
          <w:bCs w:val="0"/>
          <w:kern w:val="0"/>
          <w:sz w:val="32"/>
          <w:szCs w:val="32"/>
          <w:lang w:eastAsia="zh-CN"/>
        </w:rPr>
        <w:t>万元，）；项目支出</w:t>
      </w:r>
      <w:r>
        <w:rPr>
          <w:rFonts w:hint="eastAsia" w:ascii="仿宋" w:hAnsi="仿宋" w:eastAsia="仿宋" w:cs="仿宋"/>
          <w:b w:val="0"/>
          <w:bCs w:val="0"/>
          <w:kern w:val="0"/>
          <w:sz w:val="32"/>
          <w:szCs w:val="32"/>
          <w:lang w:val="en-US" w:eastAsia="zh-CN"/>
        </w:rPr>
        <w:t>401</w:t>
      </w:r>
      <w:r>
        <w:rPr>
          <w:rFonts w:hint="eastAsia" w:ascii="仿宋" w:hAnsi="仿宋" w:eastAsia="仿宋" w:cs="仿宋"/>
          <w:b w:val="0"/>
          <w:bCs w:val="0"/>
          <w:kern w:val="0"/>
          <w:sz w:val="32"/>
          <w:szCs w:val="32"/>
          <w:lang w:eastAsia="zh-CN"/>
        </w:rPr>
        <w:t>万元。</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（二）201</w:t>
      </w:r>
      <w:r>
        <w:rPr>
          <w:rFonts w:hint="eastAsia" w:ascii="仿宋" w:hAnsi="仿宋" w:eastAsia="仿宋" w:cs="仿宋"/>
          <w:b w:val="0"/>
          <w:bCs w:val="0"/>
          <w:kern w:val="0"/>
          <w:sz w:val="32"/>
          <w:szCs w:val="32"/>
          <w:lang w:val="en-US" w:eastAsia="zh-CN"/>
        </w:rPr>
        <w:t>9</w:t>
      </w:r>
      <w:r>
        <w:rPr>
          <w:rFonts w:hint="eastAsia" w:ascii="仿宋" w:hAnsi="仿宋" w:eastAsia="仿宋" w:cs="仿宋"/>
          <w:b w:val="0"/>
          <w:bCs w:val="0"/>
          <w:kern w:val="0"/>
          <w:sz w:val="32"/>
          <w:szCs w:val="32"/>
          <w:lang w:eastAsia="zh-CN"/>
        </w:rPr>
        <w:t>年部门决算情况</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2019年收入决算数594.95万元，其中财政拨款收入513.92万元，其他收入81.04万元。本年度收入决算数较上年收入决算数比上年增加437.38万元，增加277.58%。</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val="en-US" w:eastAsia="zh-CN"/>
        </w:rPr>
        <w:t>2019年支出决算数163.98万元，其中：人员经费98.59万元，日常公用经费23.79万元，项目支出41.6万元。本年度支出决算数较上年支出决算数减少10.91万元减少6.24%。</w:t>
      </w:r>
    </w:p>
    <w:p>
      <w:pPr>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（三）201</w:t>
      </w:r>
      <w:r>
        <w:rPr>
          <w:rFonts w:hint="eastAsia" w:ascii="仿宋" w:hAnsi="仿宋" w:eastAsia="仿宋" w:cs="仿宋"/>
          <w:b w:val="0"/>
          <w:bCs w:val="0"/>
          <w:kern w:val="0"/>
          <w:sz w:val="32"/>
          <w:szCs w:val="32"/>
          <w:lang w:val="en-US" w:eastAsia="zh-CN"/>
        </w:rPr>
        <w:t>9</w:t>
      </w:r>
      <w:r>
        <w:rPr>
          <w:rFonts w:hint="eastAsia" w:ascii="仿宋" w:hAnsi="仿宋" w:eastAsia="仿宋" w:cs="仿宋"/>
          <w:b w:val="0"/>
          <w:bCs w:val="0"/>
          <w:kern w:val="0"/>
          <w:sz w:val="32"/>
          <w:szCs w:val="32"/>
          <w:lang w:eastAsia="zh-CN"/>
        </w:rPr>
        <w:t>年支出分类情况</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1.基本支出</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基本支出系保障我办正常运转、完成日常工作任务而发生的各项支出，包括用于在职和离退休人员基本工资、津贴补贴等人员经费以及办公费、印刷费、水电费、维修（护）费等日常公用经费。201</w:t>
      </w:r>
      <w:r>
        <w:rPr>
          <w:rFonts w:hint="eastAsia" w:ascii="仿宋" w:hAnsi="仿宋" w:eastAsia="仿宋" w:cs="仿宋"/>
          <w:b w:val="0"/>
          <w:bCs w:val="0"/>
          <w:kern w:val="0"/>
          <w:sz w:val="32"/>
          <w:szCs w:val="32"/>
          <w:lang w:val="en-US" w:eastAsia="zh-CN"/>
        </w:rPr>
        <w:t>9</w:t>
      </w:r>
      <w:r>
        <w:rPr>
          <w:rFonts w:hint="eastAsia" w:ascii="仿宋" w:hAnsi="仿宋" w:eastAsia="仿宋" w:cs="仿宋"/>
          <w:b w:val="0"/>
          <w:bCs w:val="0"/>
          <w:kern w:val="0"/>
          <w:sz w:val="32"/>
          <w:szCs w:val="32"/>
          <w:lang w:eastAsia="zh-CN"/>
        </w:rPr>
        <w:t>年基本支出</w:t>
      </w:r>
      <w:r>
        <w:rPr>
          <w:rFonts w:hint="eastAsia" w:ascii="仿宋" w:hAnsi="仿宋" w:eastAsia="仿宋" w:cs="仿宋"/>
          <w:b w:val="0"/>
          <w:bCs w:val="0"/>
          <w:kern w:val="0"/>
          <w:sz w:val="32"/>
          <w:szCs w:val="32"/>
          <w:lang w:val="en-US" w:eastAsia="zh-CN"/>
        </w:rPr>
        <w:t>122.38</w:t>
      </w:r>
      <w:r>
        <w:rPr>
          <w:rFonts w:hint="eastAsia" w:ascii="仿宋" w:hAnsi="仿宋" w:eastAsia="仿宋" w:cs="仿宋"/>
          <w:b w:val="0"/>
          <w:bCs w:val="0"/>
          <w:kern w:val="0"/>
          <w:sz w:val="32"/>
          <w:szCs w:val="32"/>
          <w:lang w:eastAsia="zh-CN"/>
        </w:rPr>
        <w:t>万元，较上年</w:t>
      </w:r>
      <w:r>
        <w:rPr>
          <w:rFonts w:hint="eastAsia" w:ascii="仿宋" w:hAnsi="仿宋" w:eastAsia="仿宋" w:cs="仿宋"/>
          <w:b w:val="0"/>
          <w:bCs w:val="0"/>
          <w:kern w:val="0"/>
          <w:sz w:val="32"/>
          <w:szCs w:val="32"/>
          <w:lang w:val="en-US" w:eastAsia="zh-CN"/>
        </w:rPr>
        <w:t>106.26</w:t>
      </w:r>
      <w:r>
        <w:rPr>
          <w:rFonts w:hint="eastAsia" w:ascii="仿宋" w:hAnsi="仿宋" w:eastAsia="仿宋" w:cs="仿宋"/>
          <w:b w:val="0"/>
          <w:bCs w:val="0"/>
          <w:kern w:val="0"/>
          <w:sz w:val="32"/>
          <w:szCs w:val="32"/>
          <w:lang w:eastAsia="zh-CN"/>
        </w:rPr>
        <w:t>万元增加</w:t>
      </w:r>
      <w:r>
        <w:rPr>
          <w:rFonts w:hint="eastAsia" w:ascii="仿宋" w:hAnsi="仿宋" w:eastAsia="仿宋" w:cs="仿宋"/>
          <w:b w:val="0"/>
          <w:bCs w:val="0"/>
          <w:kern w:val="0"/>
          <w:sz w:val="32"/>
          <w:szCs w:val="32"/>
          <w:lang w:val="en-US" w:eastAsia="zh-CN"/>
        </w:rPr>
        <w:t>16.12</w:t>
      </w:r>
      <w:r>
        <w:rPr>
          <w:rFonts w:hint="eastAsia" w:ascii="仿宋" w:hAnsi="仿宋" w:eastAsia="仿宋" w:cs="仿宋"/>
          <w:b w:val="0"/>
          <w:bCs w:val="0"/>
          <w:kern w:val="0"/>
          <w:sz w:val="32"/>
          <w:szCs w:val="32"/>
          <w:lang w:eastAsia="zh-CN"/>
        </w:rPr>
        <w:t>万元，增加</w:t>
      </w:r>
      <w:r>
        <w:rPr>
          <w:rFonts w:hint="eastAsia" w:ascii="仿宋" w:hAnsi="仿宋" w:eastAsia="仿宋" w:cs="仿宋"/>
          <w:b w:val="0"/>
          <w:bCs w:val="0"/>
          <w:kern w:val="0"/>
          <w:sz w:val="32"/>
          <w:szCs w:val="32"/>
          <w:lang w:val="en-US" w:eastAsia="zh-CN"/>
        </w:rPr>
        <w:t>15.17</w:t>
      </w:r>
      <w:r>
        <w:rPr>
          <w:rFonts w:hint="eastAsia" w:ascii="仿宋" w:hAnsi="仿宋" w:eastAsia="仿宋" w:cs="仿宋"/>
          <w:b w:val="0"/>
          <w:bCs w:val="0"/>
          <w:kern w:val="0"/>
          <w:sz w:val="32"/>
          <w:szCs w:val="32"/>
          <w:lang w:eastAsia="zh-CN"/>
        </w:rPr>
        <w:t>%。基本支出中人员经费</w:t>
      </w:r>
      <w:r>
        <w:rPr>
          <w:rFonts w:hint="eastAsia" w:ascii="仿宋" w:hAnsi="仿宋" w:eastAsia="仿宋" w:cs="仿宋"/>
          <w:b w:val="0"/>
          <w:bCs w:val="0"/>
          <w:kern w:val="0"/>
          <w:sz w:val="32"/>
          <w:szCs w:val="32"/>
          <w:lang w:val="en-US" w:eastAsia="zh-CN"/>
        </w:rPr>
        <w:t>98.59</w:t>
      </w:r>
      <w:r>
        <w:rPr>
          <w:rFonts w:hint="eastAsia" w:ascii="仿宋" w:hAnsi="仿宋" w:eastAsia="仿宋" w:cs="仿宋"/>
          <w:b w:val="0"/>
          <w:bCs w:val="0"/>
          <w:kern w:val="0"/>
          <w:sz w:val="32"/>
          <w:szCs w:val="32"/>
          <w:lang w:eastAsia="zh-CN"/>
        </w:rPr>
        <w:t>万元，占比</w:t>
      </w:r>
      <w:r>
        <w:rPr>
          <w:rFonts w:hint="eastAsia" w:ascii="仿宋" w:hAnsi="仿宋" w:eastAsia="仿宋" w:cs="仿宋"/>
          <w:b w:val="0"/>
          <w:bCs w:val="0"/>
          <w:kern w:val="0"/>
          <w:sz w:val="32"/>
          <w:szCs w:val="32"/>
          <w:lang w:val="en-US" w:eastAsia="zh-CN"/>
        </w:rPr>
        <w:t>80.56</w:t>
      </w:r>
      <w:r>
        <w:rPr>
          <w:rFonts w:hint="eastAsia" w:ascii="仿宋" w:hAnsi="仿宋" w:eastAsia="仿宋" w:cs="仿宋"/>
          <w:b w:val="0"/>
          <w:bCs w:val="0"/>
          <w:kern w:val="0"/>
          <w:sz w:val="32"/>
          <w:szCs w:val="32"/>
          <w:lang w:eastAsia="zh-CN"/>
        </w:rPr>
        <w:t>%，日常公用经费</w:t>
      </w:r>
      <w:r>
        <w:rPr>
          <w:rFonts w:hint="eastAsia" w:ascii="仿宋" w:hAnsi="仿宋" w:eastAsia="仿宋" w:cs="仿宋"/>
          <w:b w:val="0"/>
          <w:bCs w:val="0"/>
          <w:kern w:val="0"/>
          <w:sz w:val="32"/>
          <w:szCs w:val="32"/>
          <w:lang w:val="en-US" w:eastAsia="zh-CN"/>
        </w:rPr>
        <w:t>23.79</w:t>
      </w:r>
      <w:r>
        <w:rPr>
          <w:rFonts w:hint="eastAsia" w:ascii="仿宋" w:hAnsi="仿宋" w:eastAsia="仿宋" w:cs="仿宋"/>
          <w:b w:val="0"/>
          <w:bCs w:val="0"/>
          <w:kern w:val="0"/>
          <w:sz w:val="32"/>
          <w:szCs w:val="32"/>
          <w:lang w:eastAsia="zh-CN"/>
        </w:rPr>
        <w:t>万元，占比</w:t>
      </w:r>
      <w:r>
        <w:rPr>
          <w:rFonts w:hint="eastAsia" w:ascii="仿宋" w:hAnsi="仿宋" w:eastAsia="仿宋" w:cs="仿宋"/>
          <w:b w:val="0"/>
          <w:bCs w:val="0"/>
          <w:kern w:val="0"/>
          <w:sz w:val="32"/>
          <w:szCs w:val="32"/>
          <w:lang w:val="en-US" w:eastAsia="zh-CN"/>
        </w:rPr>
        <w:t>19.44</w:t>
      </w:r>
      <w:r>
        <w:rPr>
          <w:rFonts w:hint="eastAsia" w:ascii="仿宋" w:hAnsi="仿宋" w:eastAsia="仿宋" w:cs="仿宋"/>
          <w:b w:val="0"/>
          <w:bCs w:val="0"/>
          <w:kern w:val="0"/>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2.项目支出</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项目支出系我办为完成特定行政任务和事业发展目标所发生的支出。201</w:t>
      </w:r>
      <w:r>
        <w:rPr>
          <w:rFonts w:hint="eastAsia" w:ascii="仿宋" w:hAnsi="仿宋" w:eastAsia="仿宋" w:cs="仿宋"/>
          <w:b w:val="0"/>
          <w:bCs w:val="0"/>
          <w:kern w:val="0"/>
          <w:sz w:val="32"/>
          <w:szCs w:val="32"/>
          <w:lang w:val="en-US" w:eastAsia="zh-CN"/>
        </w:rPr>
        <w:t>9</w:t>
      </w:r>
      <w:r>
        <w:rPr>
          <w:rFonts w:hint="eastAsia" w:ascii="仿宋" w:hAnsi="仿宋" w:eastAsia="仿宋" w:cs="仿宋"/>
          <w:b w:val="0"/>
          <w:bCs w:val="0"/>
          <w:kern w:val="0"/>
          <w:sz w:val="32"/>
          <w:szCs w:val="32"/>
          <w:lang w:eastAsia="zh-CN"/>
        </w:rPr>
        <w:t>年项目支出</w:t>
      </w:r>
      <w:r>
        <w:rPr>
          <w:rFonts w:hint="eastAsia" w:ascii="仿宋" w:hAnsi="仿宋" w:eastAsia="仿宋" w:cs="仿宋"/>
          <w:b w:val="0"/>
          <w:bCs w:val="0"/>
          <w:kern w:val="0"/>
          <w:sz w:val="32"/>
          <w:szCs w:val="32"/>
          <w:lang w:val="en-US" w:eastAsia="zh-CN"/>
        </w:rPr>
        <w:t>41.6</w:t>
      </w:r>
      <w:r>
        <w:rPr>
          <w:rFonts w:hint="eastAsia" w:ascii="仿宋" w:hAnsi="仿宋" w:eastAsia="仿宋" w:cs="仿宋"/>
          <w:b w:val="0"/>
          <w:bCs w:val="0"/>
          <w:kern w:val="0"/>
          <w:sz w:val="32"/>
          <w:szCs w:val="32"/>
          <w:lang w:eastAsia="zh-CN"/>
        </w:rPr>
        <w:t>万元，较上年</w:t>
      </w:r>
      <w:r>
        <w:rPr>
          <w:rFonts w:hint="eastAsia" w:ascii="仿宋" w:hAnsi="仿宋" w:eastAsia="仿宋" w:cs="仿宋"/>
          <w:b w:val="0"/>
          <w:bCs w:val="0"/>
          <w:kern w:val="0"/>
          <w:sz w:val="32"/>
          <w:szCs w:val="32"/>
          <w:lang w:val="en-US" w:eastAsia="zh-CN"/>
        </w:rPr>
        <w:t>68.63</w:t>
      </w:r>
      <w:r>
        <w:rPr>
          <w:rFonts w:hint="eastAsia" w:ascii="仿宋" w:hAnsi="仿宋" w:eastAsia="仿宋" w:cs="仿宋"/>
          <w:b w:val="0"/>
          <w:bCs w:val="0"/>
          <w:kern w:val="0"/>
          <w:sz w:val="32"/>
          <w:szCs w:val="32"/>
          <w:lang w:eastAsia="zh-CN"/>
        </w:rPr>
        <w:t>万元减少</w:t>
      </w:r>
      <w:r>
        <w:rPr>
          <w:rFonts w:hint="eastAsia" w:ascii="仿宋" w:hAnsi="仿宋" w:eastAsia="仿宋" w:cs="仿宋"/>
          <w:b w:val="0"/>
          <w:bCs w:val="0"/>
          <w:kern w:val="0"/>
          <w:sz w:val="32"/>
          <w:szCs w:val="32"/>
          <w:lang w:val="en-US" w:eastAsia="zh-CN"/>
        </w:rPr>
        <w:t>27.03</w:t>
      </w:r>
      <w:r>
        <w:rPr>
          <w:rFonts w:hint="eastAsia" w:ascii="仿宋" w:hAnsi="仿宋" w:eastAsia="仿宋" w:cs="仿宋"/>
          <w:b w:val="0"/>
          <w:bCs w:val="0"/>
          <w:kern w:val="0"/>
          <w:sz w:val="32"/>
          <w:szCs w:val="32"/>
          <w:lang w:eastAsia="zh-CN"/>
        </w:rPr>
        <w:t>万元。项目支出中行政事业类项目</w:t>
      </w:r>
      <w:r>
        <w:rPr>
          <w:rFonts w:hint="eastAsia" w:ascii="仿宋" w:hAnsi="仿宋" w:eastAsia="仿宋" w:cs="仿宋"/>
          <w:b w:val="0"/>
          <w:bCs w:val="0"/>
          <w:kern w:val="0"/>
          <w:sz w:val="32"/>
          <w:szCs w:val="32"/>
          <w:lang w:val="en-US" w:eastAsia="zh-CN"/>
        </w:rPr>
        <w:t>41.6</w:t>
      </w:r>
      <w:r>
        <w:rPr>
          <w:rFonts w:hint="eastAsia" w:ascii="仿宋" w:hAnsi="仿宋" w:eastAsia="仿宋" w:cs="仿宋"/>
          <w:b w:val="0"/>
          <w:bCs w:val="0"/>
          <w:kern w:val="0"/>
          <w:sz w:val="32"/>
          <w:szCs w:val="32"/>
          <w:lang w:eastAsia="zh-CN"/>
        </w:rPr>
        <w:t>万元，占比</w:t>
      </w:r>
      <w:r>
        <w:rPr>
          <w:rFonts w:hint="eastAsia" w:ascii="仿宋" w:hAnsi="仿宋" w:eastAsia="仿宋" w:cs="仿宋"/>
          <w:b w:val="0"/>
          <w:bCs w:val="0"/>
          <w:kern w:val="0"/>
          <w:sz w:val="32"/>
          <w:szCs w:val="32"/>
          <w:lang w:val="en-US" w:eastAsia="zh-CN"/>
        </w:rPr>
        <w:t>100</w:t>
      </w:r>
      <w:r>
        <w:rPr>
          <w:rFonts w:hint="eastAsia" w:ascii="仿宋" w:hAnsi="仿宋" w:eastAsia="仿宋" w:cs="仿宋"/>
          <w:b w:val="0"/>
          <w:bCs w:val="0"/>
          <w:kern w:val="0"/>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 xml:space="preserve"> </w:t>
      </w:r>
      <w:r>
        <w:rPr>
          <w:rFonts w:hint="eastAsia" w:ascii="仿宋" w:hAnsi="仿宋" w:eastAsia="仿宋" w:cs="仿宋"/>
          <w:b w:val="0"/>
          <w:bCs w:val="0"/>
          <w:kern w:val="0"/>
          <w:sz w:val="32"/>
          <w:szCs w:val="32"/>
          <w:lang w:val="en-US" w:eastAsia="zh-CN"/>
        </w:rPr>
        <w:t>3、</w:t>
      </w:r>
      <w:r>
        <w:rPr>
          <w:rFonts w:hint="eastAsia" w:ascii="仿宋" w:hAnsi="仿宋" w:eastAsia="仿宋" w:cs="仿宋"/>
          <w:b w:val="0"/>
          <w:bCs w:val="0"/>
          <w:kern w:val="0"/>
          <w:sz w:val="32"/>
          <w:szCs w:val="32"/>
          <w:lang w:eastAsia="zh-CN"/>
        </w:rPr>
        <w:t>“三公”经费情况</w:t>
      </w:r>
    </w:p>
    <w:p>
      <w:pPr>
        <w:pStyle w:val="5"/>
        <w:ind w:firstLine="800" w:firstLineChars="250"/>
        <w:rPr>
          <w:rFonts w:hint="eastAsia" w:ascii="仿宋" w:hAnsi="仿宋" w:eastAsia="仿宋" w:cs="仿宋"/>
          <w:b w:val="0"/>
          <w:bCs w:val="0"/>
          <w:sz w:val="32"/>
          <w:szCs w:val="32"/>
        </w:rPr>
      </w:pPr>
      <w:r>
        <w:rPr>
          <w:rFonts w:hint="eastAsia" w:ascii="仿宋" w:hAnsi="仿宋" w:eastAsia="仿宋" w:cs="仿宋"/>
          <w:b w:val="0"/>
          <w:bCs w:val="0"/>
          <w:sz w:val="32"/>
          <w:szCs w:val="32"/>
        </w:rPr>
        <w:t>“三公”经费财政拨款支出预算为</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万元，支出决算为</w:t>
      </w:r>
      <w:r>
        <w:rPr>
          <w:rFonts w:hint="eastAsia" w:ascii="仿宋" w:hAnsi="仿宋" w:eastAsia="仿宋" w:cs="仿宋"/>
          <w:b w:val="0"/>
          <w:bCs w:val="0"/>
          <w:sz w:val="32"/>
          <w:szCs w:val="32"/>
          <w:lang w:val="en-US" w:eastAsia="zh-CN"/>
        </w:rPr>
        <w:t>3.24</w:t>
      </w:r>
      <w:r>
        <w:rPr>
          <w:rFonts w:hint="eastAsia" w:ascii="仿宋" w:hAnsi="仿宋" w:eastAsia="仿宋" w:cs="仿宋"/>
          <w:b w:val="0"/>
          <w:bCs w:val="0"/>
          <w:sz w:val="32"/>
          <w:szCs w:val="32"/>
        </w:rPr>
        <w:t>万元，完成预算的</w:t>
      </w:r>
      <w:r>
        <w:rPr>
          <w:rFonts w:hint="eastAsia" w:ascii="仿宋" w:hAnsi="仿宋" w:eastAsia="仿宋" w:cs="仿宋"/>
          <w:b w:val="0"/>
          <w:bCs w:val="0"/>
          <w:sz w:val="32"/>
          <w:szCs w:val="32"/>
          <w:lang w:val="en-US" w:eastAsia="zh-CN"/>
        </w:rPr>
        <w:t>81</w:t>
      </w:r>
      <w:r>
        <w:rPr>
          <w:rFonts w:hint="eastAsia" w:ascii="仿宋" w:hAnsi="仿宋" w:eastAsia="仿宋" w:cs="仿宋"/>
          <w:b w:val="0"/>
          <w:bCs w:val="0"/>
          <w:sz w:val="32"/>
          <w:szCs w:val="32"/>
        </w:rPr>
        <w:t>%，其中：</w:t>
      </w:r>
    </w:p>
    <w:p>
      <w:pPr>
        <w:pStyle w:val="5"/>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公务用车购置费及运行维护费支出预算为</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万元，支出决算为</w:t>
      </w:r>
      <w:r>
        <w:rPr>
          <w:rFonts w:hint="eastAsia" w:ascii="仿宋" w:hAnsi="仿宋" w:eastAsia="仿宋" w:cs="仿宋"/>
          <w:b w:val="0"/>
          <w:bCs w:val="0"/>
          <w:sz w:val="32"/>
          <w:szCs w:val="32"/>
          <w:lang w:val="en-US" w:eastAsia="zh-CN"/>
        </w:rPr>
        <w:t>3.24</w:t>
      </w:r>
      <w:r>
        <w:rPr>
          <w:rFonts w:hint="eastAsia" w:ascii="仿宋" w:hAnsi="仿宋" w:eastAsia="仿宋" w:cs="仿宋"/>
          <w:b w:val="0"/>
          <w:bCs w:val="0"/>
          <w:sz w:val="32"/>
          <w:szCs w:val="32"/>
        </w:rPr>
        <w:t>万元，完成预算的</w:t>
      </w:r>
      <w:r>
        <w:rPr>
          <w:rFonts w:hint="eastAsia" w:ascii="仿宋" w:hAnsi="仿宋" w:eastAsia="仿宋" w:cs="仿宋"/>
          <w:b w:val="0"/>
          <w:bCs w:val="0"/>
          <w:sz w:val="32"/>
          <w:szCs w:val="32"/>
          <w:lang w:val="en-US" w:eastAsia="zh-CN"/>
        </w:rPr>
        <w:t>81</w:t>
      </w:r>
      <w:r>
        <w:rPr>
          <w:rFonts w:hint="eastAsia" w:ascii="仿宋" w:hAnsi="仿宋" w:eastAsia="仿宋" w:cs="仿宋"/>
          <w:b w:val="0"/>
          <w:bCs w:val="0"/>
          <w:sz w:val="32"/>
          <w:szCs w:val="32"/>
        </w:rPr>
        <w:t>%，决算数小于年初预算数的主要原因是</w:t>
      </w:r>
      <w:r>
        <w:rPr>
          <w:rFonts w:hint="eastAsia" w:ascii="仿宋" w:hAnsi="仿宋" w:eastAsia="仿宋" w:cs="仿宋"/>
          <w:b w:val="0"/>
          <w:bCs w:val="0"/>
          <w:sz w:val="32"/>
          <w:szCs w:val="32"/>
          <w:lang w:eastAsia="zh-CN"/>
        </w:rPr>
        <w:t>节约开支</w:t>
      </w:r>
      <w:r>
        <w:rPr>
          <w:rFonts w:hint="eastAsia" w:ascii="仿宋" w:hAnsi="仿宋" w:eastAsia="仿宋" w:cs="仿宋"/>
          <w:b w:val="0"/>
          <w:bCs w:val="0"/>
          <w:sz w:val="32"/>
          <w:szCs w:val="32"/>
        </w:rPr>
        <w:t>，与上年相比增加</w:t>
      </w:r>
      <w:r>
        <w:rPr>
          <w:rFonts w:hint="eastAsia" w:ascii="仿宋" w:hAnsi="仿宋" w:eastAsia="仿宋" w:cs="仿宋"/>
          <w:b w:val="0"/>
          <w:bCs w:val="0"/>
          <w:sz w:val="32"/>
          <w:szCs w:val="32"/>
          <w:lang w:val="en-US" w:eastAsia="zh-CN"/>
        </w:rPr>
        <w:t>0.25</w:t>
      </w:r>
      <w:r>
        <w:rPr>
          <w:rFonts w:hint="eastAsia" w:ascii="仿宋" w:hAnsi="仿宋" w:eastAsia="仿宋" w:cs="仿宋"/>
          <w:b w:val="0"/>
          <w:bCs w:val="0"/>
          <w:sz w:val="32"/>
          <w:szCs w:val="32"/>
        </w:rPr>
        <w:t>万元，增长</w:t>
      </w:r>
      <w:r>
        <w:rPr>
          <w:rFonts w:hint="eastAsia" w:ascii="仿宋" w:hAnsi="仿宋" w:eastAsia="仿宋" w:cs="仿宋"/>
          <w:b w:val="0"/>
          <w:bCs w:val="0"/>
          <w:sz w:val="32"/>
          <w:szCs w:val="32"/>
          <w:lang w:val="en-US" w:eastAsia="zh-CN"/>
        </w:rPr>
        <w:t>8.22</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三、部门整体支出绩效情况</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2019年度，区应急管理局“紧盯为庆祝新中国成立70周年营造安全稳定环境、争创省优、落实市政府下达的安全生产目标责任三个工作目标，突出宣传教育、隐患排查、风险防控、专项行动四项工作重点，首创社区村建立安全“一长三员”制度、首创校园安全“一会、一课、一小视频”宣传方式、首创应急管理信息管理平台建设、率先在全市探索专家检查服务方式、率先启动“三大应急预案”编制规划五项工作特色和亮点”，取得了强执法防事故连续三个季度在全市排名第一，安全生产风险隐患“三大行动”、“五个一批”持续保持全市第一的成绩，事故发生率、伤亡率低排在全市前列的良好成效，确保全区安全生产形势持续平安稳定，被评为全省安全生产工作优秀单位。</w:t>
      </w:r>
    </w:p>
    <w:p>
      <w:pPr>
        <w:spacing w:line="360" w:lineRule="auto"/>
        <w:ind w:firstLine="660"/>
        <w:rPr>
          <w:rFonts w:hint="eastAsia" w:ascii="仿宋" w:hAnsi="仿宋" w:eastAsia="仿宋" w:cs="仿宋"/>
          <w:b w:val="0"/>
          <w:bCs w:val="0"/>
          <w:sz w:val="32"/>
          <w:szCs w:val="32"/>
        </w:rPr>
      </w:pPr>
      <w:r>
        <w:rPr>
          <w:rFonts w:hint="eastAsia" w:ascii="仿宋" w:hAnsi="仿宋" w:eastAsia="仿宋" w:cs="仿宋"/>
          <w:b w:val="0"/>
          <w:bCs w:val="0"/>
          <w:sz w:val="32"/>
          <w:szCs w:val="32"/>
        </w:rPr>
        <w:t>1、在“综合防”上下真功夫，进一步强化了安全和应急管理的落实力。</w:t>
      </w:r>
    </w:p>
    <w:p>
      <w:pPr>
        <w:spacing w:line="360" w:lineRule="auto"/>
        <w:ind w:firstLine="660"/>
        <w:rPr>
          <w:rFonts w:hint="eastAsia" w:ascii="仿宋" w:hAnsi="仿宋" w:eastAsia="仿宋" w:cs="仿宋"/>
          <w:b w:val="0"/>
          <w:bCs w:val="0"/>
          <w:sz w:val="32"/>
          <w:szCs w:val="32"/>
        </w:rPr>
      </w:pPr>
      <w:r>
        <w:rPr>
          <w:rFonts w:hint="eastAsia" w:ascii="仿宋" w:hAnsi="仿宋" w:eastAsia="仿宋" w:cs="仿宋"/>
          <w:b w:val="0"/>
          <w:bCs w:val="0"/>
          <w:sz w:val="32"/>
          <w:szCs w:val="32"/>
        </w:rPr>
        <w:t>一是推动党委政府领导责任落实。区委区政府领导高度重视安全生产工作，我局一直以来积极协调配合当好参谋助手，制定了相关领导带队检查工作方案，为督查特护期、节假日等关键节点的安全生产工作做好了相应保障。二是安委办综合统筹行业部门监管责任落实。全面推行负有安全生产监管职责的部门计划监管执法，推进“强执法防事故”行动。三是全面推进企业主体责任落实。下发了《关于印发&lt;雁峰区“落实企业安全生产主体责任年”2019年实施方案&gt;的通知》,</w:t>
      </w:r>
      <w:r>
        <w:rPr>
          <w:rFonts w:hint="eastAsia" w:ascii="仿宋" w:hAnsi="仿宋" w:eastAsia="仿宋" w:cs="仿宋"/>
          <w:b w:val="0"/>
          <w:bCs w:val="0"/>
          <w:kern w:val="0"/>
          <w:sz w:val="32"/>
          <w:szCs w:val="32"/>
        </w:rPr>
        <w:t>督促生产经营单位围绕“一必须五到位”依法依规落实安全生产主体责任。</w:t>
      </w:r>
    </w:p>
    <w:p>
      <w:pPr>
        <w:spacing w:line="360" w:lineRule="auto"/>
        <w:ind w:firstLine="627" w:firstLineChars="196"/>
        <w:rPr>
          <w:rFonts w:hint="eastAsia" w:ascii="仿宋" w:hAnsi="仿宋" w:eastAsia="仿宋" w:cs="仿宋"/>
          <w:b w:val="0"/>
          <w:bCs w:val="0"/>
          <w:sz w:val="32"/>
          <w:szCs w:val="32"/>
        </w:rPr>
      </w:pPr>
      <w:r>
        <w:rPr>
          <w:rFonts w:hint="eastAsia" w:ascii="仿宋" w:hAnsi="仿宋" w:eastAsia="仿宋" w:cs="仿宋"/>
          <w:b w:val="0"/>
          <w:bCs w:val="0"/>
          <w:sz w:val="32"/>
          <w:szCs w:val="32"/>
        </w:rPr>
        <w:t>2、在“牵头救”上推实举措，进一步提高了安全和应急管理的执行力。</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7月6日市局防汛调度会后， 我局党组立即召开会议研究部署防汛救灾工作，要求全局干部职工取消休假，严格实行24小时领导带班值班制度，全局人员都全身投入防汛救灾工作来。一是明确工作职责。安排了专人负责全区报灾、核灾工作，安排专人负责因灾被困或因灾受危群众转移安置工作；与衡阳根创设备有限公司签订了救灾物资供货协议，负责救灾物资购买、调度、发放工作；二是明确专人负责综合协调各相关部门、镇街相关工作。根据各镇街、各部门上报的受灾情况，第一时间到受灾现场进行核灾，确保报灾数据的真实、准确，并按照时间节点及时向市局报送情况；三是全局工作人员齐上阵。服从局党组的统一调度，对突发事件全局上阵，切实做好防汛救灾各项工作。</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3、在“统筹助”上动真感情，进一步提高了安全和应急管理的凝聚力。</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全区上下全力以赴做好防汛救灾工作，加强对防洪堤、车江铜矿尾矿库、地质灾害点、挡土墙、内涝等监控预警，做好隐患排查，精准采取措施应对，确保人民群众生命财产安全。全区各部门在区内22个内涝点、34个地质灾害点都安排人员24小时值班值守，谨防发生大的次生灾害；沿湘江河段、水库堤坝都安排专人24小时巡堤查险，防止我区出现溃堤的风险。我局在7月10日、13日、15日深夜、凌晨陪同区委书记周玉军、区长何子君到各受灾点、风险地段、河段调度防汛抗灾工作，并多次到师院、锦绣花苑、技校等内涝点查看险情、灾情，并及时做好险情的处置。7月9日，我区启动自然灾害救助Ⅲ级响应，全区共投入112万元用于安置受灾群众和防汛抗灾所需物资、设备。通过全区干部职工的严防死守，这次洪涝灾害，我区没有发生人员伤亡事件，没有发生溃堤毁坝事件，受灾群众得到及时救助，切实保障了我区群众生命财产安全。</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4、在“安全监管”上动真格，进一步提高了安全和应急管理的威慑力。</w:t>
      </w:r>
    </w:p>
    <w:p>
      <w:p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是开展重要时段、重点行业领域专项整治。持续推进“落实企业安全生产主体责任年”及“强执法、除隐患、迎大庆、保安全”工作,“两节两会”及“端午”、“中秋”及“国庆特护”期间重要时段严防死守，开展安全巡查，加强值班值守和信息报送，确保大庆期间安全生产形势持续平稳。二是深入开展“百日行动”。</w:t>
      </w:r>
      <w:r>
        <w:rPr>
          <w:rFonts w:hint="eastAsia" w:ascii="仿宋" w:hAnsi="仿宋" w:eastAsia="仿宋" w:cs="仿宋"/>
          <w:b w:val="0"/>
          <w:bCs w:val="0"/>
          <w:color w:val="000000"/>
          <w:sz w:val="32"/>
          <w:szCs w:val="32"/>
        </w:rPr>
        <w:t>支持激励各镇街开展安全生产风险隐患“大排查大管控大整治”百日行动，安排专项激励资金用于安全生产风险隐患排查与管控。三是</w:t>
      </w:r>
      <w:r>
        <w:rPr>
          <w:rFonts w:hint="eastAsia" w:ascii="仿宋" w:hAnsi="仿宋" w:eastAsia="仿宋" w:cs="仿宋"/>
          <w:b w:val="0"/>
          <w:bCs w:val="0"/>
          <w:sz w:val="32"/>
          <w:szCs w:val="32"/>
        </w:rPr>
        <w:t>在镇街全面开展委托执法工作。</w:t>
      </w:r>
      <w:r>
        <w:rPr>
          <w:rFonts w:hint="eastAsia" w:ascii="仿宋" w:hAnsi="仿宋" w:eastAsia="仿宋" w:cs="仿宋"/>
          <w:b w:val="0"/>
          <w:bCs w:val="0"/>
          <w:color w:val="000000"/>
          <w:sz w:val="32"/>
          <w:szCs w:val="32"/>
        </w:rPr>
        <w:t>在“强执法，防事故”行动中，区安委办按照“每周一调度”、“十天一上报”和“每月一通报”等三项制度实施。在镇街全面开展委托执法工作，</w:t>
      </w:r>
      <w:r>
        <w:rPr>
          <w:rFonts w:hint="eastAsia" w:ascii="仿宋" w:hAnsi="仿宋" w:eastAsia="仿宋" w:cs="仿宋"/>
          <w:b w:val="0"/>
          <w:bCs w:val="0"/>
          <w:sz w:val="32"/>
          <w:szCs w:val="32"/>
        </w:rPr>
        <w:t xml:space="preserve">区政府主要领导对“强执法、防事故”执法工作落后的镇街进行了约谈，形成安全监管高压严管态势。四是紧盯森林防火安全。我局协调、督促各森防办成员单位发挥部门优势，既分工负责，又齐心协力做好森林防灭火工作，春节、清明及高温期间，实行森林火灾报告制度，确保了森林防火工作形势的安全可控。 </w:t>
      </w:r>
    </w:p>
    <w:p>
      <w:pPr>
        <w:spacing w:line="360" w:lineRule="auto"/>
        <w:ind w:firstLine="627" w:firstLineChars="196"/>
        <w:rPr>
          <w:rFonts w:hint="eastAsia" w:ascii="仿宋" w:hAnsi="仿宋" w:eastAsia="仿宋" w:cs="仿宋"/>
          <w:b w:val="0"/>
          <w:bCs w:val="0"/>
          <w:color w:val="000000"/>
          <w:sz w:val="32"/>
          <w:szCs w:val="32"/>
        </w:rPr>
      </w:pPr>
      <w:r>
        <w:rPr>
          <w:rFonts w:hint="eastAsia" w:ascii="仿宋" w:hAnsi="仿宋" w:eastAsia="仿宋" w:cs="仿宋"/>
          <w:b w:val="0"/>
          <w:bCs w:val="0"/>
          <w:sz w:val="32"/>
          <w:szCs w:val="32"/>
        </w:rPr>
        <w:t>5、在“宣传教育”上求实效，进一步提高了安全和应急管理监管的向心力。</w:t>
      </w:r>
      <w:r>
        <w:rPr>
          <w:rFonts w:hint="eastAsia" w:ascii="仿宋" w:hAnsi="仿宋" w:eastAsia="仿宋" w:cs="仿宋"/>
          <w:b w:val="0"/>
          <w:bCs w:val="0"/>
          <w:color w:val="000000"/>
          <w:sz w:val="32"/>
          <w:szCs w:val="32"/>
        </w:rPr>
        <w:t>区安委办组织开展了应急誓言宣誓、“万人大签名”、安全应急常识有奖竞赛、巨幅电子显示屏播放安全生产警示教育片等富有特色和实效的宣传活动。全方位开展应急演练，在中联石化军民加油站、白沙实验学校、校车公司、幼儿园、特变电工、美美世界、水上救援等企业、行业、领域开展了20多场次应急救援演练，扎实提升各单位应急处置能力。人民日报、学习强国湖南平台、湖南日报、湖南红网、掌上衡阳等中央、省、市等10多家媒体报道了我区“安全生产月”系列宣传活动，成功营造浓厚氛围。“安全生产月”期间，我区广泛发动全区群众参与安全生产月“全国应急和安全知识竞赛”，取得了全市第四名的好成绩。9月份，我区在应急管理部举办的“普法竞赛”活动中在全市五城区中排名第二。</w:t>
      </w:r>
    </w:p>
    <w:p>
      <w:pPr>
        <w:ind w:firstLine="640" w:firstLineChars="200"/>
        <w:jc w:val="left"/>
        <w:rPr>
          <w:rFonts w:hint="eastAsia" w:ascii="仿宋" w:hAnsi="仿宋" w:eastAsia="仿宋" w:cs="仿宋"/>
          <w:b w:val="0"/>
          <w:bCs w:val="0"/>
          <w:color w:val="000000"/>
          <w:kern w:val="0"/>
          <w:sz w:val="32"/>
          <w:szCs w:val="32"/>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A6B4D"/>
    <w:rsid w:val="4E331E9B"/>
    <w:rsid w:val="576A6B4D"/>
    <w:rsid w:val="6A7657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黑体" w:cs="Times New Roman"/>
      <w:kern w:val="44"/>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2020-10-13T02:08:00Z</dcterms:created>
  <dc:creator>orange</dc:creator>
  <cp:lastModifiedBy>orange</cp:lastModifiedBy>
  <dcterms:modified xsi:type="dcterms:W3CDTF">2020-10-13T02:09:13Z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