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2019年度部门整体支出绩效评价报告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</w:rPr>
        <w:t>为了切实做好2019年度部门整体支出绩效自评工作，提高财政资金使用效益，根据财政</w:t>
      </w: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  <w:lang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</w:rPr>
        <w:t>关于开展财政资金绩效自评工作的有关精神，结合实际，我们组织开展了绩效评价工作，经过对各项财务资料和统计数据的分析，对部门整体支出预算执行和管理的合法性、完整性、使用效益等方面进行了分析计算，总结，现将本单位2019年整体支出绩效评价结果报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一、部门概况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（一）、基本情况</w:t>
      </w:r>
    </w:p>
    <w:p>
      <w:pPr>
        <w:widowControl/>
        <w:spacing w:line="600" w:lineRule="exact"/>
        <w:ind w:firstLine="960" w:firstLineChars="3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</w:rPr>
        <w:t>雁峰区中医院(口腔医院)，是雁峰区差额预算拨款的行政事业单位1个。我院现有在编职工124人，退休人员96人，医院设口腔内科、外科、镶牙科等九个科室，另设综合住院部，中医全科，等14个医疗科室。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、主要职责</w:t>
      </w:r>
    </w:p>
    <w:p>
      <w:pPr>
        <w:widowControl/>
        <w:spacing w:line="600" w:lineRule="exact"/>
        <w:ind w:firstLine="960" w:firstLineChars="300"/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</w:rPr>
        <w:t>我院是集医疗、预防、保健、临床教学为一体的二级综合性医院，是市职工医保、城镇居民医保、新型农村合作医疗及雁峰区城乡医疗救助定点医院，卫生部儿童口腔疾病干预项目免费窝沟封闭、口腔健康教育基地等定点单位，现在是一套班子、两块牌子、承担着衡阳市口腔医疗保健、公共卫生保健和雁峰区急救援助工作任务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、部门整体支出总体情况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本单位2019年全年收入总计1139.99万元，全年完成实际支出　1086.97万元，其中：基本支出1058.17万元，项目支出28.8万元。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部门整体支出管理及使用情况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基本支出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2019年部门整体支出1086.97万元，其中基本支出1058.17万元（工资福利支出675.16万元、商品和服务支出223.81万元、对个人和家庭的补助30.4万元。三公经费支出无。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本单位2019年严格按照年初预算以及各级部门相关要求，严控经费支出，强化制度执行，降低行政成本。严格公务接待费、差旅费、会议费培训费申报审批程序，做到一事一审批，一事一结账，严格报账程序，重大事项遵守“三重一大”制度，全年整体部门支出严格控制在年初预算范围之内。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项目支出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2019年项目支出28万元，其中重大公共卫生专项28万元。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全年绩效总目标和阶段性目标都已按计划完成，项目的开展有力地支持了口腔疾病的治疗，降低相关口腔疾病发生。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资产管理情况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本单位固定资产实行统一管理、统一调配，并按使用人建立了资产卡片管理台账，对固定资产实行统一采购、多人经办，年初根据各部门需求制定采购计划，实行多方询价、货比三家，按政府采购程序和有关规定加强采购手续。年底对财产物资进行清查、盘点，杜绝了国有资产的流失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部门整体支出绩效情况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2019年，我处部门整体支出绩效自评结果反映我院2019年绩效目标完成较好，确保了政府的正常运行，在预算配置、预算执行、预算管理等方面较好的支持办事处的中心工作，根据部门整体支出绩效评价指标体系，我处2019年部门整体支出绩效自评98分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存在的主要问题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1、预算控制率有待降低。因政策因素外，由于部分临时、紧急或突发的工作任务导致年终追加预算。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2、专项资金较多导致资金管理有待进一步系统化。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改进措施及建议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1、进一步细化预算编制工作，认真做好预算的编制，加强预算管理意识，严格预算执行。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2、进一步加强财务管理，严格财务审核，健全财务管理制度，规范单位财务行为，杜绝财务违规现象的发生。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 w:firstLine="320" w:firstLineChars="1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3、进一步完善资产管理，严控三公经费。加强单位内部资产管理，严格编制采购预算和计划，杜绝资产流失，严把三公经费支出审核审批关，合理压缩三公经费支出。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4、进一步加强对财务人员的培训，规范部门预算收支核算，切实提高部门预算收支管理水平。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14DE"/>
    <w:multiLevelType w:val="singleLevel"/>
    <w:tmpl w:val="2D2914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C4788E"/>
    <w:multiLevelType w:val="singleLevel"/>
    <w:tmpl w:val="34C478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7AF4E34"/>
    <w:multiLevelType w:val="singleLevel"/>
    <w:tmpl w:val="47AF4E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82FFC"/>
    <w:rsid w:val="4E331E9B"/>
    <w:rsid w:val="5A982FFC"/>
    <w:rsid w:val="6A765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2020-10-13T09:25:00Z</dcterms:created>
  <dc:creator>orange</dc:creator>
  <cp:lastModifiedBy>orange</cp:lastModifiedBy>
  <dcterms:modified xsi:type="dcterms:W3CDTF">2020-10-13T09:26:09Z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