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Times New Roman" w:hAnsi="Times New Roman" w:eastAsia="方正小标宋_GBK" w:cs="Times New Roman"/>
          <w:bCs/>
          <w:kern w:val="0"/>
          <w:sz w:val="72"/>
          <w:szCs w:val="72"/>
          <w:lang w:eastAsia="zh-CN"/>
        </w:rPr>
      </w:pPr>
      <w:r>
        <w:rPr>
          <w:rFonts w:hint="eastAsia" w:ascii="Times New Roman" w:hAnsi="Times New Roman" w:eastAsia="方正小标宋_GBK" w:cs="Times New Roman"/>
          <w:bCs/>
          <w:kern w:val="0"/>
          <w:sz w:val="72"/>
          <w:szCs w:val="72"/>
          <w:lang w:eastAsia="zh-CN"/>
        </w:rPr>
        <w:t>雁峰区妇联</w:t>
      </w:r>
    </w:p>
    <w:p>
      <w:pPr>
        <w:widowControl/>
        <w:jc w:val="center"/>
        <w:rPr>
          <w:rFonts w:hint="eastAsia" w:ascii="Times New Roman" w:hAnsi="Times New Roman" w:eastAsia="方正小标宋_GBK" w:cs="Times New Roman"/>
          <w:bCs/>
          <w:kern w:val="0"/>
          <w:sz w:val="72"/>
          <w:szCs w:val="72"/>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方正小标宋_GBK" w:cs="Times New Roman"/>
          <w:bCs/>
          <w:kern w:val="0"/>
          <w:sz w:val="72"/>
          <w:szCs w:val="72"/>
        </w:rPr>
        <w:t>2018年度部门决算</w:t>
      </w: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w:t>
      </w:r>
      <w:r>
        <w:rPr>
          <w:rFonts w:hint="eastAsia" w:ascii="Times New Roman" w:hAnsi="Times New Roman" w:eastAsia="方正小标宋_GBK" w:cs="Times New Roman"/>
          <w:bCs/>
          <w:kern w:val="0"/>
          <w:sz w:val="44"/>
          <w:szCs w:val="44"/>
          <w:lang w:val="en-US" w:eastAsia="zh-CN"/>
        </w:rPr>
        <w:t xml:space="preserve">  </w:t>
      </w:r>
      <w:bookmarkStart w:id="0" w:name="_GoBack"/>
      <w:bookmarkEnd w:id="0"/>
      <w:r>
        <w:rPr>
          <w:rFonts w:hint="eastAsia" w:ascii="Times New Roman" w:hAnsi="Times New Roman" w:eastAsia="方正小标宋_GBK" w:cs="Times New Roman"/>
          <w:bCs/>
          <w:kern w:val="0"/>
          <w:sz w:val="44"/>
          <w:szCs w:val="44"/>
        </w:rPr>
        <w:t>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第一部分  雁峰区</w:t>
      </w:r>
      <w:r>
        <w:rPr>
          <w:rFonts w:hint="eastAsia" w:ascii="Times New Roman" w:hAnsi="Times New Roman" w:eastAsia="黑体" w:cs="Times New Roman"/>
          <w:bCs/>
          <w:kern w:val="0"/>
          <w:sz w:val="32"/>
          <w:szCs w:val="32"/>
          <w:lang w:eastAsia="zh-CN"/>
        </w:rPr>
        <w:t>妇联</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rPr>
        <w:t>雁峰区</w:t>
      </w:r>
      <w:r>
        <w:rPr>
          <w:rFonts w:hint="eastAsia" w:ascii="Times New Roman" w:hAnsi="Times New Roman" w:eastAsia="黑体" w:cs="Times New Roman"/>
          <w:bCs/>
          <w:kern w:val="0"/>
          <w:sz w:val="32"/>
          <w:szCs w:val="32"/>
          <w:lang w:eastAsia="zh-CN"/>
        </w:rPr>
        <w:t>妇联</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一、收入支出决算总表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二、收入决算表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三、支出决算表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四、财政拨款收入支出决算总表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五、一般公共预算财政拨款支出决算表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六、一般公共预算财政拨款基本支出决算表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七、一般公共预算财政拨款“三公”经费支出决算表</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rPr>
        <w:t>雁峰区</w:t>
      </w:r>
      <w:r>
        <w:rPr>
          <w:rFonts w:hint="eastAsia" w:ascii="Times New Roman" w:hAnsi="Times New Roman" w:eastAsia="黑体" w:cs="Times New Roman"/>
          <w:bCs/>
          <w:kern w:val="0"/>
          <w:sz w:val="32"/>
          <w:szCs w:val="32"/>
          <w:lang w:eastAsia="zh-CN"/>
        </w:rPr>
        <w:t>妇联</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jc w:val="center"/>
        <w:rPr>
          <w:rFonts w:hint="eastAsia" w:ascii="Times New Roman" w:hAnsi="Times New Roman" w:eastAsia="方正小标宋_GBK" w:cs="Times New Roman"/>
          <w:bCs/>
          <w:kern w:val="0"/>
          <w:sz w:val="72"/>
          <w:szCs w:val="72"/>
        </w:rPr>
        <w:sectPr>
          <w:pgSz w:w="11906" w:h="16838"/>
          <w:pgMar w:top="1440" w:right="1800" w:bottom="1440" w:left="1800" w:header="851" w:footer="992" w:gutter="0"/>
          <w:cols w:space="425" w:num="1"/>
          <w:docGrid w:type="lines" w:linePitch="312" w:charSpace="0"/>
        </w:sectPr>
      </w:pPr>
    </w:p>
    <w:p>
      <w:pPr>
        <w:widowControl/>
        <w:numPr>
          <w:ilvl w:val="0"/>
          <w:numId w:val="1"/>
        </w:numPr>
        <w:spacing w:line="600" w:lineRule="exact"/>
        <w:jc w:val="center"/>
        <w:rPr>
          <w:rFonts w:hint="eastAsia" w:eastAsia="黑体"/>
          <w:bCs/>
          <w:kern w:val="0"/>
          <w:sz w:val="32"/>
          <w:szCs w:val="32"/>
        </w:rPr>
      </w:pPr>
      <w:r>
        <w:rPr>
          <w:rFonts w:hint="eastAsia" w:eastAsia="黑体"/>
          <w:bCs/>
          <w:kern w:val="0"/>
          <w:sz w:val="32"/>
          <w:szCs w:val="32"/>
        </w:rPr>
        <w:t>雁峰区</w:t>
      </w:r>
      <w:r>
        <w:rPr>
          <w:rFonts w:hint="eastAsia" w:eastAsia="黑体"/>
          <w:bCs/>
          <w:kern w:val="0"/>
          <w:sz w:val="32"/>
          <w:szCs w:val="32"/>
          <w:lang w:eastAsia="zh-CN"/>
        </w:rPr>
        <w:t>妇联</w:t>
      </w:r>
      <w:r>
        <w:rPr>
          <w:rFonts w:hint="eastAsia" w:eastAsia="黑体"/>
          <w:bCs/>
          <w:kern w:val="0"/>
          <w:sz w:val="32"/>
          <w:szCs w:val="32"/>
        </w:rPr>
        <w:t>概况</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一、主要职责</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（一）</w:t>
      </w:r>
      <w:r>
        <w:rPr>
          <w:rFonts w:hint="eastAsia" w:ascii="Times New Roman" w:hAnsi="Times New Roman" w:eastAsia="仿宋_GB2312" w:cs="Times New Roman"/>
          <w:bCs/>
          <w:kern w:val="0"/>
          <w:sz w:val="32"/>
          <w:szCs w:val="32"/>
          <w:lang w:eastAsia="zh-CN"/>
        </w:rPr>
        <w:t>团结、动员广大妇女积极投身改革，参与经济建设，促进社会发展和社会稳定。</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（二）</w:t>
      </w:r>
      <w:r>
        <w:rPr>
          <w:rFonts w:hint="eastAsia" w:ascii="Times New Roman" w:hAnsi="Times New Roman" w:eastAsia="仿宋_GB2312" w:cs="Times New Roman"/>
          <w:bCs/>
          <w:kern w:val="0"/>
          <w:sz w:val="32"/>
          <w:szCs w:val="32"/>
          <w:lang w:eastAsia="zh-CN"/>
        </w:rPr>
        <w:t>教育引导广大妇女树立自尊、自信、自立、自强精神，全面提高妇女群众整体素质，促进男女平等基本国策的贯彻执行。</w:t>
      </w:r>
    </w:p>
    <w:p>
      <w:pPr>
        <w:widowControl/>
        <w:spacing w:line="600" w:lineRule="exact"/>
        <w:ind w:firstLine="640" w:firstLineChars="200"/>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eastAsia="zh-CN"/>
        </w:rPr>
        <w:t>（三）代表妇女参与民主管理、民主监督，提高妇女参与社会事务管理及决策水平</w:t>
      </w:r>
      <w:r>
        <w:rPr>
          <w:rFonts w:hint="eastAsia" w:ascii="Times New Roman" w:hAnsi="Times New Roman" w:eastAsia="仿宋_GB2312" w:cs="Times New Roman"/>
          <w:bCs/>
          <w:kern w:val="0"/>
          <w:sz w:val="32"/>
          <w:szCs w:val="32"/>
          <w:lang w:val="en-US" w:eastAsia="zh-CN"/>
        </w:rPr>
        <w:t>，保障妇女各项政治权利得以落实。</w:t>
      </w:r>
    </w:p>
    <w:p>
      <w:pPr>
        <w:widowControl/>
        <w:spacing w:line="600" w:lineRule="exact"/>
        <w:ind w:firstLine="640" w:firstLineChars="200"/>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（四）为妇女儿童群体服务，切实维护妇女儿童合法权益。</w:t>
      </w:r>
    </w:p>
    <w:p>
      <w:pPr>
        <w:widowControl/>
        <w:spacing w:line="600" w:lineRule="exact"/>
        <w:ind w:firstLine="640" w:firstLineChars="200"/>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（五）巩固、扩大各族和社会各界妇女团结，促进政治、经济、文化、社会的发展和祖国统一大业。</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lang w:val="en-US" w:eastAsia="zh-CN"/>
        </w:rPr>
        <w:t>（六）积极参与妇女儿童工作的社会协调，组织妇女和儿童发展规划、各项目标的实施。</w:t>
      </w:r>
    </w:p>
    <w:p>
      <w:pPr>
        <w:widowControl/>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二、机构设置</w:t>
      </w:r>
    </w:p>
    <w:p>
      <w:pPr>
        <w:widowControl/>
        <w:spacing w:line="600" w:lineRule="exact"/>
        <w:ind w:firstLine="640" w:firstLineChars="200"/>
        <w:rPr>
          <w:rFonts w:hint="default"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（一）</w:t>
      </w:r>
      <w:r>
        <w:rPr>
          <w:rFonts w:hint="default" w:ascii="Times New Roman" w:hAnsi="Times New Roman" w:eastAsia="仿宋_GB2312" w:cs="Times New Roman"/>
          <w:bCs/>
          <w:kern w:val="0"/>
          <w:sz w:val="32"/>
          <w:szCs w:val="32"/>
          <w:lang w:val="en-US" w:eastAsia="zh-CN"/>
        </w:rPr>
        <w:t>组织宣传</w:t>
      </w:r>
      <w:r>
        <w:rPr>
          <w:rFonts w:hint="eastAsia" w:ascii="Times New Roman" w:hAnsi="Times New Roman" w:eastAsia="仿宋_GB2312" w:cs="Times New Roman"/>
          <w:bCs/>
          <w:kern w:val="0"/>
          <w:sz w:val="32"/>
          <w:szCs w:val="32"/>
          <w:lang w:val="en-US" w:eastAsia="zh-CN"/>
        </w:rPr>
        <w:t>、</w:t>
      </w:r>
      <w:r>
        <w:rPr>
          <w:rFonts w:hint="default" w:ascii="Times New Roman" w:hAnsi="Times New Roman" w:eastAsia="仿宋_GB2312" w:cs="Times New Roman"/>
          <w:bCs/>
          <w:kern w:val="0"/>
          <w:sz w:val="32"/>
          <w:szCs w:val="32"/>
          <w:lang w:val="en-US" w:eastAsia="zh-CN"/>
        </w:rPr>
        <w:t>妇女发展和权益</w:t>
      </w:r>
      <w:r>
        <w:rPr>
          <w:rFonts w:hint="eastAsia" w:ascii="Times New Roman" w:hAnsi="Times New Roman" w:eastAsia="仿宋_GB2312" w:cs="Times New Roman"/>
          <w:bCs/>
          <w:kern w:val="0"/>
          <w:sz w:val="32"/>
          <w:szCs w:val="32"/>
          <w:lang w:val="en-US" w:eastAsia="zh-CN"/>
        </w:rPr>
        <w:t>部。</w:t>
      </w:r>
      <w:r>
        <w:rPr>
          <w:rFonts w:hint="default" w:ascii="Times New Roman" w:hAnsi="Times New Roman" w:eastAsia="仿宋_GB2312" w:cs="Times New Roman"/>
          <w:bCs/>
          <w:kern w:val="0"/>
          <w:sz w:val="32"/>
          <w:szCs w:val="32"/>
          <w:lang w:val="en-US" w:eastAsia="zh-CN"/>
        </w:rPr>
        <w:t>协助镇、街道党（工）委管好其妇联领导班子，配合有关部门做好培养选拔女干部工作；负责编制全区妇联系统干部教育培训规划和基层妇联组织建设规划并组织实施；指导和实施“五好文明家庭”创建活动和家庭文化建设；负责区“三八”红旗手（集体）、“五好文明家庭”的推荐、申报工作。动员和组织妇女参与经济建设和社会发展，开发妇女人力资源；指导全区各级妇联组织搞好妇女文化科技培训和职业技能培训，提高妇女的文化科技素质和适应市场经济发展的能力；开展社区妇女工作，促进妇女广泛平等就业；动员和组织妇女参与扶贫、生态环境建设，促进农村妇女依靠科技致富；指导全区各级妇联开展“双学双比”、“巾帼建功”活动；指导、推动全区各级妇联依法维护妇女儿童权益工作；参与有关普法工作；负责处理群众来信来访，接受各种渠道妇女投诉，参与重大典型案件的专项调查，为受害妇女儿童提供法律援助和社会服务；指导区女法律工作者联谊的工作。</w:t>
      </w:r>
    </w:p>
    <w:p>
      <w:pPr>
        <w:widowControl/>
        <w:spacing w:line="600" w:lineRule="exact"/>
        <w:ind w:firstLine="640" w:firstLineChars="200"/>
        <w:rPr>
          <w:rFonts w:hint="default"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（二）</w:t>
      </w:r>
      <w:r>
        <w:rPr>
          <w:rFonts w:hint="default" w:ascii="Times New Roman" w:hAnsi="Times New Roman" w:eastAsia="仿宋_GB2312" w:cs="Times New Roman"/>
          <w:bCs/>
          <w:kern w:val="0"/>
          <w:sz w:val="32"/>
          <w:szCs w:val="32"/>
          <w:lang w:val="en-US" w:eastAsia="zh-CN"/>
        </w:rPr>
        <w:t>家庭和儿童工作</w:t>
      </w:r>
      <w:r>
        <w:rPr>
          <w:rFonts w:hint="eastAsia" w:ascii="Times New Roman" w:hAnsi="Times New Roman" w:eastAsia="仿宋_GB2312" w:cs="Times New Roman"/>
          <w:bCs/>
          <w:kern w:val="0"/>
          <w:sz w:val="32"/>
          <w:szCs w:val="32"/>
          <w:lang w:val="en-US" w:eastAsia="zh-CN"/>
        </w:rPr>
        <w:t>部。</w:t>
      </w:r>
      <w:r>
        <w:rPr>
          <w:rFonts w:hint="default" w:ascii="Times New Roman" w:hAnsi="Times New Roman" w:eastAsia="仿宋_GB2312" w:cs="Times New Roman"/>
          <w:bCs/>
          <w:kern w:val="0"/>
          <w:sz w:val="32"/>
          <w:szCs w:val="32"/>
          <w:lang w:val="en-US" w:eastAsia="zh-CN"/>
        </w:rPr>
        <w:t>协助有关部门实施保护儿童的法律、法规；协调社会各界关心、支持儿童事业的发展，组织开展有利于儿童身心健康的活动，营造适宜儿童健康成长的社会环境；负责家庭教育的理论研究、培训、宣传、普及工作；做好女童教育工作，进一步深入实施“春蕾计划”；加强对儿童校外活动阵地指导与管理。</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eastAsia="zh-CN"/>
        </w:rPr>
        <w:t>（三）</w:t>
      </w:r>
      <w:r>
        <w:rPr>
          <w:rFonts w:hint="default" w:ascii="Times New Roman" w:hAnsi="Times New Roman" w:eastAsia="仿宋_GB2312" w:cs="Times New Roman"/>
          <w:bCs/>
          <w:kern w:val="0"/>
          <w:sz w:val="32"/>
          <w:szCs w:val="32"/>
          <w:lang w:eastAsia="zh-CN"/>
        </w:rPr>
        <w:t>区政府妇女儿童工作委员会办公室</w:t>
      </w:r>
      <w:r>
        <w:rPr>
          <w:rFonts w:hint="eastAsia"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lang w:eastAsia="zh-CN"/>
        </w:rPr>
        <w:t>负责</w:t>
      </w:r>
      <w:r>
        <w:rPr>
          <w:rFonts w:hint="eastAsia" w:ascii="Times New Roman" w:hAnsi="Times New Roman" w:eastAsia="仿宋_GB2312" w:cs="Times New Roman"/>
          <w:bCs/>
          <w:kern w:val="0"/>
          <w:sz w:val="32"/>
          <w:szCs w:val="32"/>
          <w:lang w:eastAsia="zh-CN"/>
        </w:rPr>
        <w:t>区政府</w:t>
      </w:r>
      <w:r>
        <w:rPr>
          <w:rFonts w:hint="default" w:ascii="Times New Roman" w:hAnsi="Times New Roman" w:eastAsia="仿宋_GB2312" w:cs="Times New Roman"/>
          <w:bCs/>
          <w:kern w:val="0"/>
          <w:sz w:val="32"/>
          <w:szCs w:val="32"/>
          <w:lang w:eastAsia="zh-CN"/>
        </w:rPr>
        <w:t>妇女儿童工作</w:t>
      </w:r>
      <w:r>
        <w:rPr>
          <w:rFonts w:hint="eastAsia" w:ascii="Times New Roman" w:hAnsi="Times New Roman" w:eastAsia="仿宋_GB2312" w:cs="Times New Roman"/>
          <w:bCs/>
          <w:kern w:val="0"/>
          <w:sz w:val="32"/>
          <w:szCs w:val="32"/>
          <w:lang w:eastAsia="zh-CN"/>
        </w:rPr>
        <w:t>委员会及其办公室的日常工作。负责拟订全区妇女儿童发展中长期规划和年度计划并组织实施。协调和推动区政府妇女儿童工作委员会成员单位做好维护妇女儿童权益工作。</w:t>
      </w:r>
    </w:p>
    <w:p>
      <w:pPr>
        <w:widowControl/>
        <w:spacing w:line="600" w:lineRule="exact"/>
        <w:jc w:val="center"/>
        <w:rPr>
          <w:rFonts w:ascii="黑体" w:hAnsi="黑体" w:eastAsia="黑体"/>
          <w:bCs/>
          <w:kern w:val="0"/>
          <w:sz w:val="32"/>
          <w:szCs w:val="32"/>
        </w:rPr>
      </w:pPr>
      <w:r>
        <w:rPr>
          <w:rFonts w:ascii="黑体" w:hAnsi="黑体" w:eastAsia="黑体"/>
          <w:bCs/>
          <w:kern w:val="0"/>
          <w:sz w:val="32"/>
          <w:szCs w:val="32"/>
        </w:rPr>
        <w:t xml:space="preserve">第二部分  </w:t>
      </w:r>
      <w:r>
        <w:rPr>
          <w:rFonts w:hint="eastAsia" w:ascii="黑体" w:hAnsi="黑体" w:eastAsia="黑体"/>
          <w:bCs/>
          <w:kern w:val="0"/>
          <w:sz w:val="32"/>
          <w:szCs w:val="32"/>
        </w:rPr>
        <w:t>雁峰区</w:t>
      </w:r>
      <w:r>
        <w:rPr>
          <w:rFonts w:hint="eastAsia" w:ascii="黑体" w:hAnsi="黑体" w:eastAsia="黑体"/>
          <w:bCs/>
          <w:kern w:val="0"/>
          <w:sz w:val="32"/>
          <w:szCs w:val="32"/>
          <w:lang w:eastAsia="zh-CN"/>
        </w:rPr>
        <w:t>妇联</w:t>
      </w:r>
      <w:r>
        <w:rPr>
          <w:rFonts w:ascii="黑体" w:hAnsi="黑体" w:eastAsia="黑体"/>
          <w:bCs/>
          <w:kern w:val="0"/>
          <w:sz w:val="32"/>
          <w:szCs w:val="32"/>
        </w:rPr>
        <w:t>201</w:t>
      </w:r>
      <w:r>
        <w:rPr>
          <w:rFonts w:hint="eastAsia" w:ascii="黑体" w:hAnsi="黑体" w:eastAsia="黑体"/>
          <w:bCs/>
          <w:kern w:val="0"/>
          <w:sz w:val="32"/>
          <w:szCs w:val="32"/>
          <w:lang w:val="en-US" w:eastAsia="zh-CN"/>
        </w:rPr>
        <w:t>8</w:t>
      </w:r>
      <w:r>
        <w:rPr>
          <w:rFonts w:ascii="黑体" w:hAnsi="黑体" w:eastAsia="黑体"/>
          <w:bCs/>
          <w:kern w:val="0"/>
          <w:sz w:val="32"/>
          <w:szCs w:val="32"/>
        </w:rPr>
        <w:t>年度部门决算表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一、收入支出决算总表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二、收入决算表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三、支出决算表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四、财政拨款收入支出决算总表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五、一般公共预算财政拨款支出决算表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六、一般公共预算财政拨款基本支出决算表</w:t>
      </w:r>
    </w:p>
    <w:p>
      <w:pPr>
        <w:widowControl/>
        <w:spacing w:line="600" w:lineRule="exact"/>
        <w:ind w:firstLine="640" w:firstLineChars="200"/>
        <w:rPr>
          <w:rFonts w:ascii="楷体" w:hAnsi="楷体" w:eastAsia="楷体"/>
          <w:bCs/>
          <w:kern w:val="0"/>
          <w:sz w:val="32"/>
          <w:szCs w:val="32"/>
        </w:rPr>
      </w:pPr>
      <w:r>
        <w:rPr>
          <w:rFonts w:ascii="楷体" w:hAnsi="楷体" w:eastAsia="楷体"/>
          <w:bCs/>
          <w:kern w:val="0"/>
          <w:sz w:val="32"/>
          <w:szCs w:val="32"/>
        </w:rPr>
        <w:t>七、一般公共预算财政拨款“三公”经费支出决算表</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八、政府性基金预算财政拨款收入支出决算表</w:t>
      </w:r>
    </w:p>
    <w:p>
      <w:pPr>
        <w:widowControl/>
        <w:spacing w:line="600" w:lineRule="exact"/>
        <w:rPr>
          <w:rFonts w:hint="eastAsia" w:ascii="楷体" w:hAnsi="楷体" w:eastAsia="楷体"/>
          <w:bCs/>
          <w:kern w:val="0"/>
          <w:sz w:val="32"/>
          <w:szCs w:val="32"/>
        </w:rPr>
      </w:pPr>
      <w:r>
        <w:rPr>
          <w:rFonts w:hint="eastAsia" w:ascii="楷体" w:hAnsi="楷体" w:eastAsia="楷体"/>
          <w:bCs/>
          <w:kern w:val="0"/>
          <w:sz w:val="32"/>
          <w:szCs w:val="32"/>
        </w:rPr>
        <w:t>（公开表格附后）</w:t>
      </w:r>
    </w:p>
    <w:p>
      <w:pPr>
        <w:widowControl/>
        <w:spacing w:line="600" w:lineRule="exact"/>
        <w:jc w:val="center"/>
        <w:rPr>
          <w:rFonts w:eastAsia="黑体"/>
          <w:bCs/>
          <w:kern w:val="0"/>
          <w:sz w:val="32"/>
          <w:szCs w:val="32"/>
        </w:rPr>
      </w:pPr>
      <w:r>
        <w:rPr>
          <w:rFonts w:eastAsia="黑体"/>
          <w:bCs/>
          <w:kern w:val="0"/>
          <w:sz w:val="32"/>
          <w:szCs w:val="32"/>
        </w:rPr>
        <w:t xml:space="preserve">第三部分  </w:t>
      </w:r>
      <w:r>
        <w:rPr>
          <w:rFonts w:hint="eastAsia" w:eastAsia="黑体"/>
          <w:bCs/>
          <w:kern w:val="0"/>
          <w:sz w:val="32"/>
          <w:szCs w:val="32"/>
        </w:rPr>
        <w:t>雁峰区</w:t>
      </w:r>
      <w:r>
        <w:rPr>
          <w:rFonts w:hint="eastAsia" w:eastAsia="黑体"/>
          <w:bCs/>
          <w:kern w:val="0"/>
          <w:sz w:val="32"/>
          <w:szCs w:val="32"/>
          <w:lang w:eastAsia="zh-CN"/>
        </w:rPr>
        <w:t>妇联</w:t>
      </w:r>
      <w:r>
        <w:rPr>
          <w:rFonts w:eastAsia="黑体"/>
          <w:bCs/>
          <w:kern w:val="0"/>
          <w:sz w:val="32"/>
          <w:szCs w:val="32"/>
        </w:rPr>
        <w:t>201</w:t>
      </w:r>
      <w:r>
        <w:rPr>
          <w:rFonts w:hint="eastAsia" w:eastAsia="黑体"/>
          <w:bCs/>
          <w:kern w:val="0"/>
          <w:sz w:val="32"/>
          <w:szCs w:val="32"/>
          <w:lang w:val="en-US" w:eastAsia="zh-CN"/>
        </w:rPr>
        <w:t>8</w:t>
      </w:r>
      <w:r>
        <w:rPr>
          <w:rFonts w:eastAsia="黑体"/>
          <w:bCs/>
          <w:kern w:val="0"/>
          <w:sz w:val="32"/>
          <w:szCs w:val="32"/>
        </w:rPr>
        <w:t>年度部门决算情况说明</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一、收入支出决算总体情况说明</w:t>
      </w:r>
    </w:p>
    <w:p>
      <w:pPr>
        <w:widowControl/>
        <w:spacing w:line="600" w:lineRule="exact"/>
        <w:ind w:firstLine="640"/>
        <w:rPr>
          <w:rFonts w:hint="eastAsia" w:ascii="楷体" w:hAnsi="楷体" w:eastAsia="楷体"/>
          <w:bCs/>
          <w:kern w:val="0"/>
          <w:sz w:val="32"/>
          <w:szCs w:val="32"/>
        </w:rPr>
      </w:pPr>
      <w:r>
        <w:rPr>
          <w:rFonts w:hint="eastAsia" w:ascii="楷体" w:hAnsi="楷体" w:eastAsia="楷体"/>
          <w:bCs/>
          <w:kern w:val="0"/>
          <w:sz w:val="32"/>
          <w:szCs w:val="32"/>
        </w:rPr>
        <w:t>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年决算收入</w:t>
      </w:r>
      <w:r>
        <w:rPr>
          <w:rFonts w:hint="eastAsia" w:ascii="楷体" w:hAnsi="楷体" w:eastAsia="楷体"/>
          <w:sz w:val="32"/>
          <w:szCs w:val="32"/>
        </w:rPr>
        <w:t>79.74</w:t>
      </w:r>
      <w:r>
        <w:rPr>
          <w:rFonts w:hint="eastAsia" w:ascii="楷体" w:hAnsi="楷体" w:eastAsia="楷体"/>
          <w:bCs/>
          <w:kern w:val="0"/>
          <w:sz w:val="32"/>
          <w:szCs w:val="32"/>
        </w:rPr>
        <w:t>万元，其中：财政拨款收入69.59万元，其他收入10.16万元。决算支出</w:t>
      </w:r>
      <w:r>
        <w:rPr>
          <w:rFonts w:hint="eastAsia" w:ascii="楷体" w:hAnsi="楷体" w:eastAsia="楷体"/>
          <w:sz w:val="32"/>
          <w:szCs w:val="32"/>
        </w:rPr>
        <w:t>78.37</w:t>
      </w:r>
      <w:r>
        <w:rPr>
          <w:rFonts w:hint="eastAsia" w:ascii="楷体" w:hAnsi="楷体" w:eastAsia="楷体"/>
          <w:bCs/>
          <w:kern w:val="0"/>
          <w:sz w:val="32"/>
          <w:szCs w:val="32"/>
        </w:rPr>
        <w:t>万元，其中：基本支出47.26万元, 项目支出31.11万元。年末结转和结余</w:t>
      </w:r>
      <w:r>
        <w:rPr>
          <w:rFonts w:hint="eastAsia" w:ascii="楷体" w:hAnsi="楷体" w:eastAsia="楷体"/>
          <w:sz w:val="32"/>
          <w:szCs w:val="32"/>
        </w:rPr>
        <w:t>1.</w:t>
      </w:r>
      <w:r>
        <w:rPr>
          <w:rFonts w:hint="eastAsia" w:ascii="楷体" w:hAnsi="楷体" w:eastAsia="楷体"/>
          <w:sz w:val="32"/>
          <w:szCs w:val="32"/>
          <w:lang w:val="en-US" w:eastAsia="zh-CN"/>
        </w:rPr>
        <w:t>38</w:t>
      </w:r>
      <w:r>
        <w:rPr>
          <w:rFonts w:hint="eastAsia" w:ascii="楷体" w:hAnsi="楷体" w:eastAsia="楷体"/>
          <w:bCs/>
          <w:kern w:val="0"/>
          <w:sz w:val="32"/>
          <w:szCs w:val="32"/>
        </w:rPr>
        <w:t>万元。</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二、收入决算情况说明</w:t>
      </w:r>
    </w:p>
    <w:p>
      <w:pPr>
        <w:widowControl/>
        <w:spacing w:line="600" w:lineRule="exact"/>
        <w:ind w:firstLine="640"/>
        <w:rPr>
          <w:rFonts w:hint="eastAsia" w:ascii="楷体" w:hAnsi="楷体" w:eastAsia="楷体"/>
          <w:bCs/>
          <w:kern w:val="0"/>
          <w:sz w:val="32"/>
          <w:szCs w:val="32"/>
        </w:rPr>
      </w:pPr>
      <w:r>
        <w:rPr>
          <w:rFonts w:hint="eastAsia" w:ascii="楷体" w:hAnsi="楷体" w:eastAsia="楷体"/>
          <w:bCs/>
          <w:kern w:val="0"/>
          <w:sz w:val="32"/>
          <w:szCs w:val="32"/>
        </w:rPr>
        <w:t>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年决算收入</w:t>
      </w:r>
      <w:r>
        <w:rPr>
          <w:rFonts w:hint="eastAsia" w:ascii="楷体" w:hAnsi="楷体" w:eastAsia="楷体"/>
          <w:sz w:val="32"/>
          <w:szCs w:val="32"/>
        </w:rPr>
        <w:t>79.74</w:t>
      </w:r>
      <w:r>
        <w:rPr>
          <w:rFonts w:hint="eastAsia" w:ascii="楷体" w:hAnsi="楷体" w:eastAsia="楷体"/>
          <w:bCs/>
          <w:kern w:val="0"/>
          <w:sz w:val="32"/>
          <w:szCs w:val="32"/>
        </w:rPr>
        <w:t>万元，其中：财政拨款收入69.59万元，其他收入10.16万元。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三、支出决算情况说明</w:t>
      </w:r>
    </w:p>
    <w:p>
      <w:pPr>
        <w:widowControl/>
        <w:spacing w:line="600" w:lineRule="exact"/>
        <w:ind w:firstLine="640" w:firstLineChars="200"/>
        <w:rPr>
          <w:rFonts w:hint="eastAsia" w:ascii="楷体" w:hAnsi="楷体" w:eastAsia="楷体"/>
          <w:bCs/>
          <w:kern w:val="0"/>
          <w:sz w:val="32"/>
          <w:szCs w:val="32"/>
        </w:rPr>
      </w:pPr>
      <w:r>
        <w:rPr>
          <w:rFonts w:hint="eastAsia" w:ascii="楷体" w:hAnsi="楷体" w:eastAsia="楷体"/>
          <w:bCs/>
          <w:kern w:val="0"/>
          <w:sz w:val="32"/>
          <w:szCs w:val="32"/>
          <w:lang w:val="en-US" w:eastAsia="zh-CN"/>
        </w:rPr>
        <w:t>2018年</w:t>
      </w:r>
      <w:r>
        <w:rPr>
          <w:rFonts w:hint="eastAsia" w:ascii="楷体" w:hAnsi="楷体" w:eastAsia="楷体"/>
          <w:bCs/>
          <w:kern w:val="0"/>
          <w:sz w:val="32"/>
          <w:szCs w:val="32"/>
        </w:rPr>
        <w:t>决算支出</w:t>
      </w:r>
      <w:r>
        <w:rPr>
          <w:rFonts w:hint="eastAsia" w:ascii="楷体" w:hAnsi="楷体" w:eastAsia="楷体"/>
          <w:sz w:val="32"/>
          <w:szCs w:val="32"/>
        </w:rPr>
        <w:t>78.37</w:t>
      </w:r>
      <w:r>
        <w:rPr>
          <w:rFonts w:hint="eastAsia" w:ascii="楷体" w:hAnsi="楷体" w:eastAsia="楷体"/>
          <w:bCs/>
          <w:kern w:val="0"/>
          <w:sz w:val="32"/>
          <w:szCs w:val="32"/>
        </w:rPr>
        <w:t>万元，其中：基本支出47.26万元, 项目支出31.11万元。</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四、财政拨款收入支出决算总体情况说明</w:t>
      </w:r>
    </w:p>
    <w:p>
      <w:pPr>
        <w:widowControl/>
        <w:spacing w:line="600" w:lineRule="exact"/>
        <w:ind w:firstLine="640"/>
        <w:rPr>
          <w:rFonts w:hint="eastAsia" w:ascii="楷体" w:hAnsi="楷体" w:eastAsia="楷体"/>
          <w:bCs/>
          <w:kern w:val="0"/>
          <w:sz w:val="32"/>
          <w:szCs w:val="32"/>
        </w:rPr>
      </w:pPr>
      <w:r>
        <w:rPr>
          <w:rFonts w:hint="eastAsia" w:ascii="楷体" w:hAnsi="楷体" w:eastAsia="楷体"/>
          <w:bCs/>
          <w:kern w:val="0"/>
          <w:sz w:val="32"/>
          <w:szCs w:val="32"/>
        </w:rPr>
        <w:t>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年财政拨款收入69.59万元，其中：一般公共预算财政拨款68.39万元</w:t>
      </w:r>
      <w:r>
        <w:rPr>
          <w:rFonts w:hint="eastAsia" w:ascii="楷体" w:hAnsi="楷体" w:eastAsia="楷体"/>
          <w:bCs/>
          <w:kern w:val="0"/>
          <w:sz w:val="32"/>
          <w:szCs w:val="32"/>
          <w:lang w:eastAsia="zh-CN"/>
        </w:rPr>
        <w:t>，政府性基金预算财政拨款</w:t>
      </w:r>
      <w:r>
        <w:rPr>
          <w:rFonts w:hint="eastAsia" w:ascii="楷体" w:hAnsi="楷体" w:eastAsia="楷体"/>
          <w:bCs/>
          <w:kern w:val="0"/>
          <w:sz w:val="32"/>
          <w:szCs w:val="32"/>
          <w:lang w:val="en-US" w:eastAsia="zh-CN"/>
        </w:rPr>
        <w:t>1.2万元</w:t>
      </w:r>
      <w:r>
        <w:rPr>
          <w:rFonts w:hint="eastAsia" w:ascii="楷体" w:hAnsi="楷体" w:eastAsia="楷体"/>
          <w:bCs/>
          <w:kern w:val="0"/>
          <w:sz w:val="32"/>
          <w:szCs w:val="32"/>
        </w:rPr>
        <w:t>。财政拨款支出68.21万元，其中：一般公共服务支出57.86万元，社会保障和就业支出4.8</w:t>
      </w:r>
      <w:r>
        <w:rPr>
          <w:rFonts w:hint="eastAsia" w:ascii="楷体" w:hAnsi="楷体" w:eastAsia="楷体"/>
          <w:bCs/>
          <w:kern w:val="0"/>
          <w:sz w:val="32"/>
          <w:szCs w:val="32"/>
          <w:lang w:eastAsia="zh-CN"/>
        </w:rPr>
        <w:t>万元，住房保障支出2.35万元，其他支出</w:t>
      </w:r>
      <w:r>
        <w:rPr>
          <w:rFonts w:hint="eastAsia" w:ascii="楷体" w:hAnsi="楷体" w:eastAsia="楷体"/>
          <w:bCs/>
          <w:kern w:val="0"/>
          <w:sz w:val="32"/>
          <w:szCs w:val="32"/>
          <w:lang w:val="en-US" w:eastAsia="zh-CN"/>
        </w:rPr>
        <w:t>3.20万元，</w:t>
      </w:r>
      <w:r>
        <w:rPr>
          <w:rFonts w:hint="eastAsia" w:ascii="楷体" w:hAnsi="楷体" w:eastAsia="楷体"/>
          <w:bCs/>
          <w:kern w:val="0"/>
          <w:sz w:val="32"/>
          <w:szCs w:val="32"/>
        </w:rPr>
        <w:t>年末结转和结余1.</w:t>
      </w:r>
      <w:r>
        <w:rPr>
          <w:rFonts w:hint="eastAsia" w:ascii="楷体" w:hAnsi="楷体" w:eastAsia="楷体"/>
          <w:bCs/>
          <w:kern w:val="0"/>
          <w:sz w:val="32"/>
          <w:szCs w:val="32"/>
          <w:lang w:val="en-US" w:eastAsia="zh-CN"/>
        </w:rPr>
        <w:t>38</w:t>
      </w:r>
      <w:r>
        <w:rPr>
          <w:rFonts w:hint="eastAsia" w:ascii="楷体" w:hAnsi="楷体" w:eastAsia="楷体"/>
          <w:bCs/>
          <w:kern w:val="0"/>
          <w:sz w:val="32"/>
          <w:szCs w:val="32"/>
        </w:rPr>
        <w:t>万元。</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五、一般公共预算财政拨款支出决算情况说明</w:t>
      </w:r>
    </w:p>
    <w:p>
      <w:pPr>
        <w:widowControl/>
        <w:spacing w:line="600" w:lineRule="exact"/>
        <w:rPr>
          <w:rFonts w:ascii="楷体" w:hAnsi="楷体" w:eastAsia="楷体"/>
          <w:bCs/>
          <w:kern w:val="0"/>
          <w:sz w:val="32"/>
          <w:szCs w:val="32"/>
        </w:rPr>
      </w:pPr>
      <w:r>
        <w:rPr>
          <w:rFonts w:hint="eastAsia" w:ascii="楷体" w:hAnsi="楷体" w:eastAsia="楷体"/>
          <w:bCs/>
          <w:kern w:val="0"/>
          <w:sz w:val="32"/>
          <w:szCs w:val="32"/>
        </w:rPr>
        <w:t xml:space="preserve">    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年一般公共预算财政拨款支出67.01万元，其中：基本支出</w:t>
      </w:r>
      <w:r>
        <w:rPr>
          <w:rFonts w:hint="eastAsia" w:ascii="楷体" w:hAnsi="楷体" w:eastAsia="楷体"/>
          <w:bCs/>
          <w:kern w:val="0"/>
          <w:sz w:val="32"/>
          <w:szCs w:val="32"/>
          <w:lang w:val="en-US" w:eastAsia="zh-CN"/>
        </w:rPr>
        <w:t>37.10</w:t>
      </w:r>
      <w:r>
        <w:rPr>
          <w:rFonts w:hint="eastAsia" w:ascii="楷体" w:hAnsi="楷体" w:eastAsia="楷体"/>
          <w:bCs/>
          <w:kern w:val="0"/>
          <w:sz w:val="32"/>
          <w:szCs w:val="32"/>
        </w:rPr>
        <w:t>万元，项目支出</w:t>
      </w:r>
      <w:r>
        <w:rPr>
          <w:rFonts w:hint="eastAsia" w:ascii="楷体" w:hAnsi="楷体" w:eastAsia="楷体"/>
          <w:bCs/>
          <w:kern w:val="0"/>
          <w:sz w:val="32"/>
          <w:szCs w:val="32"/>
          <w:lang w:val="en-US" w:eastAsia="zh-CN"/>
        </w:rPr>
        <w:t>29.91</w:t>
      </w:r>
      <w:r>
        <w:rPr>
          <w:rFonts w:hint="eastAsia" w:ascii="楷体" w:hAnsi="楷体" w:eastAsia="楷体"/>
          <w:bCs/>
          <w:kern w:val="0"/>
          <w:sz w:val="32"/>
          <w:szCs w:val="32"/>
        </w:rPr>
        <w:t>万元。</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六、一般公共预算财政拨款基本支出决算情况说明</w:t>
      </w:r>
    </w:p>
    <w:p>
      <w:pPr>
        <w:widowControl/>
        <w:spacing w:line="600" w:lineRule="exact"/>
        <w:rPr>
          <w:rFonts w:ascii="楷体" w:hAnsi="楷体" w:eastAsia="楷体"/>
          <w:bCs/>
          <w:kern w:val="0"/>
          <w:sz w:val="32"/>
          <w:szCs w:val="32"/>
        </w:rPr>
      </w:pPr>
      <w:r>
        <w:rPr>
          <w:rFonts w:hint="eastAsia" w:ascii="楷体" w:hAnsi="楷体" w:eastAsia="楷体"/>
          <w:bCs/>
          <w:kern w:val="0"/>
          <w:sz w:val="32"/>
          <w:szCs w:val="32"/>
        </w:rPr>
        <w:t xml:space="preserve">    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年一般公共预算财政拨款基本支出37.1</w:t>
      </w:r>
      <w:r>
        <w:rPr>
          <w:rFonts w:hint="eastAsia" w:ascii="楷体" w:hAnsi="楷体" w:eastAsia="楷体"/>
          <w:bCs/>
          <w:kern w:val="0"/>
          <w:sz w:val="32"/>
          <w:szCs w:val="32"/>
          <w:lang w:val="en-US" w:eastAsia="zh-CN"/>
        </w:rPr>
        <w:t>0</w:t>
      </w:r>
      <w:r>
        <w:rPr>
          <w:rFonts w:hint="eastAsia" w:ascii="楷体" w:hAnsi="楷体" w:eastAsia="楷体"/>
          <w:bCs/>
          <w:kern w:val="0"/>
          <w:sz w:val="32"/>
          <w:szCs w:val="32"/>
        </w:rPr>
        <w:t>万元，其中：人员经费35.52万元，公用经费</w:t>
      </w:r>
      <w:r>
        <w:rPr>
          <w:rFonts w:hint="eastAsia" w:ascii="楷体" w:hAnsi="楷体" w:eastAsia="楷体"/>
          <w:bCs/>
          <w:kern w:val="0"/>
          <w:sz w:val="32"/>
          <w:szCs w:val="32"/>
          <w:lang w:val="en-US" w:eastAsia="zh-CN"/>
        </w:rPr>
        <w:t>1.58</w:t>
      </w:r>
      <w:r>
        <w:rPr>
          <w:rFonts w:hint="eastAsia" w:ascii="楷体" w:hAnsi="楷体" w:eastAsia="楷体"/>
          <w:bCs/>
          <w:kern w:val="0"/>
          <w:sz w:val="32"/>
          <w:szCs w:val="32"/>
        </w:rPr>
        <w:t>万元。人员经费包括：基本工资12.33万元，津贴补贴7.54万元，机关事业单位基本养老保险缴费</w:t>
      </w:r>
      <w:r>
        <w:rPr>
          <w:rFonts w:hint="eastAsia" w:ascii="楷体" w:hAnsi="楷体" w:eastAsia="楷体"/>
          <w:bCs/>
          <w:kern w:val="0"/>
          <w:sz w:val="32"/>
          <w:szCs w:val="32"/>
          <w:lang w:val="en-US" w:eastAsia="zh-CN"/>
        </w:rPr>
        <w:t>3.95</w:t>
      </w:r>
      <w:r>
        <w:rPr>
          <w:rFonts w:hint="eastAsia" w:ascii="楷体" w:hAnsi="楷体" w:eastAsia="楷体"/>
          <w:bCs/>
          <w:kern w:val="0"/>
          <w:sz w:val="32"/>
          <w:szCs w:val="32"/>
          <w:lang w:eastAsia="zh-CN"/>
        </w:rPr>
        <w:t>万元，</w:t>
      </w:r>
      <w:r>
        <w:rPr>
          <w:rFonts w:hint="eastAsia" w:ascii="楷体" w:hAnsi="楷体" w:eastAsia="楷体"/>
          <w:bCs/>
          <w:kern w:val="0"/>
          <w:sz w:val="32"/>
          <w:szCs w:val="32"/>
        </w:rPr>
        <w:t>住房公积金</w:t>
      </w:r>
      <w:r>
        <w:rPr>
          <w:rFonts w:hint="eastAsia" w:ascii="楷体" w:hAnsi="楷体" w:eastAsia="楷体"/>
          <w:bCs/>
          <w:kern w:val="0"/>
          <w:sz w:val="32"/>
          <w:szCs w:val="32"/>
          <w:lang w:val="en-US" w:eastAsia="zh-CN"/>
        </w:rPr>
        <w:t>3.57</w:t>
      </w:r>
      <w:r>
        <w:rPr>
          <w:rFonts w:hint="eastAsia" w:ascii="楷体" w:hAnsi="楷体" w:eastAsia="楷体"/>
          <w:bCs/>
          <w:kern w:val="0"/>
          <w:sz w:val="32"/>
          <w:szCs w:val="32"/>
        </w:rPr>
        <w:t>万元</w:t>
      </w:r>
      <w:r>
        <w:rPr>
          <w:rFonts w:hint="eastAsia" w:ascii="楷体" w:hAnsi="楷体" w:eastAsia="楷体"/>
          <w:bCs/>
          <w:kern w:val="0"/>
          <w:sz w:val="32"/>
          <w:szCs w:val="32"/>
          <w:lang w:eastAsia="zh-CN"/>
        </w:rPr>
        <w:t>，</w:t>
      </w:r>
      <w:r>
        <w:rPr>
          <w:rFonts w:hint="eastAsia" w:ascii="楷体" w:hAnsi="楷体" w:eastAsia="楷体"/>
          <w:bCs/>
          <w:kern w:val="0"/>
          <w:sz w:val="32"/>
          <w:szCs w:val="32"/>
        </w:rPr>
        <w:t>其他工资福利支出</w:t>
      </w:r>
      <w:r>
        <w:rPr>
          <w:rFonts w:hint="eastAsia" w:ascii="楷体" w:hAnsi="楷体" w:eastAsia="楷体"/>
          <w:bCs/>
          <w:kern w:val="0"/>
          <w:sz w:val="32"/>
          <w:szCs w:val="32"/>
          <w:lang w:val="en-US" w:eastAsia="zh-CN"/>
        </w:rPr>
        <w:t>7.28</w:t>
      </w:r>
      <w:r>
        <w:rPr>
          <w:rFonts w:hint="eastAsia" w:ascii="楷体" w:hAnsi="楷体" w:eastAsia="楷体"/>
          <w:bCs/>
          <w:kern w:val="0"/>
          <w:sz w:val="32"/>
          <w:szCs w:val="32"/>
        </w:rPr>
        <w:t>万元。公用经费包括：其他交通费用</w:t>
      </w:r>
      <w:r>
        <w:rPr>
          <w:rFonts w:hint="eastAsia" w:ascii="楷体" w:hAnsi="楷体" w:eastAsia="楷体"/>
          <w:bCs/>
          <w:kern w:val="0"/>
          <w:sz w:val="32"/>
          <w:szCs w:val="32"/>
          <w:lang w:val="en-US" w:eastAsia="zh-CN"/>
        </w:rPr>
        <w:t>1.08</w:t>
      </w:r>
      <w:r>
        <w:rPr>
          <w:rFonts w:hint="eastAsia" w:ascii="楷体" w:hAnsi="楷体" w:eastAsia="楷体"/>
          <w:bCs/>
          <w:kern w:val="0"/>
          <w:sz w:val="32"/>
          <w:szCs w:val="32"/>
        </w:rPr>
        <w:t>万元</w:t>
      </w:r>
      <w:r>
        <w:rPr>
          <w:rFonts w:hint="eastAsia" w:ascii="楷体" w:hAnsi="楷体" w:eastAsia="楷体"/>
          <w:bCs/>
          <w:kern w:val="0"/>
          <w:sz w:val="32"/>
          <w:szCs w:val="32"/>
          <w:lang w:eastAsia="zh-CN"/>
        </w:rPr>
        <w:t>，其他商品和服务支出</w:t>
      </w:r>
      <w:r>
        <w:rPr>
          <w:rFonts w:hint="eastAsia" w:ascii="楷体" w:hAnsi="楷体" w:eastAsia="楷体"/>
          <w:bCs/>
          <w:kern w:val="0"/>
          <w:sz w:val="32"/>
          <w:szCs w:val="32"/>
          <w:lang w:val="en-US" w:eastAsia="zh-CN"/>
        </w:rPr>
        <w:t>0.50万元</w:t>
      </w:r>
      <w:r>
        <w:rPr>
          <w:rFonts w:hint="eastAsia" w:ascii="楷体" w:hAnsi="楷体" w:eastAsia="楷体"/>
          <w:bCs/>
          <w:kern w:val="0"/>
          <w:sz w:val="32"/>
          <w:szCs w:val="32"/>
        </w:rPr>
        <w:t>。</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七、一般公共预算财政拨款“三公”经费支出情况决算情况说明</w:t>
      </w:r>
    </w:p>
    <w:p>
      <w:pPr>
        <w:widowControl/>
        <w:spacing w:line="600" w:lineRule="exact"/>
        <w:rPr>
          <w:rFonts w:ascii="楷体" w:hAnsi="楷体" w:eastAsia="楷体"/>
          <w:bCs/>
          <w:kern w:val="0"/>
          <w:sz w:val="32"/>
          <w:szCs w:val="32"/>
        </w:rPr>
      </w:pPr>
      <w:r>
        <w:rPr>
          <w:rFonts w:hint="eastAsia" w:ascii="楷体" w:hAnsi="楷体" w:eastAsia="楷体"/>
          <w:bCs/>
          <w:kern w:val="0"/>
          <w:sz w:val="32"/>
          <w:szCs w:val="32"/>
        </w:rPr>
        <w:t xml:space="preserve">    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年三公经费支出</w:t>
      </w:r>
      <w:r>
        <w:rPr>
          <w:rFonts w:hint="eastAsia" w:ascii="楷体" w:hAnsi="楷体" w:eastAsia="楷体"/>
          <w:bCs/>
          <w:kern w:val="0"/>
          <w:sz w:val="32"/>
          <w:szCs w:val="32"/>
          <w:lang w:val="en-US" w:eastAsia="zh-CN"/>
        </w:rPr>
        <w:t>0</w:t>
      </w:r>
      <w:r>
        <w:rPr>
          <w:rFonts w:hint="eastAsia" w:ascii="楷体" w:hAnsi="楷体" w:eastAsia="楷体"/>
          <w:bCs/>
          <w:kern w:val="0"/>
          <w:sz w:val="32"/>
          <w:szCs w:val="32"/>
        </w:rPr>
        <w:t>元</w:t>
      </w:r>
      <w:r>
        <w:rPr>
          <w:rFonts w:hint="eastAsia" w:ascii="楷体" w:hAnsi="楷体" w:eastAsia="楷体"/>
          <w:bCs/>
          <w:kern w:val="0"/>
          <w:sz w:val="32"/>
          <w:szCs w:val="32"/>
          <w:lang w:val="en-US" w:eastAsia="zh-CN"/>
        </w:rPr>
        <w:t>。</w:t>
      </w:r>
      <w:r>
        <w:rPr>
          <w:rFonts w:hint="eastAsia" w:ascii="楷体" w:hAnsi="楷体" w:eastAsia="楷体"/>
          <w:bCs/>
          <w:kern w:val="0"/>
          <w:sz w:val="32"/>
          <w:szCs w:val="32"/>
        </w:rPr>
        <w:t xml:space="preserve">  </w:t>
      </w:r>
    </w:p>
    <w:p>
      <w:pPr>
        <w:widowControl/>
        <w:spacing w:line="600" w:lineRule="exact"/>
        <w:ind w:firstLine="640" w:firstLineChars="200"/>
        <w:rPr>
          <w:rFonts w:hint="eastAsia" w:ascii="楷体" w:hAnsi="楷体" w:eastAsia="楷体"/>
          <w:bCs/>
          <w:kern w:val="0"/>
          <w:sz w:val="32"/>
          <w:szCs w:val="32"/>
        </w:rPr>
      </w:pPr>
      <w:r>
        <w:rPr>
          <w:rFonts w:ascii="楷体" w:hAnsi="楷体" w:eastAsia="楷体"/>
          <w:bCs/>
          <w:kern w:val="0"/>
          <w:sz w:val="32"/>
          <w:szCs w:val="32"/>
        </w:rPr>
        <w:t>八、</w:t>
      </w:r>
      <w:r>
        <w:rPr>
          <w:rFonts w:hint="eastAsia" w:ascii="楷体" w:hAnsi="楷体" w:eastAsia="楷体"/>
          <w:bCs/>
          <w:kern w:val="0"/>
          <w:sz w:val="32"/>
          <w:szCs w:val="32"/>
        </w:rPr>
        <w:t>关于201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年度预算绩效情况说明</w:t>
      </w:r>
    </w:p>
    <w:p>
      <w:pPr>
        <w:widowControl/>
        <w:spacing w:line="600" w:lineRule="exact"/>
        <w:rPr>
          <w:rFonts w:hint="eastAsia" w:ascii="楷体" w:hAnsi="楷体" w:eastAsia="楷体"/>
          <w:bCs/>
          <w:kern w:val="0"/>
          <w:sz w:val="32"/>
          <w:szCs w:val="32"/>
          <w:highlight w:val="yellow"/>
        </w:rPr>
      </w:pPr>
      <w:r>
        <w:rPr>
          <w:rFonts w:hint="eastAsia" w:ascii="楷体" w:hAnsi="楷体" w:eastAsia="楷体"/>
          <w:bCs/>
          <w:kern w:val="0"/>
          <w:sz w:val="32"/>
          <w:szCs w:val="32"/>
        </w:rPr>
        <w:t xml:space="preserve"> </w:t>
      </w:r>
      <w:r>
        <w:rPr>
          <w:rFonts w:hint="eastAsia" w:ascii="楷体" w:hAnsi="楷体" w:eastAsia="楷体"/>
          <w:bCs/>
          <w:kern w:val="0"/>
          <w:sz w:val="32"/>
          <w:szCs w:val="32"/>
          <w:highlight w:val="none"/>
        </w:rPr>
        <w:t xml:space="preserve">   201</w:t>
      </w:r>
      <w:r>
        <w:rPr>
          <w:rFonts w:hint="eastAsia" w:ascii="楷体" w:hAnsi="楷体" w:eastAsia="楷体"/>
          <w:bCs/>
          <w:kern w:val="0"/>
          <w:sz w:val="32"/>
          <w:szCs w:val="32"/>
          <w:highlight w:val="none"/>
          <w:lang w:val="en-US" w:eastAsia="zh-CN"/>
        </w:rPr>
        <w:t>8</w:t>
      </w:r>
      <w:r>
        <w:rPr>
          <w:rFonts w:hint="eastAsia" w:ascii="楷体" w:hAnsi="楷体" w:eastAsia="楷体"/>
          <w:bCs/>
          <w:kern w:val="0"/>
          <w:sz w:val="32"/>
          <w:szCs w:val="32"/>
          <w:highlight w:val="none"/>
        </w:rPr>
        <w:t>年度部门预算数为</w:t>
      </w:r>
      <w:r>
        <w:rPr>
          <w:rFonts w:hint="eastAsia" w:ascii="仿宋" w:hAnsi="仿宋" w:eastAsia="仿宋" w:cs="仿宋"/>
          <w:color w:val="000000"/>
          <w:kern w:val="0"/>
          <w:sz w:val="32"/>
          <w:szCs w:val="32"/>
          <w:highlight w:val="none"/>
          <w:lang w:val="en-US" w:eastAsia="zh-CN"/>
        </w:rPr>
        <w:t>50.30</w:t>
      </w:r>
      <w:r>
        <w:rPr>
          <w:rFonts w:hint="eastAsia" w:ascii="楷体" w:hAnsi="楷体" w:eastAsia="楷体"/>
          <w:bCs/>
          <w:kern w:val="0"/>
          <w:sz w:val="32"/>
          <w:szCs w:val="32"/>
          <w:highlight w:val="none"/>
        </w:rPr>
        <w:t>万元，支出决算数为78.37万元，预算完成率</w:t>
      </w:r>
      <w:r>
        <w:rPr>
          <w:rFonts w:hint="eastAsia" w:ascii="楷体" w:hAnsi="楷体" w:eastAsia="楷体"/>
          <w:bCs/>
          <w:kern w:val="0"/>
          <w:sz w:val="32"/>
          <w:szCs w:val="32"/>
          <w:highlight w:val="none"/>
          <w:lang w:val="en-US" w:eastAsia="zh-CN"/>
        </w:rPr>
        <w:t>155.81</w:t>
      </w:r>
      <w:r>
        <w:rPr>
          <w:rFonts w:hint="eastAsia" w:ascii="楷体" w:hAnsi="楷体" w:eastAsia="楷体"/>
          <w:bCs/>
          <w:kern w:val="0"/>
          <w:sz w:val="32"/>
          <w:szCs w:val="32"/>
          <w:highlight w:val="none"/>
        </w:rPr>
        <w:t>%。</w:t>
      </w:r>
    </w:p>
    <w:p>
      <w:pPr>
        <w:widowControl/>
        <w:spacing w:line="600" w:lineRule="exact"/>
        <w:rPr>
          <w:rFonts w:hint="eastAsia" w:ascii="楷体" w:hAnsi="楷体" w:eastAsia="楷体"/>
          <w:bCs/>
          <w:kern w:val="0"/>
          <w:sz w:val="32"/>
          <w:szCs w:val="32"/>
          <w:lang w:val="en-US" w:eastAsia="zh-CN"/>
        </w:rPr>
      </w:pPr>
      <w:r>
        <w:rPr>
          <w:rFonts w:hint="eastAsia" w:ascii="楷体" w:hAnsi="楷体" w:eastAsia="楷体"/>
          <w:bCs/>
          <w:kern w:val="0"/>
          <w:sz w:val="32"/>
          <w:szCs w:val="32"/>
          <w:highlight w:val="none"/>
        </w:rPr>
        <w:t xml:space="preserve">    其中：基本支出47.26万元，项目支出31.11万元。在项目支出中，</w:t>
      </w:r>
      <w:r>
        <w:rPr>
          <w:rFonts w:hint="eastAsia" w:ascii="楷体" w:hAnsi="楷体" w:eastAsia="楷体"/>
          <w:bCs/>
          <w:kern w:val="0"/>
          <w:sz w:val="32"/>
          <w:szCs w:val="32"/>
        </w:rPr>
        <w:t>主要用于</w:t>
      </w:r>
      <w:r>
        <w:rPr>
          <w:rFonts w:hint="eastAsia" w:ascii="楷体" w:hAnsi="楷体" w:eastAsia="楷体"/>
          <w:bCs/>
          <w:kern w:val="0"/>
          <w:sz w:val="32"/>
          <w:szCs w:val="32"/>
          <w:lang w:eastAsia="zh-CN"/>
        </w:rPr>
        <w:t>婚调、两癌救助等。</w:t>
      </w:r>
    </w:p>
    <w:p>
      <w:pPr>
        <w:widowControl/>
        <w:spacing w:line="600" w:lineRule="exact"/>
        <w:ind w:firstLine="640" w:firstLineChars="200"/>
        <w:rPr>
          <w:rFonts w:hint="eastAsia" w:ascii="楷体" w:hAnsi="楷体" w:eastAsia="楷体"/>
          <w:bCs/>
          <w:kern w:val="0"/>
          <w:sz w:val="32"/>
          <w:szCs w:val="32"/>
          <w:highlight w:val="none"/>
        </w:rPr>
      </w:pPr>
      <w:r>
        <w:rPr>
          <w:rFonts w:ascii="楷体" w:hAnsi="楷体" w:eastAsia="楷体"/>
          <w:bCs/>
          <w:kern w:val="0"/>
          <w:sz w:val="32"/>
          <w:szCs w:val="32"/>
          <w:highlight w:val="none"/>
        </w:rPr>
        <w:t>九、其他重要事项的情况说明</w:t>
      </w:r>
    </w:p>
    <w:p>
      <w:pPr>
        <w:widowControl/>
        <w:spacing w:line="600" w:lineRule="exact"/>
        <w:rPr>
          <w:rFonts w:hint="eastAsia" w:ascii="楷体" w:hAnsi="楷体" w:eastAsia="楷体"/>
          <w:bCs/>
          <w:kern w:val="0"/>
          <w:sz w:val="32"/>
          <w:szCs w:val="32"/>
          <w:highlight w:val="none"/>
        </w:rPr>
      </w:pPr>
      <w:r>
        <w:rPr>
          <w:rFonts w:hint="eastAsia" w:ascii="楷体" w:hAnsi="楷体" w:eastAsia="楷体"/>
          <w:bCs/>
          <w:kern w:val="0"/>
          <w:sz w:val="32"/>
          <w:szCs w:val="32"/>
        </w:rPr>
        <w:t xml:space="preserve">    </w:t>
      </w:r>
      <w:r>
        <w:rPr>
          <w:rFonts w:hint="eastAsia" w:ascii="楷体" w:hAnsi="楷体" w:eastAsia="楷体"/>
          <w:bCs/>
          <w:kern w:val="0"/>
          <w:sz w:val="32"/>
          <w:szCs w:val="32"/>
          <w:highlight w:val="none"/>
        </w:rPr>
        <w:t>1.</w:t>
      </w:r>
      <w:r>
        <w:rPr>
          <w:rFonts w:hint="eastAsia"/>
          <w:highlight w:val="none"/>
        </w:rPr>
        <w:t xml:space="preserve"> </w:t>
      </w:r>
      <w:r>
        <w:rPr>
          <w:rFonts w:hint="eastAsia" w:ascii="楷体" w:hAnsi="楷体" w:eastAsia="楷体"/>
          <w:bCs/>
          <w:kern w:val="0"/>
          <w:sz w:val="32"/>
          <w:szCs w:val="32"/>
          <w:highlight w:val="none"/>
        </w:rPr>
        <w:t>机关运行经费支出情况。本部门201</w:t>
      </w:r>
      <w:r>
        <w:rPr>
          <w:rFonts w:hint="eastAsia" w:ascii="楷体" w:hAnsi="楷体" w:eastAsia="楷体"/>
          <w:bCs/>
          <w:kern w:val="0"/>
          <w:sz w:val="32"/>
          <w:szCs w:val="32"/>
          <w:highlight w:val="none"/>
          <w:lang w:val="en-US" w:eastAsia="zh-CN"/>
        </w:rPr>
        <w:t>8</w:t>
      </w:r>
      <w:r>
        <w:rPr>
          <w:rFonts w:hint="eastAsia" w:ascii="楷体" w:hAnsi="楷体" w:eastAsia="楷体"/>
          <w:bCs/>
          <w:kern w:val="0"/>
          <w:sz w:val="32"/>
          <w:szCs w:val="32"/>
          <w:highlight w:val="none"/>
        </w:rPr>
        <w:t>年度机关运行经费支出</w:t>
      </w:r>
      <w:r>
        <w:rPr>
          <w:rFonts w:hint="eastAsia" w:ascii="楷体" w:hAnsi="楷体" w:eastAsia="楷体"/>
          <w:bCs/>
          <w:kern w:val="0"/>
          <w:sz w:val="32"/>
          <w:szCs w:val="32"/>
          <w:highlight w:val="none"/>
          <w:lang w:val="en-US" w:eastAsia="zh-CN"/>
        </w:rPr>
        <w:t>1.58</w:t>
      </w:r>
      <w:r>
        <w:rPr>
          <w:rFonts w:hint="eastAsia" w:ascii="楷体" w:hAnsi="楷体" w:eastAsia="楷体"/>
          <w:bCs/>
          <w:kern w:val="0"/>
          <w:sz w:val="32"/>
          <w:szCs w:val="32"/>
          <w:highlight w:val="none"/>
        </w:rPr>
        <w:t>万元。</w:t>
      </w:r>
    </w:p>
    <w:p>
      <w:pPr>
        <w:widowControl/>
        <w:spacing w:line="600" w:lineRule="exact"/>
        <w:ind w:firstLine="640"/>
        <w:rPr>
          <w:rFonts w:hint="eastAsia" w:ascii="Times New Roman" w:hAnsi="Times New Roman" w:eastAsia="仿宋_GB2312" w:cs="Times New Roman"/>
          <w:kern w:val="0"/>
          <w:sz w:val="32"/>
          <w:szCs w:val="32"/>
          <w:lang w:eastAsia="zh-CN"/>
        </w:rPr>
      </w:pPr>
      <w:r>
        <w:rPr>
          <w:rFonts w:hint="eastAsia" w:ascii="楷体" w:hAnsi="楷体" w:eastAsia="楷体"/>
          <w:bCs/>
          <w:kern w:val="0"/>
          <w:sz w:val="32"/>
          <w:szCs w:val="32"/>
          <w:highlight w:val="none"/>
        </w:rPr>
        <w:t>2.</w:t>
      </w:r>
      <w:r>
        <w:rPr>
          <w:rFonts w:hint="eastAsia"/>
          <w:highlight w:val="none"/>
        </w:rPr>
        <w:t xml:space="preserve"> </w:t>
      </w:r>
      <w:r>
        <w:rPr>
          <w:rFonts w:hint="eastAsia" w:ascii="楷体" w:hAnsi="楷体" w:eastAsia="楷体"/>
          <w:bCs/>
          <w:kern w:val="0"/>
          <w:sz w:val="32"/>
          <w:szCs w:val="32"/>
          <w:highlight w:val="none"/>
        </w:rPr>
        <w:t>政府采购支出情况。</w:t>
      </w:r>
      <w:r>
        <w:rPr>
          <w:rFonts w:ascii="Times New Roman" w:hAnsi="Times New Roman" w:eastAsia="仿宋_GB2312" w:cs="Times New Roman"/>
          <w:kern w:val="0"/>
          <w:sz w:val="32"/>
          <w:szCs w:val="32"/>
        </w:rPr>
        <w:t>本部门201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 xml:space="preserve"> 年度</w:t>
      </w:r>
      <w:r>
        <w:rPr>
          <w:rFonts w:hint="eastAsia" w:ascii="Times New Roman" w:hAnsi="Times New Roman" w:eastAsia="仿宋_GB2312" w:cs="Times New Roman"/>
          <w:kern w:val="0"/>
          <w:sz w:val="32"/>
          <w:szCs w:val="32"/>
          <w:lang w:eastAsia="zh-CN"/>
        </w:rPr>
        <w:t>无</w:t>
      </w:r>
      <w:r>
        <w:rPr>
          <w:rFonts w:ascii="Times New Roman" w:hAnsi="Times New Roman" w:eastAsia="仿宋_GB2312" w:cs="Times New Roman"/>
          <w:kern w:val="0"/>
          <w:sz w:val="32"/>
          <w:szCs w:val="32"/>
        </w:rPr>
        <w:t>政府采购支出</w:t>
      </w:r>
      <w:r>
        <w:rPr>
          <w:rFonts w:hint="eastAsia" w:ascii="Times New Roman" w:hAnsi="Times New Roman" w:eastAsia="仿宋_GB2312" w:cs="Times New Roman"/>
          <w:kern w:val="0"/>
          <w:sz w:val="32"/>
          <w:szCs w:val="32"/>
          <w:lang w:eastAsia="zh-CN"/>
        </w:rPr>
        <w:t>。</w:t>
      </w:r>
    </w:p>
    <w:p>
      <w:pPr>
        <w:widowControl/>
        <w:spacing w:line="600" w:lineRule="exact"/>
        <w:ind w:firstLine="640"/>
        <w:rPr>
          <w:rFonts w:ascii="楷体" w:hAnsi="楷体" w:eastAsia="楷体"/>
          <w:bCs/>
          <w:kern w:val="0"/>
          <w:sz w:val="32"/>
          <w:szCs w:val="32"/>
        </w:rPr>
      </w:pPr>
      <w:r>
        <w:rPr>
          <w:rFonts w:hint="eastAsia" w:ascii="楷体" w:hAnsi="楷体" w:eastAsia="楷体"/>
          <w:bCs/>
          <w:kern w:val="0"/>
          <w:sz w:val="32"/>
          <w:szCs w:val="32"/>
        </w:rPr>
        <w:t>3.</w:t>
      </w:r>
      <w:r>
        <w:rPr>
          <w:rFonts w:hint="eastAsia"/>
        </w:rPr>
        <w:t xml:space="preserve"> </w:t>
      </w:r>
      <w:r>
        <w:rPr>
          <w:rFonts w:hint="eastAsia" w:ascii="楷体" w:hAnsi="楷体" w:eastAsia="楷体"/>
          <w:bCs/>
          <w:kern w:val="0"/>
          <w:sz w:val="32"/>
          <w:szCs w:val="32"/>
        </w:rPr>
        <w:t>国有资产占用情况。截至201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 xml:space="preserve"> 年12 月31 日，本部门共有车辆0辆。单位价值50 万元以上通用设备0 台（套），单价100 万元以上专用设备0台（套）。</w:t>
      </w:r>
    </w:p>
    <w:p>
      <w:pPr>
        <w:widowControl/>
        <w:spacing w:line="600" w:lineRule="exact"/>
        <w:ind w:firstLine="640" w:firstLineChars="200"/>
        <w:rPr>
          <w:rFonts w:hint="eastAsia" w:ascii="黑体" w:hAnsi="黑体" w:eastAsia="黑体"/>
          <w:bCs/>
          <w:kern w:val="0"/>
          <w:sz w:val="32"/>
          <w:szCs w:val="32"/>
        </w:rPr>
      </w:pPr>
      <w:r>
        <w:rPr>
          <w:rFonts w:hint="eastAsia" w:ascii="黑体" w:hAnsi="黑体" w:eastAsia="黑体"/>
          <w:bCs/>
          <w:kern w:val="0"/>
          <w:sz w:val="32"/>
          <w:szCs w:val="32"/>
        </w:rPr>
        <w:t>第四部分  名称解释</w:t>
      </w:r>
    </w:p>
    <w:p>
      <w:pPr>
        <w:widowControl/>
        <w:spacing w:line="600" w:lineRule="exact"/>
        <w:ind w:firstLine="640" w:firstLineChars="200"/>
        <w:rPr>
          <w:rFonts w:hint="eastAsia" w:ascii="楷体" w:hAnsi="楷体" w:eastAsia="楷体"/>
          <w:bCs/>
          <w:kern w:val="0"/>
          <w:sz w:val="32"/>
          <w:szCs w:val="32"/>
        </w:rPr>
      </w:pPr>
      <w:r>
        <w:rPr>
          <w:rFonts w:hint="eastAsia" w:ascii="楷体" w:hAnsi="楷体" w:eastAsia="楷体"/>
          <w:bCs/>
          <w:kern w:val="0"/>
          <w:sz w:val="32"/>
          <w:szCs w:val="32"/>
        </w:rPr>
        <w:t>（一）财政拨款收入：是指区财政当年拨付的资金。</w:t>
      </w:r>
    </w:p>
    <w:p>
      <w:pPr>
        <w:widowControl/>
        <w:spacing w:line="600" w:lineRule="exact"/>
        <w:ind w:firstLine="640" w:firstLineChars="200"/>
        <w:rPr>
          <w:rFonts w:hint="eastAsia" w:ascii="楷体" w:hAnsi="楷体" w:eastAsia="楷体"/>
          <w:bCs/>
          <w:kern w:val="0"/>
          <w:sz w:val="32"/>
          <w:szCs w:val="32"/>
        </w:rPr>
      </w:pPr>
      <w:r>
        <w:rPr>
          <w:rFonts w:hint="eastAsia" w:ascii="楷体" w:hAnsi="楷体" w:eastAsia="楷体"/>
          <w:bCs/>
          <w:kern w:val="0"/>
          <w:sz w:val="32"/>
          <w:szCs w:val="32"/>
        </w:rPr>
        <w:t>（二）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hd w:val="clear" w:color="auto" w:fill="FFFFFF"/>
        <w:spacing w:line="560" w:lineRule="exact"/>
        <w:ind w:firstLine="640" w:firstLineChars="200"/>
        <w:jc w:val="left"/>
        <w:rPr>
          <w:rFonts w:hint="eastAsia" w:ascii="楷体" w:hAnsi="楷体" w:eastAsia="楷体"/>
          <w:bCs/>
          <w:kern w:val="0"/>
          <w:sz w:val="32"/>
          <w:szCs w:val="32"/>
        </w:rPr>
      </w:pPr>
      <w:r>
        <w:rPr>
          <w:rFonts w:hint="eastAsia" w:ascii="楷体" w:hAnsi="楷体" w:eastAsia="楷体"/>
          <w:bCs/>
          <w:kern w:val="0"/>
          <w:sz w:val="32"/>
          <w:szCs w:val="32"/>
        </w:rPr>
        <w:t>（三）</w:t>
      </w:r>
      <w:r>
        <w:rPr>
          <w:rFonts w:ascii="楷体" w:hAnsi="楷体" w:eastAsia="楷体"/>
          <w:bCs/>
          <w:kern w:val="0"/>
          <w:sz w:val="32"/>
          <w:szCs w:val="32"/>
        </w:rPr>
        <w:t>“三公”经费：是指</w:t>
      </w:r>
      <w:r>
        <w:rPr>
          <w:rFonts w:hint="eastAsia" w:ascii="楷体" w:hAnsi="楷体" w:eastAsia="楷体"/>
          <w:bCs/>
          <w:kern w:val="0"/>
          <w:sz w:val="32"/>
          <w:szCs w:val="32"/>
        </w:rPr>
        <w:t>公共</w:t>
      </w:r>
      <w:r>
        <w:rPr>
          <w:rFonts w:ascii="楷体" w:hAnsi="楷体" w:eastAsia="楷体"/>
          <w:bCs/>
          <w:kern w:val="0"/>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支出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hint="eastAsia" w:ascii="楷体" w:hAnsi="楷体" w:eastAsia="楷体"/>
          <w:bCs/>
          <w:kern w:val="0"/>
          <w:sz w:val="32"/>
          <w:szCs w:val="32"/>
        </w:rPr>
      </w:pPr>
    </w:p>
    <w:p>
      <w:pPr>
        <w:widowControl/>
        <w:spacing w:line="600" w:lineRule="exact"/>
        <w:ind w:firstLine="640"/>
        <w:rPr>
          <w:rFonts w:hint="eastAsia" w:ascii="楷体" w:hAnsi="楷体" w:eastAsia="楷体"/>
          <w:bCs/>
          <w:kern w:val="0"/>
          <w:sz w:val="32"/>
          <w:szCs w:val="32"/>
        </w:rPr>
      </w:pPr>
    </w:p>
    <w:p>
      <w:pPr>
        <w:widowControl/>
        <w:spacing w:line="600" w:lineRule="exact"/>
        <w:rPr>
          <w:rFonts w:hint="eastAsia" w:ascii="楷体" w:hAnsi="楷体" w:eastAsia="楷体"/>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1A0E6"/>
    <w:multiLevelType w:val="singleLevel"/>
    <w:tmpl w:val="5F41A0E6"/>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67D3E"/>
    <w:rsid w:val="364D1367"/>
    <w:rsid w:val="38B05AEC"/>
    <w:rsid w:val="3B895206"/>
    <w:rsid w:val="4B226797"/>
    <w:rsid w:val="5514057E"/>
    <w:rsid w:val="72994EDB"/>
    <w:rsid w:val="7FD9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2019-09-17T12:52:00Z</dcterms:created>
  <dc:creator>Administrator</dc:creator>
  <cp:lastModifiedBy>菡宝</cp:lastModifiedBy>
  <dcterms:modified xsi:type="dcterms:W3CDTF">2019-09-20T05:04:38Z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